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72" w:rsidRPr="000F1974" w:rsidRDefault="00302172" w:rsidP="00302172">
      <w:pPr>
        <w:widowControl/>
        <w:spacing w:line="235" w:lineRule="exact"/>
        <w:jc w:val="center"/>
        <w:outlineLvl w:val="0"/>
        <w:rPr>
          <w:b/>
        </w:rPr>
      </w:pPr>
      <w:r w:rsidRPr="000F1974">
        <w:rPr>
          <w:b/>
        </w:rPr>
        <w:t>UNITED STATES DISTRICT COURT</w:t>
      </w:r>
    </w:p>
    <w:p w:rsidR="00302172" w:rsidRPr="000F1974" w:rsidRDefault="00302172" w:rsidP="00302172">
      <w:pPr>
        <w:widowControl/>
        <w:spacing w:line="235" w:lineRule="exact"/>
        <w:jc w:val="center"/>
        <w:rPr>
          <w:b/>
        </w:rPr>
      </w:pPr>
      <w:r w:rsidRPr="000F1974">
        <w:rPr>
          <w:b/>
        </w:rPr>
        <w:t>EASTERN DISTRICT OF VIRGINIA</w:t>
      </w:r>
      <w:r w:rsidRPr="000F1974">
        <w:rPr>
          <w:b/>
        </w:rPr>
        <w:br/>
        <w:t>Richmond Division</w:t>
      </w:r>
    </w:p>
    <w:p w:rsidR="00302172" w:rsidRPr="000F1974" w:rsidRDefault="00302172" w:rsidP="00302172">
      <w:pPr>
        <w:widowControl/>
        <w:spacing w:line="235" w:lineRule="exact"/>
        <w:jc w:val="center"/>
      </w:pPr>
    </w:p>
    <w:p w:rsidR="00302172" w:rsidRPr="000F1974" w:rsidRDefault="00302172" w:rsidP="00302172">
      <w:pPr>
        <w:sectPr w:rsidR="00302172" w:rsidRPr="000F1974" w:rsidSect="00C23C10">
          <w:pgSz w:w="12240" w:h="15840"/>
          <w:pgMar w:top="1440" w:right="1440" w:bottom="1440" w:left="1440" w:header="720" w:footer="720" w:gutter="0"/>
          <w:cols w:space="720"/>
          <w:docGrid w:linePitch="360"/>
        </w:sectPr>
      </w:pPr>
    </w:p>
    <w:p w:rsidR="00302172" w:rsidRPr="000F1974" w:rsidRDefault="00302172" w:rsidP="00302172"/>
    <w:p w:rsidR="00302172" w:rsidRPr="000F1974" w:rsidRDefault="00302172" w:rsidP="00302172">
      <w:pPr>
        <w:pStyle w:val="Title"/>
      </w:pPr>
      <w:r w:rsidRPr="000F1974">
        <w:t>UNITED STATES OF AMERICA,</w:t>
      </w:r>
    </w:p>
    <w:p w:rsidR="00302172" w:rsidRPr="000F1974" w:rsidRDefault="00302172" w:rsidP="00302172">
      <w:pPr>
        <w:pStyle w:val="Title"/>
      </w:pPr>
      <w:r w:rsidRPr="000F1974">
        <w:tab/>
        <w:t>Plaintiff,</w:t>
      </w:r>
    </w:p>
    <w:p w:rsidR="00302172" w:rsidRPr="000F1974" w:rsidRDefault="00302172" w:rsidP="00302172">
      <w:pPr>
        <w:pStyle w:val="Title"/>
      </w:pPr>
    </w:p>
    <w:p w:rsidR="00302172" w:rsidRPr="000F1974" w:rsidRDefault="00302172" w:rsidP="00302172">
      <w:pPr>
        <w:pStyle w:val="Title"/>
        <w:ind w:firstLine="720"/>
      </w:pPr>
      <w:r w:rsidRPr="000F1974">
        <w:t>v.</w:t>
      </w:r>
    </w:p>
    <w:p w:rsidR="00302172" w:rsidRPr="000F1974" w:rsidRDefault="00302172" w:rsidP="00302172">
      <w:pPr>
        <w:pStyle w:val="Title"/>
      </w:pPr>
    </w:p>
    <w:p w:rsidR="00302172" w:rsidRPr="000F1974" w:rsidRDefault="00302172" w:rsidP="00302172">
      <w:pPr>
        <w:pStyle w:val="Title"/>
      </w:pPr>
      <w:r w:rsidRPr="000F1974">
        <w:t xml:space="preserve">C.T. WOODY, JR., SHERIFF, CITY OF RICHMOND, in his official capacity, </w:t>
      </w:r>
    </w:p>
    <w:p w:rsidR="00302172" w:rsidRPr="000F1974" w:rsidRDefault="00302172" w:rsidP="00302172">
      <w:pPr>
        <w:pStyle w:val="Title"/>
      </w:pPr>
      <w:r w:rsidRPr="000F1974">
        <w:tab/>
        <w:t>Defendant.</w:t>
      </w:r>
      <w:r w:rsidRPr="000F1974">
        <w:br w:type="column"/>
      </w:r>
    </w:p>
    <w:p w:rsidR="00302172" w:rsidRPr="000F1974" w:rsidRDefault="00302172" w:rsidP="00302172"/>
    <w:p w:rsidR="00302172" w:rsidRPr="000F1974" w:rsidRDefault="00302172" w:rsidP="00302172"/>
    <w:p w:rsidR="00302172" w:rsidRPr="000F1974" w:rsidRDefault="00302172" w:rsidP="00302172"/>
    <w:p w:rsidR="00302172" w:rsidRPr="000F1974" w:rsidRDefault="00302172" w:rsidP="00302172">
      <w:r w:rsidRPr="000F1974">
        <w:t>CIVIL NO. 3:16-cv-127</w:t>
      </w:r>
    </w:p>
    <w:p w:rsidR="00302172" w:rsidRPr="000F1974" w:rsidRDefault="00302172" w:rsidP="00302172"/>
    <w:p w:rsidR="00302172" w:rsidRPr="000F1974" w:rsidRDefault="00302172" w:rsidP="00302172"/>
    <w:p w:rsidR="00302172" w:rsidRPr="000F1974" w:rsidRDefault="00302172" w:rsidP="00302172"/>
    <w:p w:rsidR="00302172" w:rsidRPr="000F1974" w:rsidRDefault="00302172" w:rsidP="00302172"/>
    <w:p w:rsidR="00302172" w:rsidRPr="000F1974" w:rsidRDefault="00302172" w:rsidP="00302172"/>
    <w:p w:rsidR="00302172" w:rsidRPr="000F1974" w:rsidRDefault="00302172" w:rsidP="00302172">
      <w:pPr>
        <w:sectPr w:rsidR="00302172" w:rsidRPr="000F1974" w:rsidSect="00C23C10">
          <w:type w:val="continuous"/>
          <w:pgSz w:w="12240" w:h="15840"/>
          <w:pgMar w:top="1440" w:right="1440" w:bottom="1440" w:left="1440" w:header="720" w:footer="720" w:gutter="0"/>
          <w:cols w:num="2" w:sep="1" w:space="720"/>
          <w:docGrid w:linePitch="360"/>
        </w:sectPr>
      </w:pPr>
    </w:p>
    <w:p w:rsidR="00302172" w:rsidRPr="000F1974" w:rsidRDefault="00302172" w:rsidP="00302172"/>
    <w:p w:rsidR="000F7640" w:rsidRDefault="000F7640" w:rsidP="00BA4047">
      <w:pPr>
        <w:jc w:val="center"/>
        <w:rPr>
          <w:b/>
          <w:u w:val="single"/>
        </w:rPr>
      </w:pPr>
    </w:p>
    <w:p w:rsidR="000F7640" w:rsidRDefault="000F7640" w:rsidP="00BA4047">
      <w:pPr>
        <w:jc w:val="center"/>
        <w:rPr>
          <w:b/>
          <w:u w:val="single"/>
        </w:rPr>
      </w:pPr>
    </w:p>
    <w:p w:rsidR="000F7640" w:rsidRDefault="000F7640" w:rsidP="00BA4047">
      <w:pPr>
        <w:jc w:val="center"/>
        <w:rPr>
          <w:b/>
          <w:u w:val="single"/>
        </w:rPr>
      </w:pPr>
    </w:p>
    <w:p w:rsidR="00FE3464" w:rsidRPr="000F1974" w:rsidRDefault="00FE3464" w:rsidP="00BA4047">
      <w:pPr>
        <w:jc w:val="center"/>
        <w:rPr>
          <w:b/>
          <w:u w:val="single"/>
        </w:rPr>
      </w:pPr>
      <w:r w:rsidRPr="000F1974">
        <w:rPr>
          <w:b/>
          <w:u w:val="single"/>
        </w:rPr>
        <w:t>MEMORANDUM IN SUPPORT</w:t>
      </w:r>
    </w:p>
    <w:p w:rsidR="00BA4047" w:rsidRPr="000F1974" w:rsidRDefault="00FE3464" w:rsidP="00BA4047">
      <w:pPr>
        <w:jc w:val="center"/>
        <w:rPr>
          <w:b/>
          <w:u w:val="single"/>
        </w:rPr>
      </w:pPr>
      <w:r w:rsidRPr="000F1974">
        <w:rPr>
          <w:b/>
          <w:u w:val="single"/>
        </w:rPr>
        <w:t xml:space="preserve">OF </w:t>
      </w:r>
      <w:r w:rsidR="00890022" w:rsidRPr="000F1974">
        <w:rPr>
          <w:b/>
          <w:u w:val="single"/>
        </w:rPr>
        <w:t xml:space="preserve">THE </w:t>
      </w:r>
      <w:r w:rsidR="00BA4047" w:rsidRPr="000F1974">
        <w:rPr>
          <w:b/>
          <w:u w:val="single"/>
        </w:rPr>
        <w:t xml:space="preserve">UNITED STATES’ </w:t>
      </w:r>
      <w:r w:rsidR="003023B4" w:rsidRPr="000F1974">
        <w:rPr>
          <w:b/>
          <w:u w:val="single"/>
        </w:rPr>
        <w:t>MOTION FOR SUMMARY JUDGMENT</w:t>
      </w:r>
    </w:p>
    <w:p w:rsidR="00BA4047" w:rsidRPr="000F1974" w:rsidRDefault="00BA4047" w:rsidP="00BA4047"/>
    <w:p w:rsidR="000F7640" w:rsidRDefault="000F7640">
      <w:pPr>
        <w:widowControl/>
        <w:autoSpaceDE/>
        <w:autoSpaceDN/>
        <w:adjustRightInd/>
      </w:pPr>
      <w:r>
        <w:br w:type="page"/>
      </w:r>
    </w:p>
    <w:p w:rsidR="000F7640" w:rsidRDefault="000F7640" w:rsidP="000F7640">
      <w:pPr>
        <w:widowControl/>
        <w:autoSpaceDE/>
        <w:autoSpaceDN/>
        <w:adjustRightInd/>
        <w:jc w:val="center"/>
        <w:rPr>
          <w:b/>
          <w:u w:val="single"/>
        </w:rPr>
      </w:pPr>
      <w:r>
        <w:rPr>
          <w:b/>
          <w:u w:val="single"/>
        </w:rPr>
        <w:lastRenderedPageBreak/>
        <w:t>TABLE OF CONTENTS</w:t>
      </w:r>
    </w:p>
    <w:p w:rsidR="000F7640" w:rsidRDefault="000F7640" w:rsidP="008136B1">
      <w:pPr>
        <w:widowControl/>
        <w:autoSpaceDE/>
        <w:autoSpaceDN/>
        <w:adjustRightInd/>
        <w:rPr>
          <w:b/>
          <w:u w:val="single"/>
        </w:rPr>
      </w:pPr>
    </w:p>
    <w:p w:rsidR="000F7640" w:rsidRDefault="000F7640" w:rsidP="008136B1">
      <w:pPr>
        <w:pStyle w:val="ListParagraph"/>
        <w:widowControl/>
        <w:numPr>
          <w:ilvl w:val="0"/>
          <w:numId w:val="31"/>
        </w:numPr>
        <w:tabs>
          <w:tab w:val="left" w:leader="dot" w:pos="8928"/>
          <w:tab w:val="left" w:leader="dot" w:pos="9360"/>
        </w:tabs>
        <w:autoSpaceDE/>
        <w:autoSpaceDN/>
        <w:adjustRightInd/>
        <w:ind w:right="-230"/>
      </w:pPr>
      <w:r>
        <w:t>INTRODUCTION</w:t>
      </w:r>
      <w:r w:rsidR="008136B1">
        <w:tab/>
      </w:r>
      <w:r w:rsidR="008B55A6">
        <w:t>1</w:t>
      </w:r>
    </w:p>
    <w:p w:rsidR="000F7640" w:rsidRDefault="000F7640" w:rsidP="008136B1">
      <w:pPr>
        <w:pStyle w:val="ListParagraph"/>
        <w:widowControl/>
        <w:numPr>
          <w:ilvl w:val="0"/>
          <w:numId w:val="31"/>
        </w:numPr>
        <w:tabs>
          <w:tab w:val="left" w:leader="dot" w:pos="8928"/>
          <w:tab w:val="left" w:leader="dot" w:pos="9360"/>
        </w:tabs>
        <w:autoSpaceDE/>
        <w:autoSpaceDN/>
        <w:adjustRightInd/>
      </w:pPr>
      <w:r>
        <w:t>STATEMENT OF UNDISPUTED MATERIAL FACTS</w:t>
      </w:r>
      <w:r w:rsidR="008136B1">
        <w:tab/>
        <w:t>1</w:t>
      </w:r>
    </w:p>
    <w:p w:rsidR="000F7640" w:rsidRDefault="008136B1" w:rsidP="008136B1">
      <w:pPr>
        <w:pStyle w:val="ListParagraph"/>
        <w:widowControl/>
        <w:numPr>
          <w:ilvl w:val="0"/>
          <w:numId w:val="31"/>
        </w:numPr>
        <w:tabs>
          <w:tab w:val="left" w:leader="dot" w:pos="8928"/>
          <w:tab w:val="left" w:leader="dot" w:pos="9360"/>
        </w:tabs>
        <w:autoSpaceDE/>
        <w:autoSpaceDN/>
        <w:adjustRightInd/>
      </w:pPr>
      <w:r>
        <w:t>STANDARD OF REVIEW</w:t>
      </w:r>
      <w:r>
        <w:tab/>
      </w:r>
      <w:r w:rsidR="008B55A6">
        <w:t>11</w:t>
      </w:r>
    </w:p>
    <w:p w:rsidR="000F7640" w:rsidRDefault="000F7640" w:rsidP="008136B1">
      <w:pPr>
        <w:pStyle w:val="ListParagraph"/>
        <w:widowControl/>
        <w:numPr>
          <w:ilvl w:val="0"/>
          <w:numId w:val="31"/>
        </w:numPr>
        <w:tabs>
          <w:tab w:val="left" w:leader="dot" w:pos="8928"/>
          <w:tab w:val="left" w:leader="dot" w:pos="9360"/>
        </w:tabs>
        <w:autoSpaceDE/>
        <w:autoSpaceDN/>
        <w:adjustRightInd/>
      </w:pPr>
      <w:r>
        <w:t>ARGUMENT</w:t>
      </w:r>
      <w:r w:rsidR="008136B1">
        <w:tab/>
      </w:r>
      <w:r w:rsidR="008B55A6">
        <w:t>11</w:t>
      </w:r>
    </w:p>
    <w:p w:rsidR="008B55A6" w:rsidRDefault="008B55A6" w:rsidP="008136B1">
      <w:pPr>
        <w:pStyle w:val="ListParagraph"/>
        <w:widowControl/>
        <w:numPr>
          <w:ilvl w:val="1"/>
          <w:numId w:val="31"/>
        </w:numPr>
        <w:tabs>
          <w:tab w:val="left" w:leader="dot" w:pos="8928"/>
          <w:tab w:val="left" w:leader="dot" w:pos="9360"/>
        </w:tabs>
        <w:autoSpaceDE/>
        <w:autoSpaceDN/>
        <w:adjustRightInd/>
        <w:spacing w:line="240" w:lineRule="auto"/>
      </w:pPr>
      <w:r w:rsidRPr="000F7640">
        <w:t xml:space="preserve">There are no material disputes of fact regarding the elements of the United </w:t>
      </w:r>
      <w:r w:rsidR="008136B1">
        <w:t xml:space="preserve">     </w:t>
      </w:r>
      <w:r w:rsidRPr="000F7640">
        <w:t>States’ prima facie case</w:t>
      </w:r>
      <w:r w:rsidR="008136B1">
        <w:tab/>
      </w:r>
      <w:r>
        <w:t>12</w:t>
      </w:r>
    </w:p>
    <w:p w:rsidR="008B55A6" w:rsidRDefault="008B55A6" w:rsidP="008136B1">
      <w:pPr>
        <w:pStyle w:val="ListParagraph"/>
        <w:widowControl/>
        <w:numPr>
          <w:ilvl w:val="0"/>
          <w:numId w:val="0"/>
        </w:numPr>
        <w:tabs>
          <w:tab w:val="left" w:leader="dot" w:pos="8928"/>
          <w:tab w:val="left" w:leader="dot" w:pos="9360"/>
        </w:tabs>
        <w:autoSpaceDE/>
        <w:autoSpaceDN/>
        <w:adjustRightInd/>
        <w:spacing w:line="240" w:lineRule="auto"/>
        <w:ind w:left="1440"/>
      </w:pPr>
    </w:p>
    <w:p w:rsidR="008B55A6" w:rsidRDefault="008B55A6" w:rsidP="008136B1">
      <w:pPr>
        <w:pStyle w:val="ListParagraph"/>
        <w:widowControl/>
        <w:numPr>
          <w:ilvl w:val="2"/>
          <w:numId w:val="31"/>
        </w:numPr>
        <w:tabs>
          <w:tab w:val="left" w:leader="dot" w:pos="8928"/>
          <w:tab w:val="left" w:leader="dot" w:pos="9360"/>
        </w:tabs>
        <w:autoSpaceDE/>
        <w:autoSpaceDN/>
        <w:adjustRightInd/>
        <w:spacing w:line="240" w:lineRule="auto"/>
        <w:ind w:left="1800" w:hanging="360"/>
      </w:pPr>
      <w:r w:rsidRPr="000F7640">
        <w:t>It is undisputed that Emily Hall is an individual with a disability</w:t>
      </w:r>
      <w:r w:rsidR="008136B1">
        <w:tab/>
      </w:r>
      <w:r>
        <w:t>13</w:t>
      </w:r>
    </w:p>
    <w:p w:rsidR="008B55A6" w:rsidRDefault="008B55A6" w:rsidP="008136B1">
      <w:pPr>
        <w:pStyle w:val="ListParagraph"/>
        <w:widowControl/>
        <w:numPr>
          <w:ilvl w:val="0"/>
          <w:numId w:val="0"/>
        </w:numPr>
        <w:tabs>
          <w:tab w:val="left" w:leader="dot" w:pos="8928"/>
          <w:tab w:val="left" w:leader="dot" w:pos="9360"/>
        </w:tabs>
        <w:autoSpaceDE/>
        <w:autoSpaceDN/>
        <w:adjustRightInd/>
        <w:spacing w:line="240" w:lineRule="auto"/>
        <w:ind w:left="1800" w:hanging="360"/>
      </w:pPr>
    </w:p>
    <w:p w:rsidR="008B55A6" w:rsidRDefault="008B55A6" w:rsidP="008136B1">
      <w:pPr>
        <w:pStyle w:val="ListParagraph"/>
        <w:widowControl/>
        <w:numPr>
          <w:ilvl w:val="2"/>
          <w:numId w:val="31"/>
        </w:numPr>
        <w:tabs>
          <w:tab w:val="left" w:leader="dot" w:pos="8928"/>
          <w:tab w:val="left" w:leader="dot" w:pos="9360"/>
        </w:tabs>
        <w:autoSpaceDE/>
        <w:autoSpaceDN/>
        <w:adjustRightInd/>
        <w:spacing w:line="240" w:lineRule="auto"/>
        <w:ind w:left="1800" w:hanging="360"/>
      </w:pPr>
      <w:r w:rsidRPr="000F7640">
        <w:t xml:space="preserve">It is undisputed that Sheriff Woody had notice of Emily Hall’s disability </w:t>
      </w:r>
      <w:r w:rsidR="008136B1">
        <w:t xml:space="preserve">        </w:t>
      </w:r>
      <w:r w:rsidRPr="000F7640">
        <w:t>and her need for reassignme</w:t>
      </w:r>
      <w:r w:rsidR="008136B1">
        <w:t>nt as a reasonable accommodation</w:t>
      </w:r>
      <w:r w:rsidR="008136B1">
        <w:tab/>
      </w:r>
      <w:r>
        <w:t>14</w:t>
      </w:r>
    </w:p>
    <w:p w:rsidR="008B55A6" w:rsidRDefault="008B55A6" w:rsidP="008136B1">
      <w:pPr>
        <w:tabs>
          <w:tab w:val="left" w:leader="dot" w:pos="8928"/>
          <w:tab w:val="left" w:leader="dot" w:pos="9360"/>
        </w:tabs>
        <w:ind w:left="1800" w:hanging="360"/>
      </w:pPr>
    </w:p>
    <w:p w:rsidR="008B55A6" w:rsidRDefault="008B55A6" w:rsidP="008136B1">
      <w:pPr>
        <w:pStyle w:val="ListParagraph"/>
        <w:widowControl/>
        <w:numPr>
          <w:ilvl w:val="2"/>
          <w:numId w:val="31"/>
        </w:numPr>
        <w:tabs>
          <w:tab w:val="left" w:leader="dot" w:pos="8928"/>
          <w:tab w:val="left" w:leader="dot" w:pos="9360"/>
        </w:tabs>
        <w:autoSpaceDE/>
        <w:autoSpaceDN/>
        <w:adjustRightInd/>
        <w:spacing w:line="240" w:lineRule="auto"/>
        <w:ind w:left="1800" w:hanging="360"/>
      </w:pPr>
      <w:r w:rsidRPr="000F7640">
        <w:t xml:space="preserve">It is undisputed that Emily Hall was qualified for a vacant reassignment </w:t>
      </w:r>
      <w:r w:rsidR="008136B1">
        <w:t xml:space="preserve">  </w:t>
      </w:r>
      <w:r w:rsidRPr="000F7640">
        <w:t>position and that such vacancy was available</w:t>
      </w:r>
      <w:r w:rsidR="008136B1">
        <w:tab/>
      </w:r>
      <w:r>
        <w:t>14</w:t>
      </w:r>
    </w:p>
    <w:p w:rsidR="008B55A6" w:rsidRDefault="008B55A6" w:rsidP="008136B1">
      <w:pPr>
        <w:tabs>
          <w:tab w:val="left" w:leader="dot" w:pos="8928"/>
          <w:tab w:val="left" w:leader="dot" w:pos="9360"/>
        </w:tabs>
        <w:ind w:left="1800" w:hanging="360"/>
      </w:pPr>
    </w:p>
    <w:p w:rsidR="008B55A6" w:rsidRDefault="008B55A6" w:rsidP="008136B1">
      <w:pPr>
        <w:pStyle w:val="ListParagraph"/>
        <w:widowControl/>
        <w:numPr>
          <w:ilvl w:val="2"/>
          <w:numId w:val="31"/>
        </w:numPr>
        <w:tabs>
          <w:tab w:val="left" w:leader="dot" w:pos="8928"/>
          <w:tab w:val="left" w:leader="dot" w:pos="9360"/>
        </w:tabs>
        <w:autoSpaceDE/>
        <w:autoSpaceDN/>
        <w:adjustRightInd/>
        <w:spacing w:line="240" w:lineRule="auto"/>
        <w:ind w:left="1800" w:hanging="360"/>
      </w:pPr>
      <w:r w:rsidRPr="000F7640">
        <w:t xml:space="preserve">It is undisputed that Sheriff Woody refused to reassign Ms. Hall to a vacant position for which she was qualified as a necessary reasonable </w:t>
      </w:r>
      <w:r w:rsidR="008136B1">
        <w:t xml:space="preserve">    </w:t>
      </w:r>
      <w:r w:rsidRPr="000F7640">
        <w:t>accommodation</w:t>
      </w:r>
      <w:r w:rsidR="008136B1">
        <w:tab/>
      </w:r>
      <w:r>
        <w:t>15</w:t>
      </w:r>
    </w:p>
    <w:p w:rsidR="008B55A6" w:rsidRDefault="008B55A6" w:rsidP="008136B1">
      <w:pPr>
        <w:tabs>
          <w:tab w:val="left" w:leader="dot" w:pos="8928"/>
          <w:tab w:val="left" w:leader="dot" w:pos="9360"/>
        </w:tabs>
        <w:ind w:firstLine="720"/>
      </w:pPr>
    </w:p>
    <w:p w:rsidR="008B55A6" w:rsidRDefault="008B55A6" w:rsidP="008136B1">
      <w:pPr>
        <w:pStyle w:val="ListParagraph"/>
        <w:widowControl/>
        <w:numPr>
          <w:ilvl w:val="1"/>
          <w:numId w:val="31"/>
        </w:numPr>
        <w:tabs>
          <w:tab w:val="left" w:leader="dot" w:pos="8928"/>
          <w:tab w:val="left" w:leader="dot" w:pos="9360"/>
        </w:tabs>
        <w:autoSpaceDE/>
        <w:autoSpaceDN/>
        <w:adjustRightInd/>
        <w:spacing w:line="240" w:lineRule="auto"/>
      </w:pPr>
      <w:r w:rsidRPr="000F7640">
        <w:t>The plain language of the ADA required Sheriff Woody to reassign Emily Hall</w:t>
      </w:r>
      <w:r w:rsidR="008136B1">
        <w:tab/>
      </w:r>
      <w:r>
        <w:t>16</w:t>
      </w:r>
    </w:p>
    <w:p w:rsidR="008B55A6" w:rsidRDefault="008B55A6" w:rsidP="008136B1">
      <w:pPr>
        <w:pStyle w:val="ListParagraph"/>
        <w:widowControl/>
        <w:numPr>
          <w:ilvl w:val="0"/>
          <w:numId w:val="0"/>
        </w:numPr>
        <w:tabs>
          <w:tab w:val="left" w:leader="dot" w:pos="8928"/>
          <w:tab w:val="left" w:leader="dot" w:pos="9360"/>
        </w:tabs>
        <w:autoSpaceDE/>
        <w:autoSpaceDN/>
        <w:adjustRightInd/>
        <w:spacing w:line="240" w:lineRule="auto"/>
        <w:ind w:left="1440"/>
      </w:pPr>
    </w:p>
    <w:p w:rsidR="008B55A6" w:rsidRDefault="008B55A6" w:rsidP="008136B1">
      <w:pPr>
        <w:pStyle w:val="ListParagraph"/>
        <w:widowControl/>
        <w:numPr>
          <w:ilvl w:val="1"/>
          <w:numId w:val="31"/>
        </w:numPr>
        <w:tabs>
          <w:tab w:val="left" w:leader="dot" w:pos="8928"/>
          <w:tab w:val="left" w:leader="dot" w:pos="9360"/>
        </w:tabs>
        <w:autoSpaceDE/>
        <w:autoSpaceDN/>
        <w:adjustRightInd/>
        <w:spacing w:line="240" w:lineRule="auto"/>
      </w:pPr>
      <w:r w:rsidRPr="008B55A6">
        <w:t xml:space="preserve">Fourth Circuit </w:t>
      </w:r>
      <w:r w:rsidR="0075667D">
        <w:t>p</w:t>
      </w:r>
      <w:r w:rsidRPr="008B55A6">
        <w:t xml:space="preserve">recedent </w:t>
      </w:r>
      <w:r w:rsidR="0075667D">
        <w:t>r</w:t>
      </w:r>
      <w:r w:rsidRPr="008B55A6">
        <w:t xml:space="preserve">ecognizes the </w:t>
      </w:r>
      <w:r w:rsidR="0075667D">
        <w:t>r</w:t>
      </w:r>
      <w:r w:rsidRPr="008B55A6">
        <w:t xml:space="preserve">eassignment </w:t>
      </w:r>
      <w:r w:rsidR="0075667D">
        <w:t>o</w:t>
      </w:r>
      <w:r w:rsidRPr="008B55A6">
        <w:t>bligation</w:t>
      </w:r>
      <w:r w:rsidR="008136B1">
        <w:tab/>
      </w:r>
      <w:r>
        <w:t>19</w:t>
      </w:r>
    </w:p>
    <w:p w:rsidR="008B55A6" w:rsidRDefault="008B55A6" w:rsidP="008136B1">
      <w:pPr>
        <w:tabs>
          <w:tab w:val="left" w:leader="dot" w:pos="8928"/>
          <w:tab w:val="left" w:leader="dot" w:pos="9360"/>
        </w:tabs>
        <w:ind w:firstLine="720"/>
      </w:pPr>
    </w:p>
    <w:p w:rsidR="008B55A6" w:rsidRDefault="008B55A6" w:rsidP="008136B1">
      <w:pPr>
        <w:pStyle w:val="ListParagraph"/>
        <w:widowControl/>
        <w:numPr>
          <w:ilvl w:val="1"/>
          <w:numId w:val="31"/>
        </w:numPr>
        <w:tabs>
          <w:tab w:val="left" w:leader="dot" w:pos="8928"/>
          <w:tab w:val="left" w:leader="dot" w:pos="9360"/>
        </w:tabs>
        <w:autoSpaceDE/>
        <w:autoSpaceDN/>
        <w:adjustRightInd/>
        <w:spacing w:line="240" w:lineRule="auto"/>
      </w:pPr>
      <w:r w:rsidRPr="008B55A6">
        <w:t xml:space="preserve">Most </w:t>
      </w:r>
      <w:r w:rsidR="0075667D">
        <w:t>c</w:t>
      </w:r>
      <w:r w:rsidRPr="008B55A6">
        <w:t xml:space="preserve">ircuits </w:t>
      </w:r>
      <w:r w:rsidR="0075667D">
        <w:t>h</w:t>
      </w:r>
      <w:r w:rsidRPr="008B55A6">
        <w:t xml:space="preserve">ave </w:t>
      </w:r>
      <w:r w:rsidR="0075667D">
        <w:t>h</w:t>
      </w:r>
      <w:r w:rsidRPr="008B55A6">
        <w:t xml:space="preserve">eld that the ADA </w:t>
      </w:r>
      <w:r w:rsidR="0075667D">
        <w:t>r</w:t>
      </w:r>
      <w:r w:rsidRPr="008B55A6">
        <w:t xml:space="preserve">equires </w:t>
      </w:r>
      <w:r w:rsidR="0075667D">
        <w:t>r</w:t>
      </w:r>
      <w:r w:rsidRPr="008B55A6">
        <w:t xml:space="preserve">eassignment to a </w:t>
      </w:r>
      <w:r w:rsidR="0075667D">
        <w:t>v</w:t>
      </w:r>
      <w:r w:rsidRPr="008B55A6">
        <w:t xml:space="preserve">acant </w:t>
      </w:r>
      <w:r w:rsidR="0075667D">
        <w:t xml:space="preserve"> p</w:t>
      </w:r>
      <w:r w:rsidRPr="008B55A6">
        <w:t xml:space="preserve">osition </w:t>
      </w:r>
      <w:r w:rsidR="0075667D">
        <w:t xml:space="preserve"> </w:t>
      </w:r>
      <w:r w:rsidRPr="008B55A6">
        <w:t xml:space="preserve">for a </w:t>
      </w:r>
      <w:r w:rsidR="0075667D">
        <w:t>q</w:t>
      </w:r>
      <w:r w:rsidRPr="008B55A6">
        <w:t xml:space="preserve">ualified </w:t>
      </w:r>
      <w:r w:rsidR="0075667D">
        <w:t>e</w:t>
      </w:r>
      <w:r w:rsidRPr="008B55A6">
        <w:t xml:space="preserve">mployee when </w:t>
      </w:r>
      <w:r w:rsidR="0075667D">
        <w:t>n</w:t>
      </w:r>
      <w:r w:rsidRPr="008B55A6">
        <w:t xml:space="preserve">ecessary as an </w:t>
      </w:r>
      <w:r w:rsidR="0075667D">
        <w:t>a</w:t>
      </w:r>
      <w:r w:rsidRPr="008B55A6">
        <w:t>ccommodation</w:t>
      </w:r>
      <w:r w:rsidR="008136B1">
        <w:tab/>
      </w:r>
      <w:r>
        <w:t>24</w:t>
      </w:r>
    </w:p>
    <w:p w:rsidR="008B55A6" w:rsidRDefault="008B55A6" w:rsidP="008136B1">
      <w:pPr>
        <w:tabs>
          <w:tab w:val="left" w:leader="dot" w:pos="8928"/>
          <w:tab w:val="left" w:leader="dot" w:pos="9360"/>
        </w:tabs>
        <w:ind w:firstLine="720"/>
      </w:pPr>
    </w:p>
    <w:p w:rsidR="008B55A6" w:rsidRDefault="008B55A6" w:rsidP="008136B1">
      <w:pPr>
        <w:pStyle w:val="ListParagraph"/>
        <w:widowControl/>
        <w:numPr>
          <w:ilvl w:val="1"/>
          <w:numId w:val="31"/>
        </w:numPr>
        <w:tabs>
          <w:tab w:val="left" w:leader="dot" w:pos="8928"/>
          <w:tab w:val="left" w:leader="dot" w:pos="9360"/>
        </w:tabs>
        <w:autoSpaceDE/>
        <w:autoSpaceDN/>
        <w:adjustRightInd/>
        <w:spacing w:line="240" w:lineRule="auto"/>
      </w:pPr>
      <w:r w:rsidRPr="008B55A6">
        <w:t xml:space="preserve">Ms. Hall’s </w:t>
      </w:r>
      <w:r w:rsidR="0075667D">
        <w:t>r</w:t>
      </w:r>
      <w:r w:rsidRPr="008B55A6">
        <w:t xml:space="preserve">equested </w:t>
      </w:r>
      <w:r w:rsidR="0075667D">
        <w:t>a</w:t>
      </w:r>
      <w:r w:rsidRPr="008B55A6">
        <w:t xml:space="preserve">ccommodation </w:t>
      </w:r>
      <w:r w:rsidR="0075667D">
        <w:t>w</w:t>
      </w:r>
      <w:r w:rsidRPr="008B55A6">
        <w:t xml:space="preserve">ould not </w:t>
      </w:r>
      <w:r w:rsidR="0075667D">
        <w:t>h</w:t>
      </w:r>
      <w:r w:rsidRPr="008B55A6">
        <w:t xml:space="preserve">ave </w:t>
      </w:r>
      <w:r w:rsidR="0075667D">
        <w:t>i</w:t>
      </w:r>
      <w:r w:rsidRPr="008B55A6">
        <w:t xml:space="preserve">mposed an </w:t>
      </w:r>
      <w:r w:rsidR="0075667D">
        <w:t>u</w:t>
      </w:r>
      <w:r w:rsidRPr="008B55A6">
        <w:t xml:space="preserve">ndue </w:t>
      </w:r>
      <w:r w:rsidR="0075667D">
        <w:t>h</w:t>
      </w:r>
      <w:r w:rsidRPr="008B55A6">
        <w:t>ardship</w:t>
      </w:r>
      <w:r w:rsidR="0075667D">
        <w:t xml:space="preserve"> </w:t>
      </w:r>
      <w:r w:rsidRPr="008B55A6">
        <w:t xml:space="preserve"> on Sheriff Woody</w:t>
      </w:r>
      <w:r w:rsidR="008136B1">
        <w:tab/>
      </w:r>
      <w:r w:rsidR="00A80706">
        <w:t>26</w:t>
      </w:r>
    </w:p>
    <w:p w:rsidR="008B55A6" w:rsidRDefault="008B55A6" w:rsidP="008136B1">
      <w:pPr>
        <w:widowControl/>
        <w:tabs>
          <w:tab w:val="left" w:leader="dot" w:pos="8928"/>
          <w:tab w:val="left" w:leader="dot" w:pos="9360"/>
        </w:tabs>
        <w:autoSpaceDE/>
        <w:autoSpaceDN/>
        <w:adjustRightInd/>
        <w:ind w:firstLine="720"/>
      </w:pPr>
    </w:p>
    <w:p w:rsidR="008B55A6" w:rsidRDefault="008B55A6" w:rsidP="008136B1">
      <w:pPr>
        <w:pStyle w:val="ListParagraph"/>
        <w:widowControl/>
        <w:numPr>
          <w:ilvl w:val="0"/>
          <w:numId w:val="31"/>
        </w:numPr>
        <w:tabs>
          <w:tab w:val="left" w:leader="dot" w:pos="8928"/>
          <w:tab w:val="left" w:leader="dot" w:pos="9360"/>
        </w:tabs>
        <w:autoSpaceDE/>
        <w:autoSpaceDN/>
        <w:adjustRightInd/>
      </w:pPr>
      <w:r>
        <w:t>CONCLUSION</w:t>
      </w:r>
      <w:r w:rsidR="008136B1">
        <w:tab/>
      </w:r>
      <w:r w:rsidR="00A80706">
        <w:t>29</w:t>
      </w:r>
    </w:p>
    <w:p w:rsidR="008B55A6" w:rsidRDefault="008B55A6" w:rsidP="008B55A6">
      <w:pPr>
        <w:pStyle w:val="ListParagraph"/>
        <w:widowControl/>
        <w:numPr>
          <w:ilvl w:val="0"/>
          <w:numId w:val="0"/>
        </w:numPr>
        <w:autoSpaceDE/>
        <w:autoSpaceDN/>
        <w:adjustRightInd/>
        <w:ind w:left="1080"/>
      </w:pPr>
    </w:p>
    <w:p w:rsidR="008B55A6" w:rsidRDefault="008B55A6" w:rsidP="008B55A6">
      <w:pPr>
        <w:ind w:firstLine="720"/>
      </w:pPr>
    </w:p>
    <w:p w:rsidR="008B55A6" w:rsidRPr="000F7640" w:rsidRDefault="008B55A6" w:rsidP="008B55A6">
      <w:pPr>
        <w:pStyle w:val="ListParagraph"/>
        <w:numPr>
          <w:ilvl w:val="0"/>
          <w:numId w:val="0"/>
        </w:numPr>
        <w:ind w:left="720"/>
      </w:pPr>
    </w:p>
    <w:p w:rsidR="000F7640" w:rsidRDefault="000F7640" w:rsidP="000F7640">
      <w:pPr>
        <w:pStyle w:val="ListParagraph"/>
        <w:widowControl/>
        <w:numPr>
          <w:ilvl w:val="1"/>
          <w:numId w:val="32"/>
        </w:numPr>
        <w:autoSpaceDE/>
        <w:autoSpaceDN/>
        <w:adjustRightInd/>
        <w:spacing w:line="240" w:lineRule="auto"/>
      </w:pPr>
      <w:r>
        <w:br w:type="page"/>
      </w:r>
    </w:p>
    <w:p w:rsidR="008B55A6" w:rsidRDefault="008B55A6" w:rsidP="0094421B">
      <w:pPr>
        <w:spacing w:line="480" w:lineRule="auto"/>
        <w:ind w:firstLine="720"/>
        <w:sectPr w:rsidR="008B55A6" w:rsidSect="000F7640">
          <w:footerReference w:type="default" r:id="rId8"/>
          <w:type w:val="continuous"/>
          <w:pgSz w:w="12240" w:h="15840"/>
          <w:pgMar w:top="1500" w:right="1240" w:bottom="1160" w:left="1420" w:header="0" w:footer="963" w:gutter="0"/>
          <w:cols w:space="720"/>
          <w:titlePg/>
          <w:docGrid w:linePitch="326"/>
        </w:sectPr>
      </w:pPr>
    </w:p>
    <w:p w:rsidR="000F7640" w:rsidRPr="000F1974" w:rsidRDefault="003023B4" w:rsidP="000F7640">
      <w:pPr>
        <w:spacing w:line="480" w:lineRule="auto"/>
        <w:ind w:firstLine="720"/>
      </w:pPr>
      <w:r w:rsidRPr="000F1974">
        <w:lastRenderedPageBreak/>
        <w:t>Pursuant to Rule 56</w:t>
      </w:r>
      <w:r w:rsidR="00BA4047" w:rsidRPr="000F1974">
        <w:t xml:space="preserve"> of the Federal Rules of Civil Procedure</w:t>
      </w:r>
      <w:r w:rsidRPr="000F1974">
        <w:t xml:space="preserve"> and Local Civil Rule 56</w:t>
      </w:r>
      <w:r w:rsidR="00BA4047" w:rsidRPr="000F1974">
        <w:t>, Plaintiff United St</w:t>
      </w:r>
      <w:r w:rsidRPr="000F1974">
        <w:t>ates of America (United States</w:t>
      </w:r>
      <w:r w:rsidR="00BA4047" w:rsidRPr="000F1974">
        <w:t xml:space="preserve">) </w:t>
      </w:r>
      <w:r w:rsidR="00EF2C50" w:rsidRPr="000F1974">
        <w:t>submits this Memorandum in Support of its Motion for Summary Judgment, filed separately on this date.</w:t>
      </w:r>
    </w:p>
    <w:p w:rsidR="00EF2C50" w:rsidRPr="000F1974" w:rsidRDefault="00EF2C50" w:rsidP="00C9648A">
      <w:pPr>
        <w:pStyle w:val="ListParagraph"/>
        <w:numPr>
          <w:ilvl w:val="0"/>
          <w:numId w:val="27"/>
        </w:numPr>
        <w:ind w:left="0" w:firstLine="0"/>
        <w:jc w:val="center"/>
        <w:rPr>
          <w:b/>
        </w:rPr>
      </w:pPr>
      <w:r w:rsidRPr="000F1974">
        <w:rPr>
          <w:b/>
        </w:rPr>
        <w:t>INTRODUCTION</w:t>
      </w:r>
    </w:p>
    <w:p w:rsidR="00774EB4" w:rsidRPr="000F1974" w:rsidRDefault="006A175A" w:rsidP="00774EB4">
      <w:pPr>
        <w:spacing w:line="480" w:lineRule="auto"/>
        <w:ind w:firstLine="720"/>
        <w:rPr>
          <w:iCs/>
        </w:rPr>
      </w:pPr>
      <w:r w:rsidRPr="000F1974">
        <w:t xml:space="preserve">Emily Hall served </w:t>
      </w:r>
      <w:r w:rsidR="007F247C" w:rsidRPr="000F1974">
        <w:t xml:space="preserve">the City of Richmond </w:t>
      </w:r>
      <w:r w:rsidRPr="000F1974">
        <w:t>as a decorated Deputy Sheriff for ten years</w:t>
      </w:r>
      <w:r w:rsidR="00702860" w:rsidRPr="000F1974">
        <w:t>.  In that time</w:t>
      </w:r>
      <w:r w:rsidR="002F0F09" w:rsidRPr="000F1974">
        <w:t xml:space="preserve"> she was promoted and awarded Employee of the Month.</w:t>
      </w:r>
      <w:r w:rsidR="006D747B" w:rsidRPr="000F1974">
        <w:t xml:space="preserve">  </w:t>
      </w:r>
      <w:r w:rsidRPr="000F1974">
        <w:t xml:space="preserve">In September 2012, </w:t>
      </w:r>
      <w:r w:rsidR="006D747B" w:rsidRPr="000F1974">
        <w:t>Ms. Hall</w:t>
      </w:r>
      <w:r w:rsidRPr="000F1974">
        <w:t xml:space="preserve"> was diagnosed with a heart condition that prevented her from continuing to serve as a Deputy Sheriff</w:t>
      </w:r>
      <w:r w:rsidR="0007032A" w:rsidRPr="000F1974">
        <w:t xml:space="preserve"> but which did not prevent her from working in a civilian position</w:t>
      </w:r>
      <w:r w:rsidRPr="000F1974">
        <w:t xml:space="preserve">.  Ms. Hall </w:t>
      </w:r>
      <w:r w:rsidR="00075070" w:rsidRPr="000F1974">
        <w:t xml:space="preserve">was qualified for </w:t>
      </w:r>
      <w:r w:rsidRPr="000F1974">
        <w:t xml:space="preserve">and </w:t>
      </w:r>
      <w:r w:rsidR="00075070" w:rsidRPr="000F1974">
        <w:t xml:space="preserve">sought </w:t>
      </w:r>
      <w:r w:rsidR="00774EB4" w:rsidRPr="000F1974">
        <w:t xml:space="preserve">a </w:t>
      </w:r>
      <w:r w:rsidRPr="000F1974">
        <w:t xml:space="preserve">civilian </w:t>
      </w:r>
      <w:r w:rsidR="00774EB4" w:rsidRPr="000F1974">
        <w:t xml:space="preserve">vacancy </w:t>
      </w:r>
      <w:r w:rsidR="00890022" w:rsidRPr="000F1974">
        <w:t>in</w:t>
      </w:r>
      <w:r w:rsidRPr="000F1974">
        <w:t xml:space="preserve"> the Sheriff’s Office.  </w:t>
      </w:r>
      <w:r w:rsidR="00774EB4" w:rsidRPr="000F1974">
        <w:t xml:space="preserve">Despite the </w:t>
      </w:r>
      <w:r w:rsidR="005E0CF2" w:rsidRPr="000F1974">
        <w:t>availability</w:t>
      </w:r>
      <w:r w:rsidR="00774EB4" w:rsidRPr="000F1974">
        <w:t xml:space="preserve"> of several civilian vacancies</w:t>
      </w:r>
      <w:r w:rsidR="005E0CF2" w:rsidRPr="000F1974">
        <w:t>,</w:t>
      </w:r>
      <w:r w:rsidR="00774EB4" w:rsidRPr="000F1974">
        <w:t xml:space="preserve"> </w:t>
      </w:r>
      <w:r w:rsidRPr="000F1974">
        <w:t>Defendant Sheriff C.T. Woody, Jr., did not reassign</w:t>
      </w:r>
      <w:r w:rsidR="005E0CF2" w:rsidRPr="000F1974">
        <w:t xml:space="preserve"> her to any </w:t>
      </w:r>
      <w:r w:rsidR="00702860" w:rsidRPr="000F1974">
        <w:t>vacancy</w:t>
      </w:r>
      <w:r w:rsidRPr="000F1974">
        <w:t>.  Instead, he fired her.  Sheriff Woody’s failure to accommodate Ms. Hall violated Title I of the Americans with Disabilities Act (ADA), 42 U.S.C. § 12111</w:t>
      </w:r>
      <w:r w:rsidRPr="000F1974">
        <w:rPr>
          <w:i/>
          <w:iCs/>
        </w:rPr>
        <w:t>−</w:t>
      </w:r>
      <w:r w:rsidRPr="000F1974">
        <w:rPr>
          <w:iCs/>
        </w:rPr>
        <w:t>12117.  The plain language of the statu</w:t>
      </w:r>
      <w:r w:rsidR="002A60C1" w:rsidRPr="000F1974">
        <w:rPr>
          <w:iCs/>
        </w:rPr>
        <w:t>t</w:t>
      </w:r>
      <w:r w:rsidRPr="000F1974">
        <w:rPr>
          <w:iCs/>
        </w:rPr>
        <w:t>e</w:t>
      </w:r>
      <w:r w:rsidR="00796FE9" w:rsidRPr="000F1974">
        <w:rPr>
          <w:iCs/>
        </w:rPr>
        <w:t xml:space="preserve"> </w:t>
      </w:r>
      <w:r w:rsidRPr="000F1974">
        <w:rPr>
          <w:iCs/>
        </w:rPr>
        <w:t>requires an employer to reassign a qualified employee with a disability to a vacant position when reassignment is a necessary accommodation.</w:t>
      </w:r>
    </w:p>
    <w:p w:rsidR="00774EB4" w:rsidRPr="000F1974" w:rsidRDefault="00774EB4" w:rsidP="002F0F09">
      <w:pPr>
        <w:spacing w:line="480" w:lineRule="auto"/>
        <w:ind w:firstLine="720"/>
        <w:rPr>
          <w:iCs/>
        </w:rPr>
      </w:pPr>
      <w:r w:rsidRPr="000F1974">
        <w:rPr>
          <w:iCs/>
        </w:rPr>
        <w:t xml:space="preserve">Both parties agree that there are no material facts in dispute and that this matter is capable of resolution on </w:t>
      </w:r>
      <w:r w:rsidR="00A5720A" w:rsidRPr="000F1974">
        <w:rPr>
          <w:iCs/>
        </w:rPr>
        <w:t>s</w:t>
      </w:r>
      <w:r w:rsidRPr="000F1974">
        <w:rPr>
          <w:iCs/>
        </w:rPr>
        <w:t xml:space="preserve">ummary </w:t>
      </w:r>
      <w:r w:rsidR="00A5720A" w:rsidRPr="000F1974">
        <w:rPr>
          <w:iCs/>
        </w:rPr>
        <w:t>j</w:t>
      </w:r>
      <w:r w:rsidRPr="000F1974">
        <w:rPr>
          <w:iCs/>
        </w:rPr>
        <w:t>udgment.</w:t>
      </w:r>
    </w:p>
    <w:p w:rsidR="00EF2C50" w:rsidRPr="000F1974" w:rsidRDefault="00EF2C50" w:rsidP="00C9648A">
      <w:pPr>
        <w:pStyle w:val="ListParagraph"/>
        <w:numPr>
          <w:ilvl w:val="0"/>
          <w:numId w:val="27"/>
        </w:numPr>
        <w:ind w:left="0" w:firstLine="0"/>
        <w:jc w:val="center"/>
        <w:rPr>
          <w:b/>
        </w:rPr>
      </w:pPr>
      <w:r w:rsidRPr="000F1974">
        <w:rPr>
          <w:b/>
        </w:rPr>
        <w:t>STATEMENT OF UNDISPUTED MATERIAL FACTS</w:t>
      </w:r>
    </w:p>
    <w:p w:rsidR="00623FD2" w:rsidRPr="000F1974" w:rsidRDefault="00623FD2" w:rsidP="00623FD2">
      <w:pPr>
        <w:spacing w:line="480" w:lineRule="auto"/>
        <w:ind w:left="720"/>
      </w:pPr>
      <w:r w:rsidRPr="000F1974">
        <w:t>In this case, the undisputed material facts are:</w:t>
      </w:r>
    </w:p>
    <w:p w:rsidR="000C0AAD" w:rsidRPr="000F1974" w:rsidRDefault="009D0AC7" w:rsidP="00C9648A">
      <w:pPr>
        <w:pStyle w:val="ListParagraph"/>
        <w:numPr>
          <w:ilvl w:val="0"/>
          <w:numId w:val="28"/>
        </w:numPr>
        <w:ind w:left="0" w:firstLine="720"/>
      </w:pPr>
      <w:r w:rsidRPr="000F1974">
        <w:t xml:space="preserve">Emily Hall began working for </w:t>
      </w:r>
      <w:r w:rsidR="006A12DF" w:rsidRPr="000F1974">
        <w:t>the Richmond City Sheriff’s Office</w:t>
      </w:r>
      <w:r w:rsidRPr="000F1974">
        <w:t xml:space="preserve"> as a Deputy Sheriff in May 2003</w:t>
      </w:r>
      <w:r w:rsidR="000C0AAD" w:rsidRPr="000F1974">
        <w:t xml:space="preserve">.  </w:t>
      </w:r>
      <w:r w:rsidR="00796FE9" w:rsidRPr="000F1974">
        <w:t xml:space="preserve">Ex. 1, </w:t>
      </w:r>
      <w:r w:rsidR="00927612" w:rsidRPr="000F1974">
        <w:t xml:space="preserve">Compl. ¶ 10; </w:t>
      </w:r>
      <w:r w:rsidR="00796FE9" w:rsidRPr="000F1974">
        <w:t xml:space="preserve">Ex. 2, </w:t>
      </w:r>
      <w:r w:rsidR="00CC691E" w:rsidRPr="000F1974">
        <w:t xml:space="preserve">Def.’s Answer to </w:t>
      </w:r>
      <w:r w:rsidR="006F2AB3" w:rsidRPr="000F1974">
        <w:t xml:space="preserve">Compl. </w:t>
      </w:r>
      <w:r w:rsidR="00CC691E" w:rsidRPr="000F1974">
        <w:t>¶ 10.</w:t>
      </w:r>
    </w:p>
    <w:p w:rsidR="006A12DF" w:rsidRPr="000F1974" w:rsidRDefault="006A12DF" w:rsidP="00C9648A">
      <w:pPr>
        <w:pStyle w:val="ListParagraph"/>
        <w:numPr>
          <w:ilvl w:val="0"/>
          <w:numId w:val="28"/>
        </w:numPr>
        <w:ind w:left="0" w:firstLine="720"/>
      </w:pPr>
      <w:r w:rsidRPr="000F1974">
        <w:t xml:space="preserve">Sheriff Woody became Sheriff of Richmond in 2006.  He decided to retain </w:t>
      </w:r>
      <w:r w:rsidR="007F247C" w:rsidRPr="000F1974">
        <w:t>Ms.</w:t>
      </w:r>
      <w:r w:rsidRPr="000F1974">
        <w:t xml:space="preserve"> Hall as an employee at that time.  </w:t>
      </w:r>
      <w:r w:rsidR="00796FE9" w:rsidRPr="000F1974">
        <w:t xml:space="preserve">Ex. 3, </w:t>
      </w:r>
      <w:r w:rsidRPr="000F1974">
        <w:t xml:space="preserve">Woody </w:t>
      </w:r>
      <w:r w:rsidR="00102E0E">
        <w:t>Dep</w:t>
      </w:r>
      <w:r w:rsidR="00CC691E" w:rsidRPr="000F1974">
        <w:t xml:space="preserve">. </w:t>
      </w:r>
      <w:r w:rsidR="00DE633B" w:rsidRPr="000F1974">
        <w:t xml:space="preserve">Tr. </w:t>
      </w:r>
      <w:r w:rsidR="00CC691E" w:rsidRPr="000F1974">
        <w:t>29:11</w:t>
      </w:r>
      <w:r w:rsidR="008434A5" w:rsidRPr="000F1974">
        <w:t>−</w:t>
      </w:r>
      <w:r w:rsidRPr="000F1974">
        <w:t>19.</w:t>
      </w:r>
    </w:p>
    <w:p w:rsidR="000C0AAD" w:rsidRPr="000F1974" w:rsidRDefault="000C0AAD" w:rsidP="00C9648A">
      <w:pPr>
        <w:pStyle w:val="ListParagraph"/>
        <w:numPr>
          <w:ilvl w:val="0"/>
          <w:numId w:val="28"/>
        </w:numPr>
        <w:ind w:left="0" w:firstLine="720"/>
      </w:pPr>
      <w:r w:rsidRPr="000F1974">
        <w:t xml:space="preserve">According to Sheriff Woody, </w:t>
      </w:r>
      <w:r w:rsidR="007F247C" w:rsidRPr="000F1974">
        <w:t>Ms.</w:t>
      </w:r>
      <w:r w:rsidRPr="000F1974">
        <w:t xml:space="preserve"> Hall was a “gre</w:t>
      </w:r>
      <w:r w:rsidR="002F0F09" w:rsidRPr="000F1974">
        <w:t xml:space="preserve">at employee” who </w:t>
      </w:r>
      <w:r w:rsidR="006F2AB3" w:rsidRPr="000F1974">
        <w:t>did her job</w:t>
      </w:r>
      <w:r w:rsidR="002F0F09" w:rsidRPr="000F1974">
        <w:t xml:space="preserve"> </w:t>
      </w:r>
      <w:r w:rsidR="002F0F09" w:rsidRPr="000F1974">
        <w:lastRenderedPageBreak/>
        <w:t>“</w:t>
      </w:r>
      <w:r w:rsidRPr="000F1974">
        <w:t>very well</w:t>
      </w:r>
      <w:r w:rsidR="00CC691E" w:rsidRPr="000F1974">
        <w:t>,</w:t>
      </w:r>
      <w:r w:rsidRPr="000F1974">
        <w:t xml:space="preserve">” </w:t>
      </w:r>
      <w:r w:rsidR="00CC691E" w:rsidRPr="000F1974">
        <w:t>“never complained,</w:t>
      </w:r>
      <w:r w:rsidRPr="000F1974">
        <w:t>”</w:t>
      </w:r>
      <w:r w:rsidR="00CC691E" w:rsidRPr="000F1974">
        <w:t xml:space="preserve"> and was “loved” and “respected” by her colleagues.</w:t>
      </w:r>
      <w:r w:rsidRPr="000F1974">
        <w:t xml:space="preserve">  </w:t>
      </w:r>
      <w:r w:rsidR="00796FE9" w:rsidRPr="000F1974">
        <w:t xml:space="preserve">Ex. 3, </w:t>
      </w:r>
      <w:r w:rsidRPr="000F1974">
        <w:t xml:space="preserve">Woody </w:t>
      </w:r>
      <w:r w:rsidR="00102E0E" w:rsidRPr="000F1974">
        <w:t>Dep</w:t>
      </w:r>
      <w:r w:rsidRPr="000F1974">
        <w:t>.</w:t>
      </w:r>
      <w:r w:rsidR="00DE633B" w:rsidRPr="000F1974">
        <w:t xml:space="preserve"> Tr.</w:t>
      </w:r>
      <w:r w:rsidRPr="000F1974">
        <w:t xml:space="preserve"> </w:t>
      </w:r>
      <w:r w:rsidR="00796FE9" w:rsidRPr="000F1974">
        <w:t>30</w:t>
      </w:r>
      <w:r w:rsidRPr="000F1974">
        <w:t>:</w:t>
      </w:r>
      <w:r w:rsidR="00796FE9" w:rsidRPr="000F1974">
        <w:t>12</w:t>
      </w:r>
      <w:r w:rsidR="008434A5" w:rsidRPr="000F1974">
        <w:t>−</w:t>
      </w:r>
      <w:r w:rsidRPr="000F1974">
        <w:t>18</w:t>
      </w:r>
      <w:r w:rsidR="00A25760" w:rsidRPr="000F1974">
        <w:t>,</w:t>
      </w:r>
      <w:r w:rsidR="00CC691E" w:rsidRPr="000F1974">
        <w:t xml:space="preserve"> </w:t>
      </w:r>
      <w:r w:rsidR="00796FE9" w:rsidRPr="000F1974">
        <w:t>31</w:t>
      </w:r>
      <w:r w:rsidR="007C2EC9" w:rsidRPr="000F1974">
        <w:t>:24</w:t>
      </w:r>
      <w:r w:rsidR="008434A5" w:rsidRPr="000F1974">
        <w:t>−</w:t>
      </w:r>
      <w:r w:rsidR="007C2EC9" w:rsidRPr="000F1974">
        <w:t>32:3.</w:t>
      </w:r>
      <w:r w:rsidR="00DC17E6">
        <w:t xml:space="preserve">  </w:t>
      </w:r>
    </w:p>
    <w:p w:rsidR="00344DDE" w:rsidRPr="000F1974" w:rsidRDefault="000C0AAD" w:rsidP="00C9648A">
      <w:pPr>
        <w:pStyle w:val="ListParagraph"/>
        <w:numPr>
          <w:ilvl w:val="0"/>
          <w:numId w:val="28"/>
        </w:numPr>
        <w:ind w:left="0" w:firstLine="720"/>
      </w:pPr>
      <w:r w:rsidRPr="000F1974">
        <w:t xml:space="preserve">Sheriff Woody “commend[ed] </w:t>
      </w:r>
      <w:r w:rsidR="000F3DFC" w:rsidRPr="000F1974">
        <w:t>[Ms. Hall]</w:t>
      </w:r>
      <w:r w:rsidRPr="000F1974">
        <w:t xml:space="preserve"> about her work ethic and how she conducted herself</w:t>
      </w:r>
      <w:r w:rsidR="00796FE9" w:rsidRPr="000F1974">
        <w:t xml:space="preserve"> as a deputy sheriff.</w:t>
      </w:r>
      <w:r w:rsidRPr="000F1974">
        <w:t>”</w:t>
      </w:r>
      <w:r w:rsidR="006A12DF" w:rsidRPr="000F1974">
        <w:t xml:space="preserve">  </w:t>
      </w:r>
      <w:r w:rsidR="00796FE9" w:rsidRPr="000F1974">
        <w:t>Ex. 3,</w:t>
      </w:r>
      <w:r w:rsidR="006A12DF" w:rsidRPr="000F1974">
        <w:t xml:space="preserve"> Woody </w:t>
      </w:r>
      <w:r w:rsidR="00102E0E" w:rsidRPr="000F1974">
        <w:t>Dep</w:t>
      </w:r>
      <w:r w:rsidR="006A12DF" w:rsidRPr="000F1974">
        <w:t xml:space="preserve">. </w:t>
      </w:r>
      <w:r w:rsidR="00796FE9" w:rsidRPr="000F1974">
        <w:t>30:9−11</w:t>
      </w:r>
      <w:r w:rsidR="00CC691E" w:rsidRPr="000F1974">
        <w:t>.</w:t>
      </w:r>
      <w:r w:rsidR="00A81441" w:rsidRPr="000F1974">
        <w:t xml:space="preserve">  </w:t>
      </w:r>
      <w:r w:rsidR="00624DB2">
        <w:t xml:space="preserve">In January 2006, Sheriff Woody named Ms. Hall Employee of the Month.  Ex. 29, Woody 565.  In 2010, </w:t>
      </w:r>
      <w:r w:rsidR="009E0EB9" w:rsidRPr="000F1974">
        <w:t xml:space="preserve">Sheriff Woody promoted </w:t>
      </w:r>
      <w:r w:rsidR="00A81441" w:rsidRPr="000F1974">
        <w:t>Ms</w:t>
      </w:r>
      <w:r w:rsidR="00075070" w:rsidRPr="000F1974">
        <w:t>. Hall to C</w:t>
      </w:r>
      <w:r w:rsidR="00A81441" w:rsidRPr="000F1974">
        <w:t xml:space="preserve">orporal.  </w:t>
      </w:r>
      <w:r w:rsidR="00796FE9" w:rsidRPr="000F1974">
        <w:rPr>
          <w:i/>
        </w:rPr>
        <w:t>Id.</w:t>
      </w:r>
      <w:r w:rsidR="00796FE9" w:rsidRPr="000F1974">
        <w:t xml:space="preserve"> 30:</w:t>
      </w:r>
      <w:r w:rsidR="007A1F5A" w:rsidRPr="000F1974">
        <w:t>1</w:t>
      </w:r>
      <w:r w:rsidR="00796FE9" w:rsidRPr="000F1974">
        <w:t xml:space="preserve">−11; Ex. 4, </w:t>
      </w:r>
      <w:r w:rsidR="00A81441" w:rsidRPr="000F1974">
        <w:t xml:space="preserve">Hall </w:t>
      </w:r>
      <w:r w:rsidR="00102E0E" w:rsidRPr="000F1974">
        <w:t>Dep</w:t>
      </w:r>
      <w:r w:rsidR="00A81441" w:rsidRPr="000F1974">
        <w:t>.</w:t>
      </w:r>
      <w:r w:rsidR="00DE633B" w:rsidRPr="000F1974">
        <w:t xml:space="preserve"> Tr.</w:t>
      </w:r>
      <w:r w:rsidR="00A81441" w:rsidRPr="000F1974">
        <w:t xml:space="preserve"> </w:t>
      </w:r>
      <w:r w:rsidR="00796FE9" w:rsidRPr="000F1974">
        <w:t>3</w:t>
      </w:r>
      <w:r w:rsidR="001668AB" w:rsidRPr="000F1974">
        <w:t>1</w:t>
      </w:r>
      <w:r w:rsidR="00796FE9" w:rsidRPr="000F1974">
        <w:t>:</w:t>
      </w:r>
      <w:r w:rsidR="001668AB" w:rsidRPr="000F1974">
        <w:t>11−17</w:t>
      </w:r>
      <w:r w:rsidR="00A81441" w:rsidRPr="000F1974">
        <w:t xml:space="preserve">; </w:t>
      </w:r>
      <w:r w:rsidR="00796FE9" w:rsidRPr="000F1974">
        <w:t xml:space="preserve">Ex. 24, </w:t>
      </w:r>
      <w:r w:rsidR="006F2AB3" w:rsidRPr="000F1974">
        <w:t>Woody 472</w:t>
      </w:r>
      <w:r w:rsidR="009E0EB9" w:rsidRPr="000F1974">
        <w:t>.</w:t>
      </w:r>
    </w:p>
    <w:p w:rsidR="009E0EB9" w:rsidRPr="000F1974" w:rsidRDefault="00A81441" w:rsidP="00C9648A">
      <w:pPr>
        <w:pStyle w:val="ListParagraph"/>
        <w:numPr>
          <w:ilvl w:val="0"/>
          <w:numId w:val="28"/>
        </w:numPr>
        <w:ind w:left="0" w:firstLine="720"/>
      </w:pPr>
      <w:r w:rsidRPr="000F1974">
        <w:t>At all relevant times, Ms. Hall work</w:t>
      </w:r>
      <w:r w:rsidR="006F2AB3" w:rsidRPr="000F1974">
        <w:t>ed</w:t>
      </w:r>
      <w:r w:rsidRPr="000F1974">
        <w:t xml:space="preserve"> as a Deputy Sheriff </w:t>
      </w:r>
      <w:r w:rsidR="00150DDE" w:rsidRPr="000F1974">
        <w:t>assigned to</w:t>
      </w:r>
      <w:r w:rsidRPr="000F1974">
        <w:t xml:space="preserve"> the court.  </w:t>
      </w:r>
      <w:r w:rsidR="00796FE9" w:rsidRPr="000F1974">
        <w:t xml:space="preserve">Ex. 4, </w:t>
      </w:r>
      <w:r w:rsidR="00F11C24" w:rsidRPr="000F1974">
        <w:t xml:space="preserve">Hall </w:t>
      </w:r>
      <w:r w:rsidR="00102E0E" w:rsidRPr="000F1974">
        <w:t>Dep</w:t>
      </w:r>
      <w:r w:rsidR="00F11C24" w:rsidRPr="000F1974">
        <w:t xml:space="preserve">. </w:t>
      </w:r>
      <w:r w:rsidR="00DE633B" w:rsidRPr="000F1974">
        <w:t xml:space="preserve">Tr. </w:t>
      </w:r>
      <w:r w:rsidR="00D9143B" w:rsidRPr="000F1974">
        <w:t>63:23</w:t>
      </w:r>
      <w:r w:rsidR="00081E53" w:rsidRPr="000F1974">
        <w:t>−64:8,</w:t>
      </w:r>
      <w:r w:rsidR="00D9143B" w:rsidRPr="000F1974">
        <w:t xml:space="preserve"> 121:4−122:3</w:t>
      </w:r>
      <w:r w:rsidR="00F11C24" w:rsidRPr="000F1974">
        <w:t xml:space="preserve">; </w:t>
      </w:r>
      <w:r w:rsidR="00796FE9" w:rsidRPr="000F1974">
        <w:t xml:space="preserve">Ex. 25, </w:t>
      </w:r>
      <w:r w:rsidR="00927612" w:rsidRPr="000F1974">
        <w:t>Woody 473</w:t>
      </w:r>
      <w:r w:rsidR="00F11C24" w:rsidRPr="000F1974">
        <w:t>.</w:t>
      </w:r>
      <w:r w:rsidR="003B52AC" w:rsidRPr="000F1974">
        <w:t xml:space="preserve">  </w:t>
      </w:r>
      <w:r w:rsidR="006F2AB3" w:rsidRPr="000F1974">
        <w:t xml:space="preserve">Her </w:t>
      </w:r>
      <w:r w:rsidR="000F3DFC" w:rsidRPr="000F1974">
        <w:t xml:space="preserve">duties </w:t>
      </w:r>
      <w:r w:rsidR="00344DDE" w:rsidRPr="000F1974">
        <w:t>included ensuring order in court, accompanying inmates in</w:t>
      </w:r>
      <w:r w:rsidR="00A5720A" w:rsidRPr="000F1974">
        <w:t>to</w:t>
      </w:r>
      <w:r w:rsidR="00344DDE" w:rsidRPr="000F1974">
        <w:t xml:space="preserve"> and out of court, and providing security for the</w:t>
      </w:r>
      <w:r w:rsidR="00601D0B" w:rsidRPr="000F1974">
        <w:t xml:space="preserve"> presiding</w:t>
      </w:r>
      <w:r w:rsidR="00344DDE" w:rsidRPr="000F1974">
        <w:t xml:space="preserve"> judge.  </w:t>
      </w:r>
      <w:r w:rsidR="00601D0B" w:rsidRPr="000F1974">
        <w:t>Ex. 1, Compl. ¶ 11; Ex. 2, Def.’s Answer ¶ 11.</w:t>
      </w:r>
    </w:p>
    <w:p w:rsidR="000C0AAD" w:rsidRPr="000F1974" w:rsidRDefault="009E0EB9" w:rsidP="00C9648A">
      <w:pPr>
        <w:pStyle w:val="ListParagraph"/>
        <w:numPr>
          <w:ilvl w:val="0"/>
          <w:numId w:val="28"/>
        </w:numPr>
        <w:ind w:left="0" w:firstLine="720"/>
      </w:pPr>
      <w:r w:rsidRPr="000F1974">
        <w:t>Ms. Hall’s</w:t>
      </w:r>
      <w:r w:rsidR="00344DDE" w:rsidRPr="000F1974">
        <w:t xml:space="preserve"> duties </w:t>
      </w:r>
      <w:r w:rsidR="000F3DFC" w:rsidRPr="000F1974">
        <w:t xml:space="preserve">required that </w:t>
      </w:r>
      <w:r w:rsidR="00927612" w:rsidRPr="000F1974">
        <w:t>she</w:t>
      </w:r>
      <w:r w:rsidR="000F3DFC" w:rsidRPr="000F1974">
        <w:t xml:space="preserve"> be prepared to restrain inmates and sustain direct</w:t>
      </w:r>
      <w:r w:rsidR="00344DDE" w:rsidRPr="000F1974">
        <w:t xml:space="preserve"> inmate contact.  </w:t>
      </w:r>
      <w:r w:rsidR="00796FE9" w:rsidRPr="000F1974">
        <w:t>Ex. 1</w:t>
      </w:r>
      <w:r w:rsidR="00A5720A" w:rsidRPr="000F1974">
        <w:t>,</w:t>
      </w:r>
      <w:r w:rsidR="00796FE9" w:rsidRPr="000F1974">
        <w:t xml:space="preserve"> </w:t>
      </w:r>
      <w:r w:rsidR="00927612" w:rsidRPr="000F1974">
        <w:t xml:space="preserve">Compl. ¶ 11; </w:t>
      </w:r>
      <w:r w:rsidR="00796FE9" w:rsidRPr="000F1974">
        <w:t xml:space="preserve">Ex. 2, </w:t>
      </w:r>
      <w:r w:rsidR="000F3DFC" w:rsidRPr="000F1974">
        <w:t>Def.’s Answer ¶ 11.</w:t>
      </w:r>
    </w:p>
    <w:p w:rsidR="006A12DF" w:rsidRPr="000F1974" w:rsidRDefault="003B52AC" w:rsidP="00C9648A">
      <w:pPr>
        <w:pStyle w:val="ListParagraph"/>
        <w:numPr>
          <w:ilvl w:val="0"/>
          <w:numId w:val="28"/>
        </w:numPr>
        <w:ind w:left="0" w:firstLine="720"/>
      </w:pPr>
      <w:r w:rsidRPr="000F1974">
        <w:t>In September</w:t>
      </w:r>
      <w:r w:rsidR="00374FB6" w:rsidRPr="000F1974">
        <w:t xml:space="preserve"> </w:t>
      </w:r>
      <w:r w:rsidR="000C0AAD" w:rsidRPr="000F1974">
        <w:t xml:space="preserve">2012, Ms. Hall was diagnosed with familial dilated cardiomyopathy and </w:t>
      </w:r>
      <w:r w:rsidR="006A12DF" w:rsidRPr="000F1974">
        <w:t xml:space="preserve">supraventricular </w:t>
      </w:r>
      <w:r w:rsidR="000C0AAD" w:rsidRPr="000F1974">
        <w:t xml:space="preserve">tachycardia, </w:t>
      </w:r>
      <w:r w:rsidR="006A12DF" w:rsidRPr="000F1974">
        <w:t>conditions that, without treatment, would substantially limit the operation of her cardiovas</w:t>
      </w:r>
      <w:r w:rsidR="000F3DFC" w:rsidRPr="000F1974">
        <w:t xml:space="preserve">cular system.  </w:t>
      </w:r>
      <w:r w:rsidR="00796FE9" w:rsidRPr="000F1974">
        <w:t xml:space="preserve">Ex. 5, </w:t>
      </w:r>
      <w:r w:rsidR="000F3DFC" w:rsidRPr="000F1974">
        <w:t>Shams Decl</w:t>
      </w:r>
      <w:r w:rsidR="00374FB6" w:rsidRPr="000F1974">
        <w:t>.</w:t>
      </w:r>
      <w:r w:rsidR="0079204E" w:rsidRPr="000F1974">
        <w:t xml:space="preserve"> ¶ 7−8.</w:t>
      </w:r>
    </w:p>
    <w:p w:rsidR="000C0AAD" w:rsidRPr="000F1974" w:rsidRDefault="006A12DF" w:rsidP="00C9648A">
      <w:pPr>
        <w:pStyle w:val="ListParagraph"/>
        <w:numPr>
          <w:ilvl w:val="0"/>
          <w:numId w:val="28"/>
        </w:numPr>
        <w:ind w:left="0" w:firstLine="720"/>
      </w:pPr>
      <w:r w:rsidRPr="000F1974">
        <w:t>On September 21, 2012, Ms. Hall’s</w:t>
      </w:r>
      <w:r w:rsidR="000C0AAD" w:rsidRPr="000F1974">
        <w:t xml:space="preserve"> doctors implanted an internal cardiac defibrillator and pacemaker</w:t>
      </w:r>
      <w:r w:rsidRPr="000F1974">
        <w:t xml:space="preserve"> to</w:t>
      </w:r>
      <w:r w:rsidR="003B52AC" w:rsidRPr="000F1974">
        <w:t xml:space="preserve"> treat these conditions and to</w:t>
      </w:r>
      <w:r w:rsidRPr="000F1974">
        <w:t xml:space="preserve"> prevent </w:t>
      </w:r>
      <w:r w:rsidR="009E0EB9" w:rsidRPr="000F1974">
        <w:t>heart</w:t>
      </w:r>
      <w:r w:rsidRPr="000F1974">
        <w:t xml:space="preserve"> failure</w:t>
      </w:r>
      <w:r w:rsidR="000C0AAD" w:rsidRPr="000F1974">
        <w:t>.</w:t>
      </w:r>
      <w:r w:rsidR="000F3DFC" w:rsidRPr="000F1974">
        <w:t xml:space="preserve">  </w:t>
      </w:r>
      <w:r w:rsidR="00796FE9" w:rsidRPr="000F1974">
        <w:t xml:space="preserve">Ex. 5, </w:t>
      </w:r>
      <w:r w:rsidR="000F3DFC" w:rsidRPr="000F1974">
        <w:t>Shams Decl.</w:t>
      </w:r>
      <w:r w:rsidR="003B52AC" w:rsidRPr="000F1974">
        <w:t>¶ </w:t>
      </w:r>
      <w:r w:rsidR="0079204E" w:rsidRPr="000F1974">
        <w:t xml:space="preserve">6; </w:t>
      </w:r>
      <w:r w:rsidR="00796FE9" w:rsidRPr="000F1974">
        <w:t xml:space="preserve">Ex. 6, </w:t>
      </w:r>
      <w:r w:rsidR="00367637" w:rsidRPr="000F1974">
        <w:t xml:space="preserve">Def.’s First </w:t>
      </w:r>
      <w:r w:rsidR="0079204E" w:rsidRPr="000F1974">
        <w:t>Admis.</w:t>
      </w:r>
      <w:r w:rsidRPr="000F1974">
        <w:t xml:space="preserve"> 6.</w:t>
      </w:r>
    </w:p>
    <w:p w:rsidR="00373CD6" w:rsidRPr="000F1974" w:rsidRDefault="003B52AC" w:rsidP="00A5720A">
      <w:pPr>
        <w:pStyle w:val="ListParagraph"/>
        <w:numPr>
          <w:ilvl w:val="0"/>
          <w:numId w:val="28"/>
        </w:numPr>
        <w:ind w:left="0" w:firstLine="720"/>
      </w:pPr>
      <w:r w:rsidRPr="000F1974">
        <w:t xml:space="preserve">On </w:t>
      </w:r>
      <w:r w:rsidR="0079204E" w:rsidRPr="000F1974">
        <w:t xml:space="preserve">September 24, 2012, Ms. Hall notified the Sheriff’s Office that she </w:t>
      </w:r>
      <w:r w:rsidR="001F24D4" w:rsidRPr="000F1974">
        <w:t>needed</w:t>
      </w:r>
      <w:r w:rsidR="0079204E" w:rsidRPr="000F1974">
        <w:t xml:space="preserve"> to take medical leave</w:t>
      </w:r>
      <w:r w:rsidR="00927612" w:rsidRPr="000F1974">
        <w:t xml:space="preserve"> </w:t>
      </w:r>
      <w:r w:rsidR="001F24D4" w:rsidRPr="000F1974">
        <w:t>due to a serious health condition that made her unable to perform the essential functions of her job</w:t>
      </w:r>
      <w:r w:rsidR="0079204E" w:rsidRPr="000F1974">
        <w:t xml:space="preserve">.  </w:t>
      </w:r>
      <w:r w:rsidR="00796FE9" w:rsidRPr="000F1974">
        <w:t xml:space="preserve">Ex. 2, </w:t>
      </w:r>
      <w:r w:rsidR="0079204E" w:rsidRPr="000F1974">
        <w:t xml:space="preserve">Def.’s </w:t>
      </w:r>
      <w:r w:rsidR="005569AE" w:rsidRPr="000F1974">
        <w:t xml:space="preserve">Answer ¶ 13; </w:t>
      </w:r>
      <w:r w:rsidR="00796FE9" w:rsidRPr="000F1974">
        <w:t xml:space="preserve">Ex. 6, </w:t>
      </w:r>
      <w:r w:rsidR="005569AE" w:rsidRPr="000F1974">
        <w:t xml:space="preserve">Def.’s </w:t>
      </w:r>
      <w:r w:rsidR="00367637" w:rsidRPr="000F1974">
        <w:t xml:space="preserve">First </w:t>
      </w:r>
      <w:r w:rsidR="0079204E" w:rsidRPr="000F1974">
        <w:t xml:space="preserve">Admis. </w:t>
      </w:r>
      <w:r w:rsidR="005569AE" w:rsidRPr="000F1974">
        <w:t>8</w:t>
      </w:r>
      <w:r w:rsidR="001F24D4" w:rsidRPr="000F1974">
        <w:t>;</w:t>
      </w:r>
      <w:r w:rsidR="00796FE9" w:rsidRPr="000F1974">
        <w:t xml:space="preserve"> Ex. 7, </w:t>
      </w:r>
      <w:r w:rsidR="001F24D4" w:rsidRPr="000F1974">
        <w:t xml:space="preserve">Hall </w:t>
      </w:r>
      <w:r w:rsidR="00102E0E" w:rsidRPr="000F1974">
        <w:t>Dep</w:t>
      </w:r>
      <w:r w:rsidR="001F24D4" w:rsidRPr="000F1974">
        <w:t>. Ex. 4 at 3 (Woody 717)</w:t>
      </w:r>
      <w:r w:rsidR="005569AE" w:rsidRPr="000F1974">
        <w:t>.</w:t>
      </w:r>
      <w:r w:rsidR="00871C82" w:rsidRPr="000F1974">
        <w:t xml:space="preserve">  </w:t>
      </w:r>
      <w:r w:rsidR="001F24D4" w:rsidRPr="000F1974">
        <w:t>Ms. Hall</w:t>
      </w:r>
      <w:r w:rsidR="00927612" w:rsidRPr="000F1974">
        <w:t>’s</w:t>
      </w:r>
      <w:r w:rsidR="001F24D4" w:rsidRPr="000F1974">
        <w:t xml:space="preserve"> cardiologist</w:t>
      </w:r>
      <w:r w:rsidR="00927612" w:rsidRPr="000F1974">
        <w:t xml:space="preserve"> </w:t>
      </w:r>
      <w:r w:rsidR="00A5720A" w:rsidRPr="000F1974">
        <w:t xml:space="preserve">approved her request and certified </w:t>
      </w:r>
      <w:r w:rsidR="001F24D4" w:rsidRPr="000F1974">
        <w:t>that she had developed familial dilated cardiomyopathy, a co</w:t>
      </w:r>
      <w:r w:rsidR="00A5720A" w:rsidRPr="000F1974">
        <w:t>ndition of “indefinite duration.”</w:t>
      </w:r>
      <w:r w:rsidR="001F24D4" w:rsidRPr="000F1974">
        <w:t xml:space="preserve">  </w:t>
      </w:r>
      <w:r w:rsidR="00A5720A" w:rsidRPr="000F1974">
        <w:t xml:space="preserve">Ex. 7, Hall </w:t>
      </w:r>
      <w:r w:rsidR="00102E0E" w:rsidRPr="000F1974">
        <w:t>Dep</w:t>
      </w:r>
      <w:r w:rsidR="00A5720A" w:rsidRPr="000F1974">
        <w:t xml:space="preserve">. </w:t>
      </w:r>
      <w:r w:rsidR="00A5720A" w:rsidRPr="000F1974">
        <w:lastRenderedPageBreak/>
        <w:t xml:space="preserve">Ex. 4 at 7 (Woody 721).  </w:t>
      </w:r>
      <w:r w:rsidR="00373CD6" w:rsidRPr="000F1974">
        <w:t xml:space="preserve">Sheriff Woody granted Ms. Hall’s request for medical leave.  </w:t>
      </w:r>
      <w:r w:rsidR="00620169" w:rsidRPr="000F1974">
        <w:rPr>
          <w:i/>
        </w:rPr>
        <w:t>Id.</w:t>
      </w:r>
      <w:r w:rsidR="00373CD6" w:rsidRPr="000F1974">
        <w:t xml:space="preserve"> at 11 (Woody 725).</w:t>
      </w:r>
      <w:r w:rsidR="00D9482E" w:rsidRPr="000F1974">
        <w:t xml:space="preserve"> </w:t>
      </w:r>
    </w:p>
    <w:p w:rsidR="00871C82" w:rsidRPr="000F1974" w:rsidRDefault="00871C82" w:rsidP="00C9648A">
      <w:pPr>
        <w:pStyle w:val="ListParagraph"/>
        <w:numPr>
          <w:ilvl w:val="0"/>
          <w:numId w:val="28"/>
        </w:numPr>
        <w:ind w:left="0" w:firstLine="720"/>
      </w:pPr>
      <w:r w:rsidRPr="000F1974">
        <w:t xml:space="preserve">Also on September 24, 2012, Ms. Hall provided a Notification of Return to Work/School form to the Sheriff’s Office.  </w:t>
      </w:r>
      <w:r w:rsidR="00796FE9" w:rsidRPr="000F1974">
        <w:t xml:space="preserve">Ex. 8, </w:t>
      </w:r>
      <w:r w:rsidR="00927612" w:rsidRPr="000F1974">
        <w:t xml:space="preserve">Hall </w:t>
      </w:r>
      <w:r w:rsidR="00102E0E" w:rsidRPr="000F1974">
        <w:t>Dep</w:t>
      </w:r>
      <w:r w:rsidR="00927612" w:rsidRPr="000F1974">
        <w:t xml:space="preserve">. Ex. 5 (Woody 726).  Ms. Hall </w:t>
      </w:r>
      <w:r w:rsidR="005E0CF2" w:rsidRPr="000F1974">
        <w:t>was “</w:t>
      </w:r>
      <w:r w:rsidR="00373CD6" w:rsidRPr="000F1974">
        <w:t xml:space="preserve">really </w:t>
      </w:r>
      <w:r w:rsidR="005E0CF2" w:rsidRPr="000F1974">
        <w:t>excited</w:t>
      </w:r>
      <w:r w:rsidR="00373CD6" w:rsidRPr="000F1974">
        <w:t xml:space="preserve"> about getting back to work</w:t>
      </w:r>
      <w:r w:rsidR="005E0CF2" w:rsidRPr="000F1974">
        <w:t xml:space="preserve">” and </w:t>
      </w:r>
      <w:r w:rsidR="00927612" w:rsidRPr="000F1974">
        <w:t xml:space="preserve">planned to return to work as soon as she was able.  </w:t>
      </w:r>
      <w:r w:rsidR="00796FE9" w:rsidRPr="000F1974">
        <w:t xml:space="preserve">Ex. 4, </w:t>
      </w:r>
      <w:r w:rsidR="00927612" w:rsidRPr="000F1974">
        <w:t xml:space="preserve">Hall </w:t>
      </w:r>
      <w:r w:rsidR="00102E0E" w:rsidRPr="000F1974">
        <w:t>Dep</w:t>
      </w:r>
      <w:r w:rsidR="00927612" w:rsidRPr="000F1974">
        <w:t>.</w:t>
      </w:r>
      <w:r w:rsidR="00DE633B" w:rsidRPr="000F1974">
        <w:t xml:space="preserve"> Tr.</w:t>
      </w:r>
      <w:r w:rsidR="008434A5" w:rsidRPr="000F1974">
        <w:t xml:space="preserve"> </w:t>
      </w:r>
      <w:r w:rsidR="00373CD6" w:rsidRPr="000F1974">
        <w:t>124</w:t>
      </w:r>
      <w:r w:rsidR="008434A5" w:rsidRPr="000F1974">
        <w:t>:</w:t>
      </w:r>
      <w:r w:rsidR="00373CD6" w:rsidRPr="000F1974">
        <w:t>14−19</w:t>
      </w:r>
      <w:r w:rsidR="00927612" w:rsidRPr="000F1974">
        <w:t xml:space="preserve">.  </w:t>
      </w:r>
      <w:r w:rsidRPr="000F1974">
        <w:t>The form, which was completed by Ms. Hall’s health care provider, stated that she “may be able to return to work” as of October 15, 2012, but only on “light duty” status</w:t>
      </w:r>
      <w:r w:rsidR="006F2AB3" w:rsidRPr="000F1974">
        <w:t>,</w:t>
      </w:r>
      <w:r w:rsidRPr="000F1974">
        <w:t xml:space="preserve"> with the restriction that she could no longer sustain direct contact with inmates.  </w:t>
      </w:r>
      <w:r w:rsidR="00D9482E" w:rsidRPr="000F1974">
        <w:t xml:space="preserve">Ex. 8, Hall </w:t>
      </w:r>
      <w:r w:rsidR="00102E0E" w:rsidRPr="000F1974">
        <w:t>Dep</w:t>
      </w:r>
      <w:r w:rsidR="00D9482E" w:rsidRPr="000F1974">
        <w:t xml:space="preserve">. Ex. 5 (Woody 726); </w:t>
      </w:r>
      <w:r w:rsidR="00796FE9" w:rsidRPr="000F1974">
        <w:t xml:space="preserve">Ex. 2, </w:t>
      </w:r>
      <w:r w:rsidRPr="000F1974">
        <w:t>Def.’s Answer ¶ 1</w:t>
      </w:r>
      <w:r w:rsidR="00D9482E" w:rsidRPr="000F1974">
        <w:t>4</w:t>
      </w:r>
      <w:r w:rsidRPr="000F1974">
        <w:t xml:space="preserve">; </w:t>
      </w:r>
      <w:r w:rsidR="00796FE9" w:rsidRPr="000F1974">
        <w:t xml:space="preserve">Ex. 6, </w:t>
      </w:r>
      <w:r w:rsidRPr="000F1974">
        <w:t>Def.’</w:t>
      </w:r>
      <w:r w:rsidR="00876D12" w:rsidRPr="000F1974">
        <w:t xml:space="preserve">s </w:t>
      </w:r>
      <w:r w:rsidR="00367637" w:rsidRPr="000F1974">
        <w:t xml:space="preserve">First </w:t>
      </w:r>
      <w:r w:rsidR="00876D12" w:rsidRPr="000F1974">
        <w:t>Admis. 9.</w:t>
      </w:r>
    </w:p>
    <w:p w:rsidR="005E0CF2" w:rsidRPr="000F1974" w:rsidRDefault="007F247C" w:rsidP="00C9648A">
      <w:pPr>
        <w:pStyle w:val="ListParagraph"/>
        <w:numPr>
          <w:ilvl w:val="0"/>
          <w:numId w:val="28"/>
        </w:numPr>
        <w:ind w:left="0" w:firstLine="720"/>
      </w:pPr>
      <w:r w:rsidRPr="000F1974">
        <w:t>Ms.</w:t>
      </w:r>
      <w:r w:rsidR="00F43F61" w:rsidRPr="000F1974">
        <w:t xml:space="preserve"> Hall’s health condition </w:t>
      </w:r>
      <w:r w:rsidR="009E0EB9" w:rsidRPr="000F1974">
        <w:t>and</w:t>
      </w:r>
      <w:r w:rsidR="00927612" w:rsidRPr="000F1974">
        <w:t xml:space="preserve"> restrictions </w:t>
      </w:r>
      <w:r w:rsidR="00F43F61" w:rsidRPr="000F1974">
        <w:t xml:space="preserve">prevented her from performing the essential functions of her job as a Deputy Sheriff.  </w:t>
      </w:r>
      <w:r w:rsidR="00796FE9" w:rsidRPr="000F1974">
        <w:t xml:space="preserve">Ex. 9, </w:t>
      </w:r>
      <w:r w:rsidR="00F43F61" w:rsidRPr="000F1974">
        <w:t>Def.’s Interrog. Answers 2.</w:t>
      </w:r>
      <w:r w:rsidR="00C9648A" w:rsidRPr="000F1974">
        <w:t xml:space="preserve">  According to the Sheriff’s Office, there was no accommodation that would have allowed Ms. Hall to continue working in her job as Deputy Sheriff, because all Deputy Sheriffs must be able to sustain </w:t>
      </w:r>
      <w:r w:rsidR="009E0EB9" w:rsidRPr="000F1974">
        <w:t>direct</w:t>
      </w:r>
      <w:r w:rsidR="00C9648A" w:rsidRPr="000F1974">
        <w:t xml:space="preserve"> contact fr</w:t>
      </w:r>
      <w:r w:rsidR="00230914" w:rsidRPr="000F1974">
        <w:t xml:space="preserve">om inmates or other individuals. </w:t>
      </w:r>
      <w:r w:rsidR="00C9648A" w:rsidRPr="000F1974">
        <w:t xml:space="preserve"> </w:t>
      </w:r>
      <w:r w:rsidR="00796FE9" w:rsidRPr="000F1974">
        <w:t xml:space="preserve">Ex. 10, </w:t>
      </w:r>
      <w:r w:rsidR="00C9648A" w:rsidRPr="000F1974">
        <w:t xml:space="preserve">30(b)(6) </w:t>
      </w:r>
      <w:r w:rsidR="00102E0E" w:rsidRPr="000F1974">
        <w:t>Dep</w:t>
      </w:r>
      <w:r w:rsidR="00C9648A" w:rsidRPr="000F1974">
        <w:t xml:space="preserve">. </w:t>
      </w:r>
      <w:r w:rsidR="00DE633B" w:rsidRPr="000F1974">
        <w:t xml:space="preserve">Tr. </w:t>
      </w:r>
      <w:r w:rsidR="008434A5" w:rsidRPr="000F1974">
        <w:t>113:13−</w:t>
      </w:r>
      <w:r w:rsidR="00230914" w:rsidRPr="000F1974">
        <w:t>16 (“The only way Emily Hall could return to work would be to return to full capacity in a sworn</w:t>
      </w:r>
      <w:r w:rsidR="00702860" w:rsidRPr="000F1974">
        <w:t xml:space="preserve"> [Deputy Sheriff]</w:t>
      </w:r>
      <w:r w:rsidR="00230914" w:rsidRPr="000F1974">
        <w:t xml:space="preserve"> position or ap</w:t>
      </w:r>
      <w:r w:rsidR="00081E53" w:rsidRPr="000F1974">
        <w:t>ply for a different position.”),</w:t>
      </w:r>
      <w:r w:rsidR="00230914" w:rsidRPr="000F1974">
        <w:t xml:space="preserve"> </w:t>
      </w:r>
      <w:r w:rsidR="008434A5" w:rsidRPr="000F1974">
        <w:t>185:3−</w:t>
      </w:r>
      <w:r w:rsidR="00D9482E" w:rsidRPr="000F1974">
        <w:t>13</w:t>
      </w:r>
      <w:r w:rsidR="00081E53" w:rsidRPr="000F1974">
        <w:t>, 186:9−10,</w:t>
      </w:r>
      <w:r w:rsidR="008434A5" w:rsidRPr="000F1974">
        <w:t xml:space="preserve"> 187:1−</w:t>
      </w:r>
      <w:r w:rsidR="00A951B4" w:rsidRPr="000F1974">
        <w:t>5.</w:t>
      </w:r>
    </w:p>
    <w:p w:rsidR="00F43F61" w:rsidRPr="000F1974" w:rsidRDefault="00833905" w:rsidP="00C9648A">
      <w:pPr>
        <w:pStyle w:val="ListParagraph"/>
        <w:numPr>
          <w:ilvl w:val="0"/>
          <w:numId w:val="28"/>
        </w:numPr>
        <w:ind w:left="0" w:firstLine="720"/>
      </w:pPr>
      <w:r w:rsidRPr="000F1974">
        <w:t xml:space="preserve">Ms. Hall was, however, physically able to hold a full-time “desk job.”  </w:t>
      </w:r>
      <w:r w:rsidR="00796FE9" w:rsidRPr="000F1974">
        <w:t xml:space="preserve">Ex. 5, </w:t>
      </w:r>
      <w:r w:rsidRPr="000F1974">
        <w:t>Shams Decl. ¶ 9</w:t>
      </w:r>
      <w:r w:rsidR="00601403" w:rsidRPr="000F1974">
        <w:t>.</w:t>
      </w:r>
    </w:p>
    <w:p w:rsidR="00DF0C45" w:rsidRPr="000F1974" w:rsidRDefault="00CA2E44" w:rsidP="00C9648A">
      <w:pPr>
        <w:pStyle w:val="ListParagraph"/>
        <w:numPr>
          <w:ilvl w:val="0"/>
          <w:numId w:val="28"/>
        </w:numPr>
        <w:ind w:left="0" w:firstLine="720"/>
      </w:pPr>
      <w:r w:rsidRPr="000F1974">
        <w:t xml:space="preserve">On multiple occasions and starting while Ms. Hall was still on leave in October 2012, Ms. Hall asked the Sheriff’s Office to </w:t>
      </w:r>
      <w:r w:rsidR="00927612" w:rsidRPr="000F1974">
        <w:t>place</w:t>
      </w:r>
      <w:r w:rsidRPr="000F1974">
        <w:t xml:space="preserve"> her </w:t>
      </w:r>
      <w:r w:rsidR="00927612" w:rsidRPr="000F1974">
        <w:t>in</w:t>
      </w:r>
      <w:r w:rsidRPr="000F1974">
        <w:t xml:space="preserve"> a pos</w:t>
      </w:r>
      <w:r w:rsidR="00F11C24" w:rsidRPr="000F1974">
        <w:t>ition other than Deputy Sheriff</w:t>
      </w:r>
      <w:r w:rsidR="00230914" w:rsidRPr="000F1974">
        <w:t>—</w:t>
      </w:r>
      <w:r w:rsidR="00F11C24" w:rsidRPr="000F1974">
        <w:t>a</w:t>
      </w:r>
      <w:r w:rsidR="00230914" w:rsidRPr="000F1974">
        <w:t xml:space="preserve"> </w:t>
      </w:r>
      <w:r w:rsidR="00F11C24" w:rsidRPr="000F1974">
        <w:t>“light duty” or civilian position.</w:t>
      </w:r>
      <w:r w:rsidR="00056928" w:rsidRPr="000F1974">
        <w:t xml:space="preserve">  </w:t>
      </w:r>
      <w:r w:rsidR="004E2477" w:rsidRPr="000F1974">
        <w:rPr>
          <w:i/>
        </w:rPr>
        <w:t>Infra</w:t>
      </w:r>
      <w:r w:rsidR="00B62C87" w:rsidRPr="000F1974">
        <w:rPr>
          <w:i/>
        </w:rPr>
        <w:t xml:space="preserve"> </w:t>
      </w:r>
      <w:r w:rsidR="00B62C87" w:rsidRPr="000F1974">
        <w:t>¶ 1</w:t>
      </w:r>
      <w:r w:rsidR="00D9482E" w:rsidRPr="000F1974">
        <w:t>4</w:t>
      </w:r>
      <w:r w:rsidR="00B62C87" w:rsidRPr="000F1974">
        <w:t>, 1</w:t>
      </w:r>
      <w:r w:rsidR="00D9482E" w:rsidRPr="000F1974">
        <w:t>6</w:t>
      </w:r>
      <w:r w:rsidR="00B62C87" w:rsidRPr="000F1974">
        <w:t>, 1</w:t>
      </w:r>
      <w:r w:rsidR="00D9482E" w:rsidRPr="000F1974">
        <w:t>7</w:t>
      </w:r>
      <w:r w:rsidR="00B62C87" w:rsidRPr="000F1974">
        <w:t>−2</w:t>
      </w:r>
      <w:r w:rsidR="00D9482E" w:rsidRPr="000F1974">
        <w:t>1</w:t>
      </w:r>
      <w:r w:rsidR="00B62C87" w:rsidRPr="000F1974">
        <w:t xml:space="preserve">, </w:t>
      </w:r>
      <w:r w:rsidR="00D9482E" w:rsidRPr="000F1974">
        <w:t>3</w:t>
      </w:r>
      <w:r w:rsidR="0014688F" w:rsidRPr="000F1974">
        <w:t>5</w:t>
      </w:r>
      <w:r w:rsidR="00D9482E" w:rsidRPr="000F1974">
        <w:t>, 4</w:t>
      </w:r>
      <w:r w:rsidR="0014688F" w:rsidRPr="000F1974">
        <w:t>4</w:t>
      </w:r>
      <w:r w:rsidR="00B62C87" w:rsidRPr="000F1974">
        <w:t>.</w:t>
      </w:r>
      <w:r w:rsidR="00287808" w:rsidRPr="000F1974">
        <w:t xml:space="preserve">  </w:t>
      </w:r>
      <w:r w:rsidR="00D002F6" w:rsidRPr="000F1974">
        <w:t xml:space="preserve">Civilian employees, unlike </w:t>
      </w:r>
      <w:r w:rsidR="00307772" w:rsidRPr="000F1974">
        <w:t>sworn employees (</w:t>
      </w:r>
      <w:r w:rsidR="00D002F6" w:rsidRPr="000F1974">
        <w:t>Deputy Sheriffs</w:t>
      </w:r>
      <w:r w:rsidR="00307772" w:rsidRPr="000F1974">
        <w:t>)</w:t>
      </w:r>
      <w:r w:rsidR="00D002F6" w:rsidRPr="000F1974">
        <w:t xml:space="preserve">, do not have police powers.  Ex. 10, 30(b)(6) </w:t>
      </w:r>
      <w:r w:rsidR="00102E0E" w:rsidRPr="000F1974">
        <w:t>Dep</w:t>
      </w:r>
      <w:r w:rsidR="00D002F6" w:rsidRPr="000F1974">
        <w:t>. Tr. 20</w:t>
      </w:r>
      <w:r w:rsidR="00DF0C45" w:rsidRPr="000F1974">
        <w:t>:20</w:t>
      </w:r>
      <w:r w:rsidR="00D002F6" w:rsidRPr="000F1974">
        <w:t>−</w:t>
      </w:r>
      <w:r w:rsidR="00DF0C45" w:rsidRPr="000F1974">
        <w:t>21:</w:t>
      </w:r>
      <w:r w:rsidR="001E425B" w:rsidRPr="000F1974">
        <w:t>4</w:t>
      </w:r>
      <w:r w:rsidR="00D002F6" w:rsidRPr="000F1974">
        <w:t xml:space="preserve">.  </w:t>
      </w:r>
    </w:p>
    <w:p w:rsidR="00F11C24" w:rsidRPr="000F1974" w:rsidRDefault="00871C82" w:rsidP="00C9648A">
      <w:pPr>
        <w:pStyle w:val="ListParagraph"/>
        <w:numPr>
          <w:ilvl w:val="0"/>
          <w:numId w:val="28"/>
        </w:numPr>
        <w:ind w:left="0" w:firstLine="720"/>
      </w:pPr>
      <w:r w:rsidRPr="000F1974">
        <w:t xml:space="preserve">In October 2012, </w:t>
      </w:r>
      <w:r w:rsidR="00B26779" w:rsidRPr="000F1974">
        <w:t>while Ms. Hall was still on medical leave, she went</w:t>
      </w:r>
      <w:r w:rsidR="00F11C24" w:rsidRPr="000F1974">
        <w:t xml:space="preserve"> to the Sheriff’s </w:t>
      </w:r>
      <w:r w:rsidR="00F11C24" w:rsidRPr="000F1974">
        <w:lastRenderedPageBreak/>
        <w:t xml:space="preserve">Office </w:t>
      </w:r>
      <w:r w:rsidR="00B26779" w:rsidRPr="000F1974">
        <w:t xml:space="preserve">to </w:t>
      </w:r>
      <w:r w:rsidR="009E0EB9" w:rsidRPr="000F1974">
        <w:t>inform</w:t>
      </w:r>
      <w:r w:rsidR="00F11C24" w:rsidRPr="000F1974">
        <w:t xml:space="preserve"> </w:t>
      </w:r>
      <w:r w:rsidR="00352E1A" w:rsidRPr="000F1974">
        <w:t>Recruitment Manager</w:t>
      </w:r>
      <w:r w:rsidR="00A5720A" w:rsidRPr="000F1974">
        <w:t xml:space="preserve"> </w:t>
      </w:r>
      <w:r w:rsidR="00F11C24" w:rsidRPr="000F1974">
        <w:t xml:space="preserve">Patty Nicholas that she was able to return to work in a light duty capacity, </w:t>
      </w:r>
      <w:r w:rsidR="00F11C24" w:rsidRPr="000F1974">
        <w:rPr>
          <w:i/>
        </w:rPr>
        <w:t>i.e.</w:t>
      </w:r>
      <w:r w:rsidR="00F11C24" w:rsidRPr="000F1974">
        <w:t xml:space="preserve">, a </w:t>
      </w:r>
      <w:r w:rsidR="00702860" w:rsidRPr="000F1974">
        <w:t xml:space="preserve">sworn </w:t>
      </w:r>
      <w:r w:rsidR="00F11C24" w:rsidRPr="000F1974">
        <w:t>position in which she would not risk sustaining contact from inmates, or in a civilian role</w:t>
      </w:r>
      <w:r w:rsidR="000C1380" w:rsidRPr="000F1974">
        <w:t xml:space="preserve">.  Ms. Hall </w:t>
      </w:r>
      <w:r w:rsidR="00927612" w:rsidRPr="000F1974">
        <w:t>request</w:t>
      </w:r>
      <w:r w:rsidR="000C1380" w:rsidRPr="000F1974">
        <w:t>ed</w:t>
      </w:r>
      <w:r w:rsidR="00927612" w:rsidRPr="000F1974">
        <w:t xml:space="preserve"> employment in either capacity</w:t>
      </w:r>
      <w:r w:rsidR="00F11C24" w:rsidRPr="000F1974">
        <w:t xml:space="preserve">.  </w:t>
      </w:r>
      <w:r w:rsidR="00796FE9" w:rsidRPr="000F1974">
        <w:t xml:space="preserve">Ex. 4, </w:t>
      </w:r>
      <w:r w:rsidR="00F11C24" w:rsidRPr="000F1974">
        <w:t xml:space="preserve">Hall </w:t>
      </w:r>
      <w:r w:rsidR="00102E0E" w:rsidRPr="000F1974">
        <w:t>Dep</w:t>
      </w:r>
      <w:r w:rsidR="00F11C24" w:rsidRPr="000F1974">
        <w:t xml:space="preserve">. </w:t>
      </w:r>
      <w:r w:rsidR="00DE633B" w:rsidRPr="000F1974">
        <w:t xml:space="preserve">Tr. </w:t>
      </w:r>
      <w:r w:rsidR="00373CD6" w:rsidRPr="000F1974">
        <w:t>85:</w:t>
      </w:r>
      <w:r w:rsidR="00307772" w:rsidRPr="000F1974">
        <w:t>5</w:t>
      </w:r>
      <w:r w:rsidR="00373CD6" w:rsidRPr="000F1974">
        <w:t>−1</w:t>
      </w:r>
      <w:r w:rsidR="00307772" w:rsidRPr="000F1974">
        <w:t>6</w:t>
      </w:r>
      <w:r w:rsidR="001E425B" w:rsidRPr="000F1974">
        <w:t>,</w:t>
      </w:r>
      <w:r w:rsidR="00307772" w:rsidRPr="000F1974">
        <w:t xml:space="preserve"> 104:1−3</w:t>
      </w:r>
      <w:r w:rsidR="001E425B" w:rsidRPr="000F1974">
        <w:t>,</w:t>
      </w:r>
      <w:r w:rsidR="00373CD6" w:rsidRPr="000F1974">
        <w:t xml:space="preserve"> 12</w:t>
      </w:r>
      <w:r w:rsidR="00307772" w:rsidRPr="000F1974">
        <w:t>4:12</w:t>
      </w:r>
      <w:r w:rsidR="00373CD6" w:rsidRPr="000F1974">
        <w:t>−126:</w:t>
      </w:r>
      <w:r w:rsidR="00307772" w:rsidRPr="000F1974">
        <w:t>23</w:t>
      </w:r>
      <w:r w:rsidR="00702860" w:rsidRPr="000F1974">
        <w:t xml:space="preserve">; Ex. 10, 30(b)(6) </w:t>
      </w:r>
      <w:r w:rsidR="00102E0E" w:rsidRPr="000F1974">
        <w:t>Dep</w:t>
      </w:r>
      <w:r w:rsidR="00702860" w:rsidRPr="000F1974">
        <w:t>. Tr. 19:8−9</w:t>
      </w:r>
      <w:r w:rsidR="00352E1A" w:rsidRPr="000F1974">
        <w:t xml:space="preserve"> &amp; Errata Sheet</w:t>
      </w:r>
      <w:r w:rsidR="00702860" w:rsidRPr="000F1974">
        <w:t>.</w:t>
      </w:r>
    </w:p>
    <w:p w:rsidR="00F11C24" w:rsidRPr="000F1974" w:rsidRDefault="00F11C24" w:rsidP="00080619">
      <w:pPr>
        <w:pStyle w:val="ListParagraph"/>
        <w:numPr>
          <w:ilvl w:val="0"/>
          <w:numId w:val="28"/>
        </w:numPr>
        <w:ind w:left="0" w:firstLine="720"/>
      </w:pPr>
      <w:r w:rsidRPr="000F1974">
        <w:t xml:space="preserve">Ms. Nicholas told Ms. Hall that she was ineligible for a light duty assignment, because her condition was indefinite.  </w:t>
      </w:r>
      <w:r w:rsidR="00796FE9" w:rsidRPr="000F1974">
        <w:t xml:space="preserve">Ex. 4, </w:t>
      </w:r>
      <w:r w:rsidR="00927612" w:rsidRPr="000F1974">
        <w:t xml:space="preserve">Hall </w:t>
      </w:r>
      <w:r w:rsidR="00102E0E" w:rsidRPr="000F1974">
        <w:t>Dep</w:t>
      </w:r>
      <w:r w:rsidR="00927612" w:rsidRPr="000F1974">
        <w:t xml:space="preserve">. </w:t>
      </w:r>
      <w:r w:rsidR="00DE633B" w:rsidRPr="000F1974">
        <w:t xml:space="preserve">Tr. </w:t>
      </w:r>
      <w:r w:rsidR="00373CD6" w:rsidRPr="000F1974">
        <w:t>104:</w:t>
      </w:r>
      <w:r w:rsidR="00307772" w:rsidRPr="000F1974">
        <w:t>1</w:t>
      </w:r>
      <w:r w:rsidR="00373CD6" w:rsidRPr="000F1974">
        <w:t>−</w:t>
      </w:r>
      <w:r w:rsidR="00307772" w:rsidRPr="000F1974">
        <w:t>6</w:t>
      </w:r>
      <w:r w:rsidR="001E425B" w:rsidRPr="000F1974">
        <w:t>,</w:t>
      </w:r>
      <w:r w:rsidR="00373CD6" w:rsidRPr="000F1974">
        <w:t xml:space="preserve"> </w:t>
      </w:r>
      <w:r w:rsidR="00307772" w:rsidRPr="000F1974">
        <w:t>124:12−125:23</w:t>
      </w:r>
      <w:r w:rsidRPr="000F1974">
        <w:t>.  At that time, the Sheriff’s Office d</w:t>
      </w:r>
      <w:r w:rsidR="00B26779" w:rsidRPr="000F1974">
        <w:t>id</w:t>
      </w:r>
      <w:r w:rsidRPr="000F1974">
        <w:t xml:space="preserve"> not provide light duty</w:t>
      </w:r>
      <w:r w:rsidR="00927612" w:rsidRPr="000F1974">
        <w:t xml:space="preserve"> assignments for individuals who</w:t>
      </w:r>
      <w:r w:rsidRPr="000F1974">
        <w:t xml:space="preserve"> require</w:t>
      </w:r>
      <w:r w:rsidR="00927612" w:rsidRPr="000F1974">
        <w:t>d</w:t>
      </w:r>
      <w:r w:rsidRPr="000F1974">
        <w:t xml:space="preserve"> light duty for more than ninety days.  </w:t>
      </w:r>
      <w:r w:rsidR="00796FE9" w:rsidRPr="000F1974">
        <w:t xml:space="preserve">Ex. 10, </w:t>
      </w:r>
      <w:r w:rsidR="00FD5B57" w:rsidRPr="000F1974">
        <w:t xml:space="preserve">30(b)(6) </w:t>
      </w:r>
      <w:r w:rsidR="00102E0E" w:rsidRPr="000F1974">
        <w:t>Dep</w:t>
      </w:r>
      <w:r w:rsidR="00FD5B57" w:rsidRPr="000F1974">
        <w:t>. 97:16</w:t>
      </w:r>
      <w:r w:rsidR="008434A5" w:rsidRPr="000F1974">
        <w:t>−</w:t>
      </w:r>
      <w:r w:rsidR="001E425B" w:rsidRPr="000F1974">
        <w:t>20,</w:t>
      </w:r>
      <w:r w:rsidR="00FD5B57" w:rsidRPr="000F1974">
        <w:t xml:space="preserve"> 141:18</w:t>
      </w:r>
      <w:r w:rsidR="008434A5" w:rsidRPr="000F1974">
        <w:t>−</w:t>
      </w:r>
      <w:r w:rsidR="00FD5B57" w:rsidRPr="000F1974">
        <w:t>142:4</w:t>
      </w:r>
      <w:r w:rsidR="00F43F61" w:rsidRPr="000F1974">
        <w:t xml:space="preserve">; </w:t>
      </w:r>
      <w:r w:rsidR="00F43F61" w:rsidRPr="000F1974">
        <w:rPr>
          <w:i/>
        </w:rPr>
        <w:t xml:space="preserve">see also </w:t>
      </w:r>
      <w:r w:rsidR="00796FE9" w:rsidRPr="000F1974">
        <w:t xml:space="preserve">Ex. 11, </w:t>
      </w:r>
      <w:r w:rsidR="00F43F61" w:rsidRPr="000F1974">
        <w:t xml:space="preserve">30(b)(6) </w:t>
      </w:r>
      <w:r w:rsidR="00102E0E" w:rsidRPr="000F1974">
        <w:t>Dep</w:t>
      </w:r>
      <w:r w:rsidR="00F43F61" w:rsidRPr="000F1974">
        <w:t>. Ex. 3</w:t>
      </w:r>
      <w:r w:rsidR="00796FE9" w:rsidRPr="000F1974">
        <w:t xml:space="preserve"> (Woody 1589−98)</w:t>
      </w:r>
      <w:r w:rsidR="00FD5B57" w:rsidRPr="000F1974">
        <w:t xml:space="preserve">.  </w:t>
      </w:r>
      <w:r w:rsidR="00B26779" w:rsidRPr="000F1974">
        <w:t xml:space="preserve">Ms. Nicholas also told Ms. Hall that </w:t>
      </w:r>
      <w:r w:rsidR="00373CD6" w:rsidRPr="000F1974">
        <w:t xml:space="preserve">she should talk to the Sheriff about a civilian position, because he </w:t>
      </w:r>
      <w:r w:rsidR="00A92D23" w:rsidRPr="000F1974">
        <w:t xml:space="preserve">would have to approve a reassignment to a civilian position.  </w:t>
      </w:r>
      <w:r w:rsidR="00796FE9" w:rsidRPr="000F1974">
        <w:t xml:space="preserve">Ex. 4, </w:t>
      </w:r>
      <w:r w:rsidR="00927612" w:rsidRPr="000F1974">
        <w:t xml:space="preserve">Hall </w:t>
      </w:r>
      <w:r w:rsidR="00102E0E" w:rsidRPr="000F1974">
        <w:t>Dep</w:t>
      </w:r>
      <w:r w:rsidR="00927612" w:rsidRPr="000F1974">
        <w:t xml:space="preserve">. </w:t>
      </w:r>
      <w:r w:rsidR="00DE633B" w:rsidRPr="000F1974">
        <w:t xml:space="preserve">Tr. </w:t>
      </w:r>
      <w:r w:rsidR="00A92D23" w:rsidRPr="000F1974">
        <w:t>125</w:t>
      </w:r>
      <w:r w:rsidR="00927612" w:rsidRPr="000F1974">
        <w:t>:</w:t>
      </w:r>
      <w:r w:rsidR="00307772" w:rsidRPr="000F1974">
        <w:t>21−23</w:t>
      </w:r>
      <w:r w:rsidR="00B26779" w:rsidRPr="000F1974">
        <w:t>.</w:t>
      </w:r>
    </w:p>
    <w:p w:rsidR="005E0CF2" w:rsidRPr="000F1974" w:rsidRDefault="00E6290B" w:rsidP="00A92D23">
      <w:pPr>
        <w:pStyle w:val="ListParagraph"/>
        <w:numPr>
          <w:ilvl w:val="0"/>
          <w:numId w:val="28"/>
        </w:numPr>
        <w:ind w:left="0" w:firstLine="720"/>
      </w:pPr>
      <w:r w:rsidRPr="000F1974">
        <w:t>In</w:t>
      </w:r>
      <w:r w:rsidR="00B26779" w:rsidRPr="000F1974">
        <w:t xml:space="preserve"> approximately October 2012, </w:t>
      </w:r>
      <w:r w:rsidR="00BC55E1" w:rsidRPr="000F1974">
        <w:t>Ms. Hall met</w:t>
      </w:r>
      <w:r w:rsidR="00876D12" w:rsidRPr="000F1974">
        <w:t xml:space="preserve"> </w:t>
      </w:r>
      <w:r w:rsidR="00BC55E1" w:rsidRPr="000F1974">
        <w:t xml:space="preserve">with Sheriff Woody </w:t>
      </w:r>
      <w:r w:rsidR="00A92D23" w:rsidRPr="000F1974">
        <w:t>to tell</w:t>
      </w:r>
      <w:r w:rsidR="00BC55E1" w:rsidRPr="000F1974">
        <w:t xml:space="preserve"> him that she could no longer work as a Deputy Sheriff but that she </w:t>
      </w:r>
      <w:r w:rsidR="00A5720A" w:rsidRPr="000F1974">
        <w:t>wanted</w:t>
      </w:r>
      <w:r w:rsidR="00BC55E1" w:rsidRPr="000F1974">
        <w:t xml:space="preserve"> to return from leave to a civilian position at the Sheriff’s Office.  </w:t>
      </w:r>
      <w:r w:rsidR="00796FE9" w:rsidRPr="000F1974">
        <w:t xml:space="preserve">Ex. 4, </w:t>
      </w:r>
      <w:r w:rsidR="00E83863" w:rsidRPr="000F1974">
        <w:t xml:space="preserve">Hall </w:t>
      </w:r>
      <w:r w:rsidR="00102E0E" w:rsidRPr="000F1974">
        <w:t>Dep</w:t>
      </w:r>
      <w:r w:rsidR="00E83863" w:rsidRPr="000F1974">
        <w:t xml:space="preserve">. </w:t>
      </w:r>
      <w:r w:rsidR="00DE633B" w:rsidRPr="000F1974">
        <w:t xml:space="preserve">Tr. </w:t>
      </w:r>
      <w:r w:rsidR="00A92D23" w:rsidRPr="000F1974">
        <w:t>85</w:t>
      </w:r>
      <w:r w:rsidR="00E83863" w:rsidRPr="000F1974">
        <w:t>:</w:t>
      </w:r>
      <w:r w:rsidR="00307772" w:rsidRPr="000F1974">
        <w:t>5</w:t>
      </w:r>
      <w:r w:rsidR="00A92D23" w:rsidRPr="000F1974">
        <w:t>−86:</w:t>
      </w:r>
      <w:r w:rsidR="00307772" w:rsidRPr="000F1974">
        <w:t>7</w:t>
      </w:r>
      <w:r w:rsidR="005E0CF2" w:rsidRPr="000F1974">
        <w:t xml:space="preserve">; </w:t>
      </w:r>
      <w:r w:rsidR="00796FE9" w:rsidRPr="000F1974">
        <w:t xml:space="preserve">Ex. 3, </w:t>
      </w:r>
      <w:r w:rsidR="005E0CF2" w:rsidRPr="000F1974">
        <w:t xml:space="preserve">Woody </w:t>
      </w:r>
      <w:r w:rsidR="00102E0E" w:rsidRPr="000F1974">
        <w:t>Dep</w:t>
      </w:r>
      <w:r w:rsidR="005E0CF2" w:rsidRPr="000F1974">
        <w:t>. 46:8−47:4.</w:t>
      </w:r>
    </w:p>
    <w:p w:rsidR="00BC55E1" w:rsidRPr="000F1974" w:rsidRDefault="00310BD2" w:rsidP="00C9648A">
      <w:pPr>
        <w:pStyle w:val="ListParagraph"/>
        <w:numPr>
          <w:ilvl w:val="0"/>
          <w:numId w:val="28"/>
        </w:numPr>
        <w:ind w:left="0" w:firstLine="720"/>
      </w:pPr>
      <w:r w:rsidRPr="000F1974">
        <w:t xml:space="preserve">Ms. Hall </w:t>
      </w:r>
      <w:r w:rsidR="004F5ECE" w:rsidRPr="000F1974">
        <w:t>told</w:t>
      </w:r>
      <w:r w:rsidRPr="000F1974">
        <w:t xml:space="preserve"> </w:t>
      </w:r>
      <w:r w:rsidR="005E0CF2" w:rsidRPr="000F1974">
        <w:t>Sheriff Woody</w:t>
      </w:r>
      <w:r w:rsidRPr="000F1974">
        <w:t xml:space="preserve"> that she </w:t>
      </w:r>
      <w:r w:rsidR="00352E1A" w:rsidRPr="000F1974">
        <w:t>was</w:t>
      </w:r>
      <w:r w:rsidRPr="000F1974">
        <w:t xml:space="preserve"> willing to work in any available civilian position</w:t>
      </w:r>
      <w:r w:rsidR="004F5ECE" w:rsidRPr="000F1974">
        <w:t xml:space="preserve">, </w:t>
      </w:r>
      <w:r w:rsidR="009E0EB9" w:rsidRPr="000F1974">
        <w:t xml:space="preserve">in </w:t>
      </w:r>
      <w:r w:rsidR="004F5ECE" w:rsidRPr="000F1974">
        <w:t>“any job</w:t>
      </w:r>
      <w:r w:rsidR="009E0EB9" w:rsidRPr="000F1974">
        <w:t>,</w:t>
      </w:r>
      <w:r w:rsidR="004F5ECE" w:rsidRPr="000F1974">
        <w:t>” “anywhere” within the Sheriff’s Office</w:t>
      </w:r>
      <w:r w:rsidRPr="000F1974">
        <w:t>.</w:t>
      </w:r>
      <w:r w:rsidR="005E0CF2" w:rsidRPr="000F1974">
        <w:t xml:space="preserve">  </w:t>
      </w:r>
      <w:r w:rsidR="00796FE9" w:rsidRPr="000F1974">
        <w:t xml:space="preserve">Ex. 4, </w:t>
      </w:r>
      <w:r w:rsidR="004F5ECE" w:rsidRPr="000F1974">
        <w:t xml:space="preserve">Hall </w:t>
      </w:r>
      <w:r w:rsidR="00102E0E" w:rsidRPr="000F1974">
        <w:t>Dep</w:t>
      </w:r>
      <w:r w:rsidR="004F5ECE" w:rsidRPr="000F1974">
        <w:t>. Tr. 86:5−</w:t>
      </w:r>
      <w:r w:rsidR="00307772" w:rsidRPr="000F1974">
        <w:t>7</w:t>
      </w:r>
      <w:r w:rsidR="00081E53" w:rsidRPr="000F1974">
        <w:t>,</w:t>
      </w:r>
      <w:r w:rsidR="004F5ECE" w:rsidRPr="000F1974">
        <w:t xml:space="preserve"> 127:</w:t>
      </w:r>
      <w:r w:rsidR="00307772" w:rsidRPr="000F1974">
        <w:t>4</w:t>
      </w:r>
      <w:r w:rsidR="004F5ECE" w:rsidRPr="000F1974">
        <w:t>−</w:t>
      </w:r>
      <w:r w:rsidR="00307772" w:rsidRPr="000F1974">
        <w:t>6</w:t>
      </w:r>
      <w:r w:rsidR="004F5ECE" w:rsidRPr="000F1974">
        <w:t xml:space="preserve"> (“I will take anything.  I just want to come back and work.”).  </w:t>
      </w:r>
      <w:r w:rsidR="00B26779" w:rsidRPr="000F1974">
        <w:t xml:space="preserve">Sheriff Woody referred Ms. Hall to </w:t>
      </w:r>
      <w:r w:rsidR="00A5720A" w:rsidRPr="000F1974">
        <w:t xml:space="preserve">his </w:t>
      </w:r>
      <w:r w:rsidR="00352E1A" w:rsidRPr="000F1974">
        <w:t>Human Resources</w:t>
      </w:r>
      <w:r w:rsidR="00B26779" w:rsidRPr="000F1974">
        <w:t xml:space="preserve"> </w:t>
      </w:r>
      <w:r w:rsidR="00352E1A" w:rsidRPr="000F1974">
        <w:t>(HR) Department</w:t>
      </w:r>
      <w:r w:rsidR="00B26779" w:rsidRPr="000F1974">
        <w:t xml:space="preserve">.  </w:t>
      </w:r>
      <w:r w:rsidR="00796FE9" w:rsidRPr="000F1974">
        <w:rPr>
          <w:i/>
        </w:rPr>
        <w:t xml:space="preserve">Id. </w:t>
      </w:r>
      <w:r w:rsidR="004F5ECE" w:rsidRPr="000F1974">
        <w:t>88:5−6</w:t>
      </w:r>
      <w:r w:rsidR="00056928" w:rsidRPr="000F1974">
        <w:t xml:space="preserve">; </w:t>
      </w:r>
      <w:r w:rsidR="00796FE9" w:rsidRPr="000F1974">
        <w:t xml:space="preserve">Ex. 3, </w:t>
      </w:r>
      <w:r w:rsidR="00B26779" w:rsidRPr="000F1974">
        <w:t xml:space="preserve">Woody </w:t>
      </w:r>
      <w:r w:rsidR="00102E0E" w:rsidRPr="000F1974">
        <w:t>Dep</w:t>
      </w:r>
      <w:r w:rsidR="00B26779" w:rsidRPr="000F1974">
        <w:t>.</w:t>
      </w:r>
      <w:r w:rsidR="00056928" w:rsidRPr="000F1974">
        <w:t xml:space="preserve"> </w:t>
      </w:r>
      <w:r w:rsidR="00B26779" w:rsidRPr="000F1974">
        <w:t>46:23</w:t>
      </w:r>
      <w:r w:rsidR="008434A5" w:rsidRPr="000F1974">
        <w:t>−</w:t>
      </w:r>
      <w:r w:rsidR="00B26779" w:rsidRPr="000F1974">
        <w:t>47:4.</w:t>
      </w:r>
    </w:p>
    <w:p w:rsidR="004F0844" w:rsidRPr="000F1974" w:rsidRDefault="00B26779" w:rsidP="00C9648A">
      <w:pPr>
        <w:pStyle w:val="ListParagraph"/>
        <w:numPr>
          <w:ilvl w:val="0"/>
          <w:numId w:val="28"/>
        </w:numPr>
        <w:ind w:left="0" w:firstLine="720"/>
      </w:pPr>
      <w:r w:rsidRPr="000F1974">
        <w:t xml:space="preserve">Ms. Hall then telephoned Billie Winzor, </w:t>
      </w:r>
      <w:r w:rsidR="00FD5B57" w:rsidRPr="000F1974">
        <w:t xml:space="preserve">then </w:t>
      </w:r>
      <w:r w:rsidRPr="000F1974">
        <w:t xml:space="preserve">head of the Sheriff’s Office </w:t>
      </w:r>
      <w:r w:rsidR="00A5720A" w:rsidRPr="000F1974">
        <w:t>HR</w:t>
      </w:r>
      <w:r w:rsidRPr="000F1974">
        <w:t xml:space="preserve"> Department</w:t>
      </w:r>
      <w:r w:rsidR="00AF7E70" w:rsidRPr="000F1974">
        <w:t>, to ask about returning to work</w:t>
      </w:r>
      <w:r w:rsidRPr="000F1974">
        <w:t xml:space="preserve">.  </w:t>
      </w:r>
      <w:r w:rsidR="00796FE9" w:rsidRPr="000F1974">
        <w:t xml:space="preserve">Ex. 4, </w:t>
      </w:r>
      <w:r w:rsidR="004F5ECE" w:rsidRPr="000F1974">
        <w:t xml:space="preserve">Hall </w:t>
      </w:r>
      <w:r w:rsidR="00102E0E" w:rsidRPr="000F1974">
        <w:t>Dep</w:t>
      </w:r>
      <w:r w:rsidR="004F5ECE" w:rsidRPr="000F1974">
        <w:t xml:space="preserve">. Tr. </w:t>
      </w:r>
      <w:r w:rsidR="00AF7E70" w:rsidRPr="000F1974">
        <w:t>88:</w:t>
      </w:r>
      <w:r w:rsidR="00307772" w:rsidRPr="000F1974">
        <w:t>3</w:t>
      </w:r>
      <w:r w:rsidR="00AF7E70" w:rsidRPr="000F1974">
        <w:t>−2</w:t>
      </w:r>
      <w:r w:rsidR="00307772" w:rsidRPr="000F1974">
        <w:t>3</w:t>
      </w:r>
      <w:r w:rsidR="00AF7E70" w:rsidRPr="000F1974">
        <w:t xml:space="preserve">, </w:t>
      </w:r>
      <w:r w:rsidR="004F5ECE" w:rsidRPr="000F1974">
        <w:t>12</w:t>
      </w:r>
      <w:r w:rsidR="00307772" w:rsidRPr="000F1974">
        <w:t>6:21</w:t>
      </w:r>
      <w:r w:rsidR="004F5ECE" w:rsidRPr="000F1974">
        <w:t>−</w:t>
      </w:r>
      <w:r w:rsidR="00307772" w:rsidRPr="000F1974">
        <w:t>127:</w:t>
      </w:r>
      <w:r w:rsidR="004F5ECE" w:rsidRPr="000F1974">
        <w:t>1</w:t>
      </w:r>
      <w:r w:rsidR="00307772" w:rsidRPr="000F1974">
        <w:t>1</w:t>
      </w:r>
      <w:r w:rsidR="00E83863" w:rsidRPr="000F1974">
        <w:t xml:space="preserve">; </w:t>
      </w:r>
      <w:r w:rsidR="00796FE9" w:rsidRPr="000F1974">
        <w:t xml:space="preserve">Ex. 10, </w:t>
      </w:r>
      <w:r w:rsidR="00160CCA" w:rsidRPr="000F1974">
        <w:t xml:space="preserve">30(b)(6) </w:t>
      </w:r>
      <w:r w:rsidR="00102E0E" w:rsidRPr="000F1974">
        <w:t>Dep</w:t>
      </w:r>
      <w:r w:rsidR="00160CCA" w:rsidRPr="000F1974">
        <w:t>. 10:16</w:t>
      </w:r>
      <w:r w:rsidR="008434A5" w:rsidRPr="000F1974">
        <w:t>−</w:t>
      </w:r>
      <w:r w:rsidR="00160CCA" w:rsidRPr="000F1974">
        <w:t xml:space="preserve">23.  </w:t>
      </w:r>
      <w:r w:rsidRPr="000F1974">
        <w:t xml:space="preserve">Ms. Winzor </w:t>
      </w:r>
      <w:r w:rsidR="00AF7E70" w:rsidRPr="000F1974">
        <w:t>told Ms. Hall she would “keep [her] informed</w:t>
      </w:r>
      <w:r w:rsidR="004F0844" w:rsidRPr="000F1974">
        <w:t>”</w:t>
      </w:r>
      <w:r w:rsidR="00B07962" w:rsidRPr="000F1974">
        <w:t xml:space="preserve"> and </w:t>
      </w:r>
      <w:r w:rsidR="007D6273" w:rsidRPr="000F1974">
        <w:t>referred</w:t>
      </w:r>
      <w:r w:rsidR="00B07962" w:rsidRPr="000F1974">
        <w:t xml:space="preserve"> </w:t>
      </w:r>
      <w:r w:rsidR="00A5720A" w:rsidRPr="000F1974">
        <w:t>her</w:t>
      </w:r>
      <w:r w:rsidR="00B07962" w:rsidRPr="000F1974">
        <w:t xml:space="preserve"> to the Sheriff’s Office website.</w:t>
      </w:r>
      <w:r w:rsidR="00FD5B57" w:rsidRPr="000F1974">
        <w:t xml:space="preserve">  </w:t>
      </w:r>
      <w:r w:rsidR="00796FE9" w:rsidRPr="000F1974">
        <w:t xml:space="preserve">Ex. 4, </w:t>
      </w:r>
      <w:r w:rsidR="00E83863" w:rsidRPr="000F1974">
        <w:t xml:space="preserve">Hall </w:t>
      </w:r>
      <w:r w:rsidR="00102E0E" w:rsidRPr="000F1974">
        <w:t>Dep</w:t>
      </w:r>
      <w:r w:rsidR="00654A7F" w:rsidRPr="000F1974">
        <w:t>. Tr</w:t>
      </w:r>
      <w:r w:rsidR="00DE633B" w:rsidRPr="000F1974">
        <w:t>.</w:t>
      </w:r>
      <w:r w:rsidR="00E83863" w:rsidRPr="000F1974">
        <w:t xml:space="preserve"> </w:t>
      </w:r>
      <w:r w:rsidR="00AF7E70" w:rsidRPr="000F1974">
        <w:t>88:15−</w:t>
      </w:r>
      <w:r w:rsidR="00307772" w:rsidRPr="000F1974">
        <w:t>89:1</w:t>
      </w:r>
      <w:r w:rsidR="007D6273" w:rsidRPr="000F1974">
        <w:t xml:space="preserve">; Ex. 10, 30(b)(6) </w:t>
      </w:r>
      <w:r w:rsidR="00102E0E" w:rsidRPr="000F1974">
        <w:t>Dep</w:t>
      </w:r>
      <w:r w:rsidR="007D6273" w:rsidRPr="000F1974">
        <w:t>. 117:6.</w:t>
      </w:r>
    </w:p>
    <w:p w:rsidR="00FD5B57" w:rsidRPr="000F1974" w:rsidRDefault="000C1380" w:rsidP="00C9648A">
      <w:pPr>
        <w:pStyle w:val="ListParagraph"/>
        <w:numPr>
          <w:ilvl w:val="0"/>
          <w:numId w:val="28"/>
        </w:numPr>
        <w:ind w:left="0" w:firstLine="720"/>
      </w:pPr>
      <w:r w:rsidRPr="000F1974">
        <w:t xml:space="preserve">Ms. Hall </w:t>
      </w:r>
      <w:r w:rsidR="004F0844" w:rsidRPr="000F1974">
        <w:t>checked</w:t>
      </w:r>
      <w:r w:rsidRPr="000F1974">
        <w:t xml:space="preserve"> the Sheriff’s Office website for vacancies on a weekly basis.  </w:t>
      </w:r>
      <w:r w:rsidR="00796FE9" w:rsidRPr="000F1974">
        <w:t xml:space="preserve">Ex. </w:t>
      </w:r>
      <w:r w:rsidR="00796FE9" w:rsidRPr="000F1974">
        <w:lastRenderedPageBreak/>
        <w:t xml:space="preserve">4, </w:t>
      </w:r>
      <w:r w:rsidRPr="000F1974">
        <w:t xml:space="preserve">Hall </w:t>
      </w:r>
      <w:r w:rsidR="00102E0E" w:rsidRPr="000F1974">
        <w:t>Dep</w:t>
      </w:r>
      <w:r w:rsidRPr="000F1974">
        <w:t xml:space="preserve">. </w:t>
      </w:r>
      <w:r w:rsidR="00DE633B" w:rsidRPr="000F1974">
        <w:t xml:space="preserve">Tr. </w:t>
      </w:r>
      <w:r w:rsidR="00AF7E70" w:rsidRPr="000F1974">
        <w:t xml:space="preserve">137:21−138:6.  Ms. Hall also called Ms. Winzor several more times.  </w:t>
      </w:r>
      <w:r w:rsidR="00AF7E70" w:rsidRPr="000F1974">
        <w:rPr>
          <w:i/>
        </w:rPr>
        <w:t>Id.</w:t>
      </w:r>
      <w:r w:rsidR="00AF7E70" w:rsidRPr="000F1974">
        <w:t xml:space="preserve"> (“I constantly called . . . . I think she got tired of me calling.”).</w:t>
      </w:r>
    </w:p>
    <w:p w:rsidR="00876D12" w:rsidRPr="000F1974" w:rsidRDefault="00C469D9" w:rsidP="002635C5">
      <w:pPr>
        <w:pStyle w:val="ListParagraph"/>
        <w:numPr>
          <w:ilvl w:val="0"/>
          <w:numId w:val="28"/>
        </w:numPr>
        <w:ind w:left="0" w:firstLine="720"/>
      </w:pPr>
      <w:r w:rsidRPr="000F1974">
        <w:t xml:space="preserve">On November 19, 2013, Ms. Hall e-mailed </w:t>
      </w:r>
      <w:r w:rsidR="00876D12" w:rsidRPr="000F1974">
        <w:t>Sheriff Woody asking, “</w:t>
      </w:r>
      <w:r w:rsidR="00307772" w:rsidRPr="000F1974">
        <w:t xml:space="preserve">Could you please inform me of my status to return to work? . . . </w:t>
      </w:r>
      <w:r w:rsidR="00876D12" w:rsidRPr="000F1974">
        <w:t xml:space="preserve">I’m not sure what the policy is but would I be able to handle the civil trials since they are not dealing with inmates?”  </w:t>
      </w:r>
      <w:r w:rsidR="00796FE9" w:rsidRPr="000F1974">
        <w:t xml:space="preserve">Ex. 12, </w:t>
      </w:r>
      <w:r w:rsidR="00876D12" w:rsidRPr="000F1974">
        <w:t xml:space="preserve">30(b)(6) </w:t>
      </w:r>
      <w:r w:rsidR="00102E0E" w:rsidRPr="000F1974">
        <w:t>Dep</w:t>
      </w:r>
      <w:r w:rsidR="00876D12" w:rsidRPr="000F1974">
        <w:t>. Ex. 7</w:t>
      </w:r>
      <w:r w:rsidR="00796FE9" w:rsidRPr="000F1974">
        <w:t xml:space="preserve"> (USA 3)</w:t>
      </w:r>
      <w:r w:rsidR="00876D12" w:rsidRPr="000F1974">
        <w:t xml:space="preserve">.  </w:t>
      </w:r>
      <w:r w:rsidR="002635C5" w:rsidRPr="000F1974">
        <w:t xml:space="preserve">Sheriff Woody interpreted this e-mail as a request for a </w:t>
      </w:r>
      <w:r w:rsidR="00A5720A" w:rsidRPr="000F1974">
        <w:t>civilian position</w:t>
      </w:r>
      <w:r w:rsidR="002635C5" w:rsidRPr="000F1974">
        <w:t xml:space="preserve">.  </w:t>
      </w:r>
      <w:r w:rsidR="00796FE9" w:rsidRPr="000F1974">
        <w:t xml:space="preserve">Ex. 3, </w:t>
      </w:r>
      <w:r w:rsidR="002635C5" w:rsidRPr="000F1974">
        <w:t xml:space="preserve">Woody </w:t>
      </w:r>
      <w:r w:rsidR="00102E0E" w:rsidRPr="000F1974">
        <w:t>Dep</w:t>
      </w:r>
      <w:r w:rsidR="002635C5" w:rsidRPr="000F1974">
        <w:t xml:space="preserve">. </w:t>
      </w:r>
      <w:r w:rsidR="00DE633B" w:rsidRPr="000F1974">
        <w:t xml:space="preserve">Tr. </w:t>
      </w:r>
      <w:r w:rsidR="002635C5" w:rsidRPr="000F1974">
        <w:t>55:2</w:t>
      </w:r>
      <w:r w:rsidR="008434A5" w:rsidRPr="000F1974">
        <w:t>5−</w:t>
      </w:r>
      <w:r w:rsidR="002635C5" w:rsidRPr="000F1974">
        <w:t xml:space="preserve">56:4.  </w:t>
      </w:r>
      <w:r w:rsidR="00876D12" w:rsidRPr="000F1974">
        <w:t xml:space="preserve">Sheriff Woody replied to the e-mail, copying Ms. </w:t>
      </w:r>
      <w:r w:rsidR="002635C5" w:rsidRPr="000F1974">
        <w:t>Winzor</w:t>
      </w:r>
      <w:r w:rsidR="00876D12" w:rsidRPr="000F1974">
        <w:t xml:space="preserve">, asking Ms. Winzor to “advise [Ms. Hall] as to light duty assignment” and noting </w:t>
      </w:r>
      <w:r w:rsidR="002635C5" w:rsidRPr="000F1974">
        <w:t>that Ms. Hall “</w:t>
      </w:r>
      <w:r w:rsidR="00876D12" w:rsidRPr="000F1974">
        <w:t>would</w:t>
      </w:r>
      <w:r w:rsidR="002635C5" w:rsidRPr="000F1974">
        <w:t xml:space="preserve"> be very helpful in your office [</w:t>
      </w:r>
      <w:r w:rsidR="002635C5" w:rsidRPr="000F1974">
        <w:rPr>
          <w:i/>
        </w:rPr>
        <w:t>i.e.</w:t>
      </w:r>
      <w:r w:rsidR="002635C5" w:rsidRPr="000F1974">
        <w:t xml:space="preserve">, </w:t>
      </w:r>
      <w:r w:rsidR="00A5720A" w:rsidRPr="000F1974">
        <w:t>HR</w:t>
      </w:r>
      <w:r w:rsidR="002635C5" w:rsidRPr="000F1974">
        <w:t>].</w:t>
      </w:r>
      <w:r w:rsidR="00876D12" w:rsidRPr="000F1974">
        <w:t xml:space="preserve">”  </w:t>
      </w:r>
      <w:r w:rsidR="00307772" w:rsidRPr="000F1974">
        <w:t xml:space="preserve">Ex. 12, 30(b)(6) </w:t>
      </w:r>
      <w:r w:rsidR="00102E0E" w:rsidRPr="000F1974">
        <w:t>Dep</w:t>
      </w:r>
      <w:r w:rsidR="00307772" w:rsidRPr="000F1974">
        <w:t>. Ex. 7 (USA 3)</w:t>
      </w:r>
      <w:r w:rsidR="002635C5" w:rsidRPr="000F1974">
        <w:t xml:space="preserve">.  </w:t>
      </w:r>
      <w:r w:rsidR="004F0844" w:rsidRPr="000F1974">
        <w:t>Ms. Winzor did not respond.</w:t>
      </w:r>
      <w:r w:rsidR="004F0844" w:rsidRPr="000F1974">
        <w:rPr>
          <w:rStyle w:val="FootnoteReference"/>
        </w:rPr>
        <w:footnoteReference w:id="1"/>
      </w:r>
      <w:r w:rsidR="002635C5" w:rsidRPr="000F1974">
        <w:t xml:space="preserve">                                    </w:t>
      </w:r>
    </w:p>
    <w:p w:rsidR="000C1A1D" w:rsidRPr="000F1974" w:rsidRDefault="000C1A1D" w:rsidP="00C9648A">
      <w:pPr>
        <w:pStyle w:val="ListParagraph"/>
        <w:numPr>
          <w:ilvl w:val="0"/>
          <w:numId w:val="28"/>
        </w:numPr>
        <w:ind w:left="0" w:firstLine="720"/>
      </w:pPr>
      <w:r w:rsidRPr="000F1974">
        <w:t xml:space="preserve">On January 23, 2013, Ms. Hall e-mailed Ms. Winzor </w:t>
      </w:r>
      <w:r w:rsidR="002635C5" w:rsidRPr="000F1974">
        <w:t>to ask</w:t>
      </w:r>
      <w:r w:rsidR="009E0EB9" w:rsidRPr="000F1974">
        <w:t xml:space="preserve"> again</w:t>
      </w:r>
      <w:r w:rsidR="002635C5" w:rsidRPr="000F1974">
        <w:t xml:space="preserve"> about</w:t>
      </w:r>
      <w:r w:rsidR="00056928" w:rsidRPr="000F1974">
        <w:t xml:space="preserve"> civilian vacancies at the Sheriff’s Office.  Ms. Hall also advised that her </w:t>
      </w:r>
      <w:r w:rsidR="00C469D9" w:rsidRPr="000F1974">
        <w:t>sick and vacation leave was about to run out</w:t>
      </w:r>
      <w:r w:rsidRPr="000F1974">
        <w:t xml:space="preserve">.  </w:t>
      </w:r>
      <w:r w:rsidR="00796FE9" w:rsidRPr="000F1974">
        <w:t xml:space="preserve">Ex. 13, </w:t>
      </w:r>
      <w:r w:rsidR="00C469D9" w:rsidRPr="000F1974">
        <w:t xml:space="preserve">30(b)(6) </w:t>
      </w:r>
      <w:r w:rsidR="00102E0E" w:rsidRPr="000F1974">
        <w:t>Dep</w:t>
      </w:r>
      <w:r w:rsidR="00C469D9" w:rsidRPr="000F1974">
        <w:t>. Ex</w:t>
      </w:r>
      <w:r w:rsidR="00056928" w:rsidRPr="000F1974">
        <w:t xml:space="preserve">. </w:t>
      </w:r>
      <w:r w:rsidR="00307772" w:rsidRPr="000F1974">
        <w:t>6</w:t>
      </w:r>
      <w:r w:rsidR="00796FE9" w:rsidRPr="000F1974">
        <w:t xml:space="preserve"> (Woody </w:t>
      </w:r>
      <w:r w:rsidR="00307772" w:rsidRPr="000F1974">
        <w:t>1403</w:t>
      </w:r>
      <w:r w:rsidR="00796FE9" w:rsidRPr="000F1974">
        <w:t>)</w:t>
      </w:r>
      <w:r w:rsidR="00056928" w:rsidRPr="000F1974">
        <w:t xml:space="preserve">; </w:t>
      </w:r>
      <w:r w:rsidR="00056928" w:rsidRPr="000F1974">
        <w:rPr>
          <w:i/>
        </w:rPr>
        <w:t>see also</w:t>
      </w:r>
      <w:r w:rsidR="00056928" w:rsidRPr="000F1974">
        <w:t xml:space="preserve"> </w:t>
      </w:r>
      <w:r w:rsidR="00796FE9" w:rsidRPr="000F1974">
        <w:t xml:space="preserve">Ex. 10, </w:t>
      </w:r>
      <w:r w:rsidR="00056928" w:rsidRPr="000F1974">
        <w:t xml:space="preserve">30(b)(6) </w:t>
      </w:r>
      <w:r w:rsidR="00102E0E" w:rsidRPr="000F1974">
        <w:t>Dep</w:t>
      </w:r>
      <w:r w:rsidR="00056928" w:rsidRPr="000F1974">
        <w:t xml:space="preserve">. </w:t>
      </w:r>
      <w:r w:rsidR="00DE633B" w:rsidRPr="000F1974">
        <w:t xml:space="preserve">Tr. </w:t>
      </w:r>
      <w:r w:rsidR="00056928" w:rsidRPr="000F1974">
        <w:t>116</w:t>
      </w:r>
      <w:r w:rsidR="001C2461" w:rsidRPr="000F1974">
        <w:t>:11</w:t>
      </w:r>
      <w:r w:rsidR="008434A5" w:rsidRPr="000F1974">
        <w:t>−</w:t>
      </w:r>
      <w:r w:rsidR="00056928" w:rsidRPr="000F1974">
        <w:t>1</w:t>
      </w:r>
      <w:r w:rsidR="001C2461" w:rsidRPr="000F1974">
        <w:t>8</w:t>
      </w:r>
      <w:r w:rsidR="00056928" w:rsidRPr="000F1974">
        <w:t>.</w:t>
      </w:r>
    </w:p>
    <w:p w:rsidR="00C469D9" w:rsidRPr="000F1974" w:rsidRDefault="00C469D9" w:rsidP="00C9648A">
      <w:pPr>
        <w:pStyle w:val="ListParagraph"/>
        <w:numPr>
          <w:ilvl w:val="0"/>
          <w:numId w:val="28"/>
        </w:numPr>
        <w:ind w:left="0" w:firstLine="720"/>
      </w:pPr>
      <w:r w:rsidRPr="000F1974">
        <w:t>On January 23, 2013, Ms. Winzor replied</w:t>
      </w:r>
      <w:r w:rsidR="001F3027" w:rsidRPr="000F1974">
        <w:t xml:space="preserve"> to Ms. Hall advising that</w:t>
      </w:r>
      <w:r w:rsidR="002D2B2A" w:rsidRPr="000F1974">
        <w:t xml:space="preserve"> a</w:t>
      </w:r>
      <w:r w:rsidRPr="000F1974">
        <w:t xml:space="preserve"> vacant Payroll Technician position </w:t>
      </w:r>
      <w:r w:rsidR="001F3027" w:rsidRPr="000F1974">
        <w:t xml:space="preserve">was </w:t>
      </w:r>
      <w:r w:rsidR="00BC55E1" w:rsidRPr="000F1974">
        <w:t xml:space="preserve">advertised on the Sheriff’s Office website.  Ms. Winzor stated, </w:t>
      </w:r>
      <w:r w:rsidRPr="000F1974">
        <w:t xml:space="preserve">“[y]ou may apply for it.”  </w:t>
      </w:r>
      <w:r w:rsidR="001C2461" w:rsidRPr="000F1974">
        <w:t xml:space="preserve">Ex. 13, 30(b)(6) </w:t>
      </w:r>
      <w:r w:rsidR="00102E0E" w:rsidRPr="000F1974">
        <w:t>Dep</w:t>
      </w:r>
      <w:r w:rsidR="001C2461" w:rsidRPr="000F1974">
        <w:t>. Ex. 6 (Woody 1403)</w:t>
      </w:r>
      <w:r w:rsidR="00056928" w:rsidRPr="000F1974">
        <w:t>;</w:t>
      </w:r>
      <w:r w:rsidR="00056928" w:rsidRPr="000F1974">
        <w:rPr>
          <w:i/>
        </w:rPr>
        <w:t xml:space="preserve"> see also</w:t>
      </w:r>
      <w:r w:rsidR="00056928" w:rsidRPr="000F1974">
        <w:t xml:space="preserve"> </w:t>
      </w:r>
      <w:r w:rsidR="00796FE9" w:rsidRPr="000F1974">
        <w:t xml:space="preserve">Ex. 10, </w:t>
      </w:r>
      <w:r w:rsidR="00056928" w:rsidRPr="000F1974">
        <w:t xml:space="preserve">30(b)(6) </w:t>
      </w:r>
      <w:r w:rsidR="00102E0E" w:rsidRPr="000F1974">
        <w:t>Dep</w:t>
      </w:r>
      <w:r w:rsidR="00056928" w:rsidRPr="000F1974">
        <w:t xml:space="preserve">. </w:t>
      </w:r>
      <w:r w:rsidR="00DE633B" w:rsidRPr="000F1974">
        <w:t xml:space="preserve">Tr. </w:t>
      </w:r>
      <w:r w:rsidR="00056928" w:rsidRPr="000F1974">
        <w:t>116</w:t>
      </w:r>
      <w:r w:rsidR="002D2B2A" w:rsidRPr="000F1974">
        <w:t>:11</w:t>
      </w:r>
      <w:r w:rsidR="008434A5" w:rsidRPr="000F1974">
        <w:t>−</w:t>
      </w:r>
      <w:r w:rsidR="00796FE9" w:rsidRPr="000F1974">
        <w:t xml:space="preserve">17; Ex. 9, Def.’s </w:t>
      </w:r>
      <w:r w:rsidR="00056928" w:rsidRPr="000F1974">
        <w:t xml:space="preserve">Interrog. </w:t>
      </w:r>
      <w:r w:rsidR="00796FE9" w:rsidRPr="000F1974">
        <w:t xml:space="preserve">Answers </w:t>
      </w:r>
      <w:r w:rsidR="002D2B2A" w:rsidRPr="000F1974">
        <w:t>6</w:t>
      </w:r>
      <w:r w:rsidR="00056928" w:rsidRPr="000F1974">
        <w:t>.</w:t>
      </w:r>
    </w:p>
    <w:p w:rsidR="00BC55E1" w:rsidRPr="000F1974" w:rsidRDefault="00BC55E1" w:rsidP="00C9648A">
      <w:pPr>
        <w:pStyle w:val="ListParagraph"/>
        <w:numPr>
          <w:ilvl w:val="0"/>
          <w:numId w:val="28"/>
        </w:numPr>
        <w:ind w:left="0" w:firstLine="720"/>
      </w:pPr>
      <w:r w:rsidRPr="000F1974">
        <w:t xml:space="preserve">The </w:t>
      </w:r>
      <w:r w:rsidR="00AB69CF" w:rsidRPr="000F1974">
        <w:t>job description</w:t>
      </w:r>
      <w:r w:rsidRPr="000F1974">
        <w:t xml:space="preserve"> for the</w:t>
      </w:r>
      <w:r w:rsidR="00AB69CF" w:rsidRPr="000F1974">
        <w:t xml:space="preserve"> position of</w:t>
      </w:r>
      <w:r w:rsidRPr="000F1974">
        <w:t xml:space="preserve"> Payroll Technician </w:t>
      </w:r>
      <w:r w:rsidR="00AB69CF" w:rsidRPr="000F1974">
        <w:t>states that the “preferred candidate will have two (2) years of experience in the ad</w:t>
      </w:r>
      <w:r w:rsidR="002635C5" w:rsidRPr="000F1974">
        <w:t>ministrative or payroll field or</w:t>
      </w:r>
      <w:r w:rsidR="00AB69CF" w:rsidRPr="000F1974">
        <w:t xml:space="preserve"> related area and</w:t>
      </w:r>
      <w:r w:rsidR="00F7341E" w:rsidRPr="000F1974">
        <w:t xml:space="preserve"> have</w:t>
      </w:r>
      <w:r w:rsidRPr="000F1974">
        <w:t xml:space="preserve"> two years’ post-secondary education</w:t>
      </w:r>
      <w:r w:rsidR="00AB69CF" w:rsidRPr="000F1974">
        <w:t xml:space="preserve">” and “will possess strong organizational skills and data entry ability.”  The description also states that the candidate “[m]ust be proficient in the usage </w:t>
      </w:r>
      <w:r w:rsidR="00AB69CF" w:rsidRPr="000F1974">
        <w:lastRenderedPageBreak/>
        <w:t xml:space="preserve">of the English language” </w:t>
      </w:r>
      <w:r w:rsidR="002635C5" w:rsidRPr="000F1974">
        <w:t>and</w:t>
      </w:r>
      <w:r w:rsidR="00AB69CF" w:rsidRPr="000F1974">
        <w:t xml:space="preserve"> “[s]hould be able to demonstrate competencies in Microsoft applications in</w:t>
      </w:r>
      <w:r w:rsidR="002635C5" w:rsidRPr="000F1974">
        <w:t>cluding Word, Excel and Outlook.</w:t>
      </w:r>
      <w:r w:rsidR="00AB69CF" w:rsidRPr="000F1974">
        <w:t xml:space="preserve">” </w:t>
      </w:r>
      <w:r w:rsidR="002635C5" w:rsidRPr="000F1974">
        <w:t xml:space="preserve"> </w:t>
      </w:r>
      <w:r w:rsidR="00472DC6" w:rsidRPr="000F1974">
        <w:t xml:space="preserve">The description also states that salary “is negotiable depending on qualifications and experience.”  </w:t>
      </w:r>
      <w:r w:rsidR="00352E1A" w:rsidRPr="000F1974">
        <w:t xml:space="preserve">The ability to sustain direct contact with inmates is not a requirement of the position.  </w:t>
      </w:r>
      <w:r w:rsidR="00796FE9" w:rsidRPr="000F1974">
        <w:t xml:space="preserve">Ex. </w:t>
      </w:r>
      <w:r w:rsidR="00352E1A" w:rsidRPr="000F1974">
        <w:t>27</w:t>
      </w:r>
      <w:r w:rsidR="00796FE9" w:rsidRPr="000F1974">
        <w:t xml:space="preserve">, </w:t>
      </w:r>
      <w:r w:rsidR="00AB69CF" w:rsidRPr="000F1974">
        <w:t xml:space="preserve">Hall </w:t>
      </w:r>
      <w:r w:rsidR="00102E0E" w:rsidRPr="000F1974">
        <w:t>Dep</w:t>
      </w:r>
      <w:r w:rsidR="00AB69CF" w:rsidRPr="000F1974">
        <w:t xml:space="preserve">. Ex. 17 (Woody 203); </w:t>
      </w:r>
      <w:r w:rsidR="00796FE9" w:rsidRPr="000F1974">
        <w:t xml:space="preserve">Ex. 2, </w:t>
      </w:r>
      <w:r w:rsidR="00056928" w:rsidRPr="000F1974">
        <w:t>Def.’s Answer ¶ 21.</w:t>
      </w:r>
      <w:r w:rsidR="008E2866" w:rsidRPr="000F1974">
        <w:t xml:space="preserve">  There were no unwritten or unadvertised essential job qualifications for the position of Payroll Technician.  </w:t>
      </w:r>
      <w:r w:rsidR="00796FE9" w:rsidRPr="000F1974">
        <w:t xml:space="preserve">Ex. 9, </w:t>
      </w:r>
      <w:r w:rsidR="008E2866" w:rsidRPr="000F1974">
        <w:t>Def.’s Interrog.</w:t>
      </w:r>
      <w:r w:rsidR="00796FE9" w:rsidRPr="000F1974">
        <w:t xml:space="preserve"> Answers</w:t>
      </w:r>
      <w:r w:rsidR="008E2866" w:rsidRPr="000F1974">
        <w:t xml:space="preserve"> 7.</w:t>
      </w:r>
    </w:p>
    <w:p w:rsidR="007106B1" w:rsidRPr="000F1974" w:rsidRDefault="00BC55E1" w:rsidP="00C9648A">
      <w:pPr>
        <w:pStyle w:val="ListParagraph"/>
        <w:numPr>
          <w:ilvl w:val="0"/>
          <w:numId w:val="28"/>
        </w:numPr>
        <w:ind w:left="0" w:firstLine="720"/>
      </w:pPr>
      <w:r w:rsidRPr="000F1974">
        <w:t>Ms. Hall applied for the Payroll Technician position.</w:t>
      </w:r>
      <w:r w:rsidR="007106B1" w:rsidRPr="000F1974">
        <w:t xml:space="preserve">  </w:t>
      </w:r>
      <w:r w:rsidR="00796FE9" w:rsidRPr="000F1974">
        <w:t xml:space="preserve">Ex. 2, </w:t>
      </w:r>
      <w:r w:rsidR="00F7341E" w:rsidRPr="000F1974">
        <w:t>Def.’s Answer ¶¶</w:t>
      </w:r>
      <w:r w:rsidR="000E53A1" w:rsidRPr="000F1974">
        <w:t xml:space="preserve"> 22.  </w:t>
      </w:r>
      <w:r w:rsidR="00AB69CF" w:rsidRPr="000F1974">
        <w:t xml:space="preserve">Her application was received by the Sheriff’s Office on February 7, 2013.  </w:t>
      </w:r>
      <w:r w:rsidR="00796FE9" w:rsidRPr="000F1974">
        <w:t xml:space="preserve">Ex. 14, </w:t>
      </w:r>
      <w:r w:rsidR="00AB69CF" w:rsidRPr="000F1974">
        <w:t xml:space="preserve">30(b)(6) </w:t>
      </w:r>
      <w:r w:rsidR="00102E0E" w:rsidRPr="000F1974">
        <w:t>Dep</w:t>
      </w:r>
      <w:r w:rsidR="00AB69CF" w:rsidRPr="000F1974">
        <w:t>. Ex. 21</w:t>
      </w:r>
      <w:r w:rsidR="00796FE9" w:rsidRPr="000F1974">
        <w:t xml:space="preserve"> (Woody 56−71)</w:t>
      </w:r>
      <w:r w:rsidR="00AB69CF" w:rsidRPr="000F1974">
        <w:t xml:space="preserve">; </w:t>
      </w:r>
      <w:r w:rsidR="00AB69CF" w:rsidRPr="000F1974">
        <w:rPr>
          <w:i/>
        </w:rPr>
        <w:t>see also</w:t>
      </w:r>
      <w:r w:rsidR="00AB69CF" w:rsidRPr="000F1974">
        <w:t xml:space="preserve"> </w:t>
      </w:r>
      <w:r w:rsidR="00796FE9" w:rsidRPr="000F1974">
        <w:t xml:space="preserve">Ex. 10, </w:t>
      </w:r>
      <w:r w:rsidR="00AB69CF" w:rsidRPr="000F1974">
        <w:t xml:space="preserve">30(b)(6) </w:t>
      </w:r>
      <w:r w:rsidR="00102E0E" w:rsidRPr="000F1974">
        <w:t>Dep</w:t>
      </w:r>
      <w:r w:rsidR="00AB69CF" w:rsidRPr="000F1974">
        <w:t xml:space="preserve">. </w:t>
      </w:r>
      <w:r w:rsidR="00DE633B" w:rsidRPr="000F1974">
        <w:t xml:space="preserve">Tr. </w:t>
      </w:r>
      <w:r w:rsidR="00AB69CF" w:rsidRPr="000F1974">
        <w:t>253:22</w:t>
      </w:r>
      <w:r w:rsidR="008434A5" w:rsidRPr="000F1974">
        <w:t>−</w:t>
      </w:r>
      <w:r w:rsidR="00AB69CF" w:rsidRPr="000F1974">
        <w:t>254:1</w:t>
      </w:r>
      <w:r w:rsidR="008434A5" w:rsidRPr="000F1974">
        <w:t>2</w:t>
      </w:r>
      <w:r w:rsidR="00AB69CF" w:rsidRPr="000F1974">
        <w:t>.</w:t>
      </w:r>
      <w:r w:rsidR="007106B1" w:rsidRPr="000F1974">
        <w:t xml:space="preserve">                           </w:t>
      </w:r>
    </w:p>
    <w:p w:rsidR="008E2866" w:rsidRPr="000F1974" w:rsidRDefault="000E53A1" w:rsidP="008E2866">
      <w:pPr>
        <w:spacing w:line="480" w:lineRule="auto"/>
        <w:ind w:firstLine="720"/>
      </w:pPr>
      <w:r w:rsidRPr="000F1974">
        <w:t>2</w:t>
      </w:r>
      <w:r w:rsidR="00620169" w:rsidRPr="000F1974">
        <w:t>5</w:t>
      </w:r>
      <w:r w:rsidR="000C0AAD" w:rsidRPr="000F1974">
        <w:t>.</w:t>
      </w:r>
      <w:r w:rsidR="00344DDE" w:rsidRPr="000F1974">
        <w:tab/>
      </w:r>
      <w:r w:rsidR="00BC55E1" w:rsidRPr="000F1974">
        <w:t>Ms. Hall’s application reflected that she possessed all of the</w:t>
      </w:r>
      <w:r w:rsidR="00AB69CF" w:rsidRPr="000F1974">
        <w:t xml:space="preserve"> </w:t>
      </w:r>
      <w:r w:rsidR="00BC55E1" w:rsidRPr="000F1974">
        <w:t>qualifications</w:t>
      </w:r>
      <w:r w:rsidR="00AB69CF" w:rsidRPr="000F1974">
        <w:t xml:space="preserve"> for the Payroll Technician position</w:t>
      </w:r>
      <w:r w:rsidR="00BC55E1" w:rsidRPr="000F1974">
        <w:t xml:space="preserve">.  </w:t>
      </w:r>
      <w:r w:rsidR="00796FE9" w:rsidRPr="000F1974">
        <w:t xml:space="preserve">Ex. 14, </w:t>
      </w:r>
      <w:r w:rsidR="00AB69CF" w:rsidRPr="000F1974">
        <w:t xml:space="preserve">30(b)(6) </w:t>
      </w:r>
      <w:r w:rsidR="00102E0E" w:rsidRPr="000F1974">
        <w:t>Dep</w:t>
      </w:r>
      <w:r w:rsidR="00AB69CF" w:rsidRPr="000F1974">
        <w:t>. Ex. 21</w:t>
      </w:r>
      <w:r w:rsidR="00796FE9" w:rsidRPr="000F1974">
        <w:t xml:space="preserve"> (Woody 56−71)</w:t>
      </w:r>
      <w:r w:rsidR="00AB69CF" w:rsidRPr="000F1974">
        <w:t xml:space="preserve">.  </w:t>
      </w:r>
      <w:r w:rsidR="00BC55E1" w:rsidRPr="000F1974">
        <w:t xml:space="preserve">Specifically, her application </w:t>
      </w:r>
      <w:r w:rsidR="00A5720A" w:rsidRPr="000F1974">
        <w:t>showed</w:t>
      </w:r>
      <w:r w:rsidR="00BC55E1" w:rsidRPr="000F1974">
        <w:t xml:space="preserve"> that she had over seven years’ experience as an account manager with a private security firm, where she was responsible for payroll and scheduling assignments for twenty</w:t>
      </w:r>
      <w:r w:rsidR="008E2866" w:rsidRPr="000F1974">
        <w:t xml:space="preserve"> to forty</w:t>
      </w:r>
      <w:r w:rsidR="00BC55E1" w:rsidRPr="000F1974">
        <w:t xml:space="preserve"> employees; six years’ experience as a convenience store manager, where she was responsible for computing employee payroll; and administrative experience</w:t>
      </w:r>
      <w:r w:rsidR="008E2866" w:rsidRPr="000F1974">
        <w:t xml:space="preserve"> at the Richmond City Sheriff’s Office</w:t>
      </w:r>
      <w:r w:rsidR="00BC55E1" w:rsidRPr="000F1974">
        <w:t xml:space="preserve">, including experience docketing video arraignments.  </w:t>
      </w:r>
      <w:r w:rsidR="00AB69CF" w:rsidRPr="000F1974">
        <w:rPr>
          <w:i/>
        </w:rPr>
        <w:t xml:space="preserve">Id. </w:t>
      </w:r>
      <w:r w:rsidR="00AB69CF" w:rsidRPr="000F1974">
        <w:t xml:space="preserve">at </w:t>
      </w:r>
      <w:r w:rsidR="008E2866" w:rsidRPr="000F1974">
        <w:t>2</w:t>
      </w:r>
      <w:r w:rsidR="008434A5" w:rsidRPr="000F1974">
        <w:t>−</w:t>
      </w:r>
      <w:r w:rsidR="008E2866" w:rsidRPr="000F1974">
        <w:t>3 (Woody 57</w:t>
      </w:r>
      <w:r w:rsidR="008434A5" w:rsidRPr="000F1974">
        <w:t>−</w:t>
      </w:r>
      <w:r w:rsidR="008E2866" w:rsidRPr="000F1974">
        <w:t xml:space="preserve">58).  </w:t>
      </w:r>
      <w:r w:rsidR="00BC55E1" w:rsidRPr="000F1974">
        <w:t>Her application also reflected that she had two years of post-secondary education</w:t>
      </w:r>
      <w:r w:rsidR="008E2866" w:rsidRPr="000F1974">
        <w:t xml:space="preserve"> through a Data Entry program at J. </w:t>
      </w:r>
      <w:r w:rsidR="00654A7F" w:rsidRPr="000F1974">
        <w:t>Sergeant</w:t>
      </w:r>
      <w:r w:rsidR="008E2866" w:rsidRPr="000F1974">
        <w:t xml:space="preserve"> Reynolds Community College</w:t>
      </w:r>
      <w:r w:rsidR="00BC55E1" w:rsidRPr="000F1974">
        <w:t>.</w:t>
      </w:r>
      <w:r w:rsidR="008E2866" w:rsidRPr="000F1974">
        <w:t xml:space="preserve">  </w:t>
      </w:r>
      <w:r w:rsidR="008E2866" w:rsidRPr="000F1974">
        <w:rPr>
          <w:i/>
        </w:rPr>
        <w:t xml:space="preserve">Id. </w:t>
      </w:r>
      <w:r w:rsidR="008E2866" w:rsidRPr="000F1974">
        <w:t>at 4 (Woody 59).</w:t>
      </w:r>
      <w:r w:rsidR="00BC55E1" w:rsidRPr="000F1974">
        <w:t xml:space="preserve">  Her application also listed Microsoft Word and Microsoft Excel as professional skills</w:t>
      </w:r>
      <w:r w:rsidR="008E2866" w:rsidRPr="000F1974">
        <w:t xml:space="preserve">, </w:t>
      </w:r>
      <w:r w:rsidR="008E2866" w:rsidRPr="000F1974">
        <w:rPr>
          <w:i/>
        </w:rPr>
        <w:t>id.</w:t>
      </w:r>
      <w:r w:rsidR="008E2866" w:rsidRPr="000F1974">
        <w:t>,</w:t>
      </w:r>
      <w:r w:rsidR="00BC55E1" w:rsidRPr="000F1974">
        <w:t xml:space="preserve"> and reflected English-language proficiency.  </w:t>
      </w:r>
      <w:r w:rsidR="008E2866" w:rsidRPr="000F1974">
        <w:rPr>
          <w:i/>
        </w:rPr>
        <w:t xml:space="preserve">See generally id.  </w:t>
      </w:r>
      <w:r w:rsidR="00BC55E1" w:rsidRPr="000F1974">
        <w:t xml:space="preserve">Her application </w:t>
      </w:r>
      <w:r w:rsidR="007F247C" w:rsidRPr="000F1974">
        <w:t xml:space="preserve">further demonstrated </w:t>
      </w:r>
      <w:r w:rsidR="00BC55E1" w:rsidRPr="000F1974">
        <w:t xml:space="preserve">her </w:t>
      </w:r>
      <w:r w:rsidR="00CB7606" w:rsidRPr="000F1974">
        <w:t>nearly ten</w:t>
      </w:r>
      <w:r w:rsidR="00BC55E1" w:rsidRPr="000F1974">
        <w:t xml:space="preserve"> years of employment </w:t>
      </w:r>
      <w:r w:rsidR="008E2866" w:rsidRPr="000F1974">
        <w:t xml:space="preserve">at the Sheriff’s Office.  </w:t>
      </w:r>
      <w:r w:rsidR="008E2866" w:rsidRPr="000F1974">
        <w:rPr>
          <w:i/>
        </w:rPr>
        <w:t>Id.</w:t>
      </w:r>
      <w:r w:rsidR="008E2866" w:rsidRPr="000F1974">
        <w:t xml:space="preserve"> at 2 (Woody 57).</w:t>
      </w:r>
    </w:p>
    <w:p w:rsidR="008E2866" w:rsidRPr="000F1974" w:rsidRDefault="000E53A1" w:rsidP="005E0CF2">
      <w:pPr>
        <w:spacing w:line="480" w:lineRule="auto"/>
        <w:ind w:firstLine="720"/>
      </w:pPr>
      <w:r w:rsidRPr="000F1974">
        <w:t>2</w:t>
      </w:r>
      <w:r w:rsidR="00620169" w:rsidRPr="000F1974">
        <w:t>6</w:t>
      </w:r>
      <w:r w:rsidR="00BC55E1" w:rsidRPr="000F1974">
        <w:t>.</w:t>
      </w:r>
      <w:r w:rsidR="00BC55E1" w:rsidRPr="000F1974">
        <w:tab/>
      </w:r>
      <w:r w:rsidR="007F247C" w:rsidRPr="000F1974">
        <w:t>Ms.</w:t>
      </w:r>
      <w:r w:rsidR="008E2866" w:rsidRPr="000F1974">
        <w:t xml:space="preserve"> Hall was qualified for the position of Payroll Technician.  </w:t>
      </w:r>
      <w:r w:rsidR="00796FE9" w:rsidRPr="000F1974">
        <w:t xml:space="preserve">Ex. 6, </w:t>
      </w:r>
      <w:r w:rsidR="008E2866" w:rsidRPr="000F1974">
        <w:t xml:space="preserve">Def.’s </w:t>
      </w:r>
      <w:r w:rsidR="00367637" w:rsidRPr="000F1974">
        <w:t xml:space="preserve">First </w:t>
      </w:r>
      <w:r w:rsidR="008E2866" w:rsidRPr="000F1974">
        <w:t>Admis. 14.</w:t>
      </w:r>
      <w:r w:rsidR="005E0CF2" w:rsidRPr="000F1974">
        <w:t xml:space="preserve">  </w:t>
      </w:r>
    </w:p>
    <w:p w:rsidR="008E2866" w:rsidRPr="000F1974" w:rsidRDefault="008E2866" w:rsidP="002635C5">
      <w:pPr>
        <w:spacing w:line="480" w:lineRule="auto"/>
      </w:pPr>
      <w:r w:rsidRPr="000F1974">
        <w:lastRenderedPageBreak/>
        <w:tab/>
      </w:r>
      <w:r w:rsidR="000E53A1" w:rsidRPr="000F1974">
        <w:t>2</w:t>
      </w:r>
      <w:r w:rsidR="00620169" w:rsidRPr="000F1974">
        <w:t>7</w:t>
      </w:r>
      <w:r w:rsidRPr="000F1974">
        <w:t>.</w:t>
      </w:r>
      <w:r w:rsidRPr="000F1974">
        <w:tab/>
        <w:t>The Sheriff’s Office received</w:t>
      </w:r>
      <w:r w:rsidR="002635C5" w:rsidRPr="000F1974">
        <w:t xml:space="preserve"> approximately</w:t>
      </w:r>
      <w:r w:rsidRPr="000F1974">
        <w:t xml:space="preserve"> </w:t>
      </w:r>
      <w:r w:rsidR="00CB7606" w:rsidRPr="000F1974">
        <w:t>eight other</w:t>
      </w:r>
      <w:r w:rsidR="00BF73E0" w:rsidRPr="000F1974">
        <w:t xml:space="preserve"> </w:t>
      </w:r>
      <w:r w:rsidRPr="000F1974">
        <w:t xml:space="preserve">applications for the position of Payroll Technician.  </w:t>
      </w:r>
      <w:r w:rsidR="00796FE9" w:rsidRPr="000F1974">
        <w:t xml:space="preserve">Ex. 15, </w:t>
      </w:r>
      <w:r w:rsidR="002635C5" w:rsidRPr="000F1974">
        <w:t>Woody 17</w:t>
      </w:r>
      <w:r w:rsidR="008434A5" w:rsidRPr="000F1974">
        <w:t>−</w:t>
      </w:r>
      <w:r w:rsidR="00081E53" w:rsidRPr="000F1974">
        <w:t>19,</w:t>
      </w:r>
      <w:r w:rsidR="002635C5" w:rsidRPr="000F1974">
        <w:t xml:space="preserve"> 49</w:t>
      </w:r>
      <w:r w:rsidR="008434A5" w:rsidRPr="000F1974">
        <w:t>−</w:t>
      </w:r>
      <w:r w:rsidR="00081E53" w:rsidRPr="000F1974">
        <w:t>51, 75,</w:t>
      </w:r>
      <w:r w:rsidR="002635C5" w:rsidRPr="000F1974">
        <w:t xml:space="preserve"> 159</w:t>
      </w:r>
      <w:r w:rsidR="008434A5" w:rsidRPr="000F1974">
        <w:t>−</w:t>
      </w:r>
      <w:r w:rsidR="00CB7606" w:rsidRPr="000F1974">
        <w:t>61</w:t>
      </w:r>
      <w:r w:rsidR="00081E53" w:rsidRPr="000F1974">
        <w:t>,</w:t>
      </w:r>
      <w:r w:rsidR="002635C5" w:rsidRPr="000F1974">
        <w:t xml:space="preserve"> 192</w:t>
      </w:r>
      <w:r w:rsidR="008434A5" w:rsidRPr="000F1974">
        <w:t>−</w:t>
      </w:r>
      <w:r w:rsidR="00081E53" w:rsidRPr="000F1974">
        <w:t>95,</w:t>
      </w:r>
      <w:r w:rsidR="002635C5" w:rsidRPr="000F1974">
        <w:t xml:space="preserve"> 198</w:t>
      </w:r>
      <w:r w:rsidR="008434A5" w:rsidRPr="000F1974">
        <w:t>−</w:t>
      </w:r>
      <w:r w:rsidR="00081E53" w:rsidRPr="000F1974">
        <w:t>202,</w:t>
      </w:r>
      <w:r w:rsidR="002635C5" w:rsidRPr="000F1974">
        <w:t xml:space="preserve"> 222</w:t>
      </w:r>
      <w:r w:rsidR="008434A5" w:rsidRPr="000F1974">
        <w:t>−</w:t>
      </w:r>
      <w:r w:rsidR="00081E53" w:rsidRPr="000F1974">
        <w:t>25,</w:t>
      </w:r>
      <w:r w:rsidR="002635C5" w:rsidRPr="000F1974">
        <w:t xml:space="preserve"> 293</w:t>
      </w:r>
      <w:r w:rsidR="008434A5" w:rsidRPr="000F1974">
        <w:t>−</w:t>
      </w:r>
      <w:r w:rsidR="002635C5" w:rsidRPr="000F1974">
        <w:t>311</w:t>
      </w:r>
      <w:r w:rsidRPr="000F1974">
        <w:t>.</w:t>
      </w:r>
      <w:r w:rsidR="000E53A1" w:rsidRPr="000F1974">
        <w:t xml:space="preserve">  All of these applications, except for Ms. Hall’s, were from external candidates.  </w:t>
      </w:r>
      <w:r w:rsidR="002635C5" w:rsidRPr="000F1974">
        <w:rPr>
          <w:i/>
        </w:rPr>
        <w:t>See id.</w:t>
      </w:r>
      <w:r w:rsidR="005C2D11" w:rsidRPr="000F1974">
        <w:rPr>
          <w:i/>
        </w:rPr>
        <w:t xml:space="preserve">  </w:t>
      </w:r>
    </w:p>
    <w:p w:rsidR="005E0CF2" w:rsidRPr="000F1974" w:rsidRDefault="000E53A1" w:rsidP="00BC55E1">
      <w:pPr>
        <w:spacing w:line="480" w:lineRule="auto"/>
        <w:ind w:firstLine="720"/>
      </w:pPr>
      <w:r w:rsidRPr="000F1974">
        <w:t>2</w:t>
      </w:r>
      <w:r w:rsidR="00620169" w:rsidRPr="000F1974">
        <w:t>8</w:t>
      </w:r>
      <w:r w:rsidR="00BC55E1" w:rsidRPr="000F1974">
        <w:t>.</w:t>
      </w:r>
      <w:r w:rsidR="00BC55E1" w:rsidRPr="000F1974">
        <w:tab/>
        <w:t>Ms. Hall was one of four</w:t>
      </w:r>
      <w:r w:rsidR="000C0AAD" w:rsidRPr="000F1974">
        <w:t xml:space="preserve"> </w:t>
      </w:r>
      <w:r w:rsidRPr="000F1974">
        <w:t>finalist</w:t>
      </w:r>
      <w:r w:rsidR="00150AD2" w:rsidRPr="000F1974">
        <w:t>s</w:t>
      </w:r>
      <w:r w:rsidR="000C0AAD" w:rsidRPr="000F1974">
        <w:t xml:space="preserve"> invited for an interview for the Payroll Technician position.  </w:t>
      </w:r>
      <w:r w:rsidR="00796FE9" w:rsidRPr="000F1974">
        <w:t xml:space="preserve">Ex. 9, </w:t>
      </w:r>
      <w:r w:rsidR="00BF73E0" w:rsidRPr="000F1974">
        <w:t>Def.’s Interrog.</w:t>
      </w:r>
      <w:r w:rsidR="00230914" w:rsidRPr="000F1974">
        <w:t xml:space="preserve"> </w:t>
      </w:r>
      <w:r w:rsidR="00796FE9" w:rsidRPr="000F1974">
        <w:t xml:space="preserve">Answers </w:t>
      </w:r>
      <w:r w:rsidR="00230914" w:rsidRPr="000F1974">
        <w:t>8.</w:t>
      </w:r>
      <w:r w:rsidR="00BF73E0" w:rsidRPr="000F1974">
        <w:t xml:space="preserve"> </w:t>
      </w:r>
      <w:r w:rsidR="00150AD2" w:rsidRPr="000F1974">
        <w:t xml:space="preserve"> Sheriff Woody recommended </w:t>
      </w:r>
      <w:r w:rsidR="00A5720A" w:rsidRPr="000F1974">
        <w:t>that the</w:t>
      </w:r>
      <w:r w:rsidR="005C2D11" w:rsidRPr="000F1974">
        <w:t xml:space="preserve"> </w:t>
      </w:r>
      <w:r w:rsidR="00A5720A" w:rsidRPr="000F1974">
        <w:t>HR Department</w:t>
      </w:r>
      <w:r w:rsidR="00150AD2" w:rsidRPr="000F1974">
        <w:t xml:space="preserve"> interview</w:t>
      </w:r>
      <w:r w:rsidR="00A5720A" w:rsidRPr="000F1974">
        <w:t xml:space="preserve"> her</w:t>
      </w:r>
      <w:r w:rsidR="00150AD2" w:rsidRPr="000F1974">
        <w:t xml:space="preserve">.  </w:t>
      </w:r>
      <w:r w:rsidR="008E729D" w:rsidRPr="000F1974">
        <w:rPr>
          <w:i/>
        </w:rPr>
        <w:t>Id.</w:t>
      </w:r>
      <w:r w:rsidR="00702860" w:rsidRPr="000F1974">
        <w:t xml:space="preserve">  The Sheriff’s Office does not interview a candidate for a position unless that individual’s application demonstrates that the individual meets the requirements for that position.  </w:t>
      </w:r>
      <w:r w:rsidR="008E729D" w:rsidRPr="000F1974">
        <w:t xml:space="preserve">Ex. 6, Def.’s First Admis. 12, </w:t>
      </w:r>
      <w:r w:rsidR="00702860" w:rsidRPr="000F1974">
        <w:t>13.</w:t>
      </w:r>
    </w:p>
    <w:p w:rsidR="000E53A1" w:rsidRPr="000F1974" w:rsidRDefault="00620169" w:rsidP="00BF73E0">
      <w:pPr>
        <w:spacing w:line="480" w:lineRule="auto"/>
        <w:ind w:firstLine="720"/>
      </w:pPr>
      <w:r w:rsidRPr="000F1974">
        <w:t>29</w:t>
      </w:r>
      <w:r w:rsidR="000E53A1" w:rsidRPr="000F1974">
        <w:t>.</w:t>
      </w:r>
      <w:r w:rsidR="000E53A1" w:rsidRPr="000F1974">
        <w:tab/>
      </w:r>
      <w:r w:rsidR="00BF73E0" w:rsidRPr="000F1974">
        <w:t xml:space="preserve">Ms. Hall interviewed for the </w:t>
      </w:r>
      <w:r w:rsidR="00150AD2" w:rsidRPr="000F1974">
        <w:t xml:space="preserve">Payroll Technician </w:t>
      </w:r>
      <w:r w:rsidR="00BF73E0" w:rsidRPr="000F1974">
        <w:t xml:space="preserve">position in February 2013.  </w:t>
      </w:r>
      <w:r w:rsidR="00CF4D56" w:rsidRPr="000F1974">
        <w:t>Ex. 1, Compl</w:t>
      </w:r>
      <w:r w:rsidR="001A6717" w:rsidRPr="000F1974">
        <w:t>.</w:t>
      </w:r>
      <w:r w:rsidR="00CF4D56" w:rsidRPr="000F1974">
        <w:t xml:space="preserve"> ¶ 23; </w:t>
      </w:r>
      <w:r w:rsidR="00796FE9" w:rsidRPr="000F1974">
        <w:t xml:space="preserve">Ex. 2, </w:t>
      </w:r>
      <w:r w:rsidR="00BF73E0" w:rsidRPr="000F1974">
        <w:t xml:space="preserve">Def.’s Answer ¶ 23.  </w:t>
      </w:r>
      <w:r w:rsidR="00150AD2" w:rsidRPr="000F1974">
        <w:t xml:space="preserve">The Sheriff’s Office did not give Ms. Hall </w:t>
      </w:r>
      <w:r w:rsidR="000E53A1" w:rsidRPr="000F1974">
        <w:t>priority for placement into t</w:t>
      </w:r>
      <w:r w:rsidR="008E729D" w:rsidRPr="000F1974">
        <w:t>he Payroll Technician position.</w:t>
      </w:r>
      <w:r w:rsidR="000E53A1" w:rsidRPr="000F1974">
        <w:t xml:space="preserve">  </w:t>
      </w:r>
      <w:r w:rsidR="00CF4D56" w:rsidRPr="000F1974">
        <w:t xml:space="preserve">Ex. 2, Def.’s Answer </w:t>
      </w:r>
      <w:r w:rsidR="000E53A1" w:rsidRPr="000F1974">
        <w:t>¶ 2</w:t>
      </w:r>
      <w:r w:rsidR="00CF4D56" w:rsidRPr="000F1974">
        <w:t>6</w:t>
      </w:r>
      <w:r w:rsidR="000E53A1" w:rsidRPr="000F1974">
        <w:t>.</w:t>
      </w:r>
    </w:p>
    <w:p w:rsidR="005E0CF2" w:rsidRPr="000F1974" w:rsidRDefault="00B62C87" w:rsidP="000E53A1">
      <w:pPr>
        <w:spacing w:line="480" w:lineRule="auto"/>
        <w:ind w:firstLine="720"/>
      </w:pPr>
      <w:r w:rsidRPr="000F1974">
        <w:t>3</w:t>
      </w:r>
      <w:r w:rsidR="00620169" w:rsidRPr="000F1974">
        <w:t>0</w:t>
      </w:r>
      <w:r w:rsidR="000C0AAD" w:rsidRPr="000F1974">
        <w:t>.</w:t>
      </w:r>
      <w:r w:rsidR="000C0AAD" w:rsidRPr="000F1974">
        <w:tab/>
        <w:t xml:space="preserve">Ms. Hall was not </w:t>
      </w:r>
      <w:r w:rsidR="007D0D33" w:rsidRPr="000F1974">
        <w:t>hired</w:t>
      </w:r>
      <w:r w:rsidR="000C0AAD" w:rsidRPr="000F1974">
        <w:t xml:space="preserve"> for the position</w:t>
      </w:r>
      <w:r w:rsidR="000E53A1" w:rsidRPr="000F1974">
        <w:t xml:space="preserve">.  </w:t>
      </w:r>
      <w:r w:rsidR="00796FE9" w:rsidRPr="000F1974">
        <w:t xml:space="preserve">Ex. 2, </w:t>
      </w:r>
      <w:r w:rsidR="000E53A1" w:rsidRPr="000F1974">
        <w:t xml:space="preserve">Def.’s Answer ¶ 24.  </w:t>
      </w:r>
    </w:p>
    <w:p w:rsidR="000E53A1" w:rsidRPr="000F1974" w:rsidRDefault="005E0CF2" w:rsidP="000E53A1">
      <w:pPr>
        <w:spacing w:line="480" w:lineRule="auto"/>
        <w:ind w:firstLine="720"/>
      </w:pPr>
      <w:r w:rsidRPr="000F1974">
        <w:t>3</w:t>
      </w:r>
      <w:r w:rsidR="00620169" w:rsidRPr="000F1974">
        <w:t>1</w:t>
      </w:r>
      <w:r w:rsidRPr="000F1974">
        <w:t>.</w:t>
      </w:r>
      <w:r w:rsidRPr="000F1974">
        <w:tab/>
      </w:r>
      <w:r w:rsidR="000E53A1" w:rsidRPr="000F1974">
        <w:t>Ms. Hall learned that she had no</w:t>
      </w:r>
      <w:r w:rsidR="006D747B" w:rsidRPr="000F1974">
        <w:t>t been selected when she heard</w:t>
      </w:r>
      <w:r w:rsidR="00A92BCF" w:rsidRPr="000F1974">
        <w:t xml:space="preserve"> from a coworker</w:t>
      </w:r>
      <w:r w:rsidR="000E53A1" w:rsidRPr="000F1974">
        <w:t xml:space="preserve"> that another candidate had been hired.  </w:t>
      </w:r>
      <w:r w:rsidR="00796FE9" w:rsidRPr="000F1974">
        <w:t xml:space="preserve">Ex. 4, </w:t>
      </w:r>
      <w:r w:rsidR="00E83863" w:rsidRPr="000F1974">
        <w:t xml:space="preserve">Hall </w:t>
      </w:r>
      <w:r w:rsidR="00102E0E" w:rsidRPr="000F1974">
        <w:t>Dep</w:t>
      </w:r>
      <w:r w:rsidR="00E83863" w:rsidRPr="000F1974">
        <w:t>.</w:t>
      </w:r>
      <w:r w:rsidR="00DE633B" w:rsidRPr="000F1974">
        <w:t xml:space="preserve"> Tr. </w:t>
      </w:r>
      <w:r w:rsidR="00AF7E70" w:rsidRPr="000F1974">
        <w:t>9</w:t>
      </w:r>
      <w:r w:rsidR="008E729D" w:rsidRPr="000F1974">
        <w:t>6</w:t>
      </w:r>
      <w:r w:rsidR="00AF7E70" w:rsidRPr="000F1974">
        <w:t>:</w:t>
      </w:r>
      <w:r w:rsidR="008E729D" w:rsidRPr="000F1974">
        <w:t>25</w:t>
      </w:r>
      <w:r w:rsidR="00AF7E70" w:rsidRPr="000F1974">
        <w:t>−</w:t>
      </w:r>
      <w:r w:rsidR="008E729D" w:rsidRPr="000F1974">
        <w:t>97:3</w:t>
      </w:r>
      <w:r w:rsidR="00AF7E70" w:rsidRPr="000F1974">
        <w:t>.</w:t>
      </w:r>
    </w:p>
    <w:p w:rsidR="0014374C" w:rsidRPr="000F1974" w:rsidRDefault="005E0CF2" w:rsidP="000E53A1">
      <w:pPr>
        <w:spacing w:line="480" w:lineRule="auto"/>
        <w:ind w:firstLine="720"/>
      </w:pPr>
      <w:r w:rsidRPr="000F1974">
        <w:t>3</w:t>
      </w:r>
      <w:r w:rsidR="00620169" w:rsidRPr="000F1974">
        <w:t>2</w:t>
      </w:r>
      <w:r w:rsidR="0007032A" w:rsidRPr="000F1974">
        <w:t>.</w:t>
      </w:r>
      <w:r w:rsidR="0007032A" w:rsidRPr="000F1974">
        <w:tab/>
      </w:r>
      <w:r w:rsidR="0014374C" w:rsidRPr="000F1974">
        <w:t xml:space="preserve">Sheriff Woody had the authority to hire any candidate for the Payroll Technician position.  Ex. 10, 30(b)(6) </w:t>
      </w:r>
      <w:r w:rsidR="00102E0E" w:rsidRPr="000F1974">
        <w:t>Dep</w:t>
      </w:r>
      <w:r w:rsidR="0014374C" w:rsidRPr="000F1974">
        <w:t xml:space="preserve">. Tr. </w:t>
      </w:r>
      <w:r w:rsidR="00081E53" w:rsidRPr="000F1974">
        <w:t>136:</w:t>
      </w:r>
      <w:r w:rsidR="008E729D" w:rsidRPr="000F1974">
        <w:t>5</w:t>
      </w:r>
      <w:r w:rsidR="00081E53" w:rsidRPr="000F1974">
        <w:t>−19,</w:t>
      </w:r>
      <w:r w:rsidR="001E425B" w:rsidRPr="000F1974">
        <w:t xml:space="preserve"> </w:t>
      </w:r>
      <w:r w:rsidR="0014374C" w:rsidRPr="000F1974">
        <w:t>139:1−7.</w:t>
      </w:r>
    </w:p>
    <w:p w:rsidR="00483C35" w:rsidRPr="000F1974" w:rsidRDefault="0014374C" w:rsidP="000E53A1">
      <w:pPr>
        <w:spacing w:line="480" w:lineRule="auto"/>
        <w:ind w:firstLine="720"/>
      </w:pPr>
      <w:r w:rsidRPr="000F1974">
        <w:t>3</w:t>
      </w:r>
      <w:r w:rsidR="00620169" w:rsidRPr="000F1974">
        <w:t>3</w:t>
      </w:r>
      <w:r w:rsidRPr="000F1974">
        <w:t>.</w:t>
      </w:r>
      <w:r w:rsidRPr="000F1974">
        <w:tab/>
      </w:r>
      <w:r w:rsidR="0007032A" w:rsidRPr="000F1974">
        <w:t>According to the Sheriff, t</w:t>
      </w:r>
      <w:r w:rsidR="00483C35" w:rsidRPr="000F1974">
        <w:t xml:space="preserve">he </w:t>
      </w:r>
      <w:r w:rsidR="005C2D11" w:rsidRPr="000F1974">
        <w:t>sole</w:t>
      </w:r>
      <w:r w:rsidR="00483C35" w:rsidRPr="000F1974">
        <w:t xml:space="preserve"> reason </w:t>
      </w:r>
      <w:r w:rsidR="0007032A" w:rsidRPr="000F1974">
        <w:t>he</w:t>
      </w:r>
      <w:r w:rsidR="00483C35" w:rsidRPr="000F1974">
        <w:t xml:space="preserve"> </w:t>
      </w:r>
      <w:r w:rsidR="00A92BCF" w:rsidRPr="000F1974">
        <w:t>did not</w:t>
      </w:r>
      <w:r w:rsidR="00483C35" w:rsidRPr="000F1974">
        <w:t xml:space="preserve"> </w:t>
      </w:r>
      <w:r w:rsidR="00A92BCF" w:rsidRPr="000F1974">
        <w:t>hire</w:t>
      </w:r>
      <w:r w:rsidR="00483C35" w:rsidRPr="000F1974">
        <w:t xml:space="preserve"> Ms. Hall </w:t>
      </w:r>
      <w:r w:rsidR="00A92BCF" w:rsidRPr="000F1974">
        <w:t>for the Payroll Technician position is</w:t>
      </w:r>
      <w:r w:rsidR="00483C35" w:rsidRPr="000F1974">
        <w:t xml:space="preserve"> that she was not the “most qualified” candidate according to</w:t>
      </w:r>
      <w:r w:rsidR="00A92BCF" w:rsidRPr="000F1974">
        <w:t xml:space="preserve"> the Sheriff’s Office</w:t>
      </w:r>
      <w:r w:rsidR="00483C35" w:rsidRPr="000F1974">
        <w:t xml:space="preserve"> internal </w:t>
      </w:r>
      <w:r w:rsidR="00A5720A" w:rsidRPr="000F1974">
        <w:t>evaluation system</w:t>
      </w:r>
      <w:r w:rsidR="00483C35" w:rsidRPr="000F1974">
        <w:t xml:space="preserve">.  </w:t>
      </w:r>
      <w:r w:rsidR="00796FE9" w:rsidRPr="000F1974">
        <w:t xml:space="preserve">Ex. 9, </w:t>
      </w:r>
      <w:r w:rsidR="00391AB7" w:rsidRPr="000F1974">
        <w:t>Def.’s Interrog. Answer</w:t>
      </w:r>
      <w:r w:rsidR="00796FE9" w:rsidRPr="000F1974">
        <w:t>s</w:t>
      </w:r>
      <w:r w:rsidR="00391AB7" w:rsidRPr="000F1974">
        <w:t xml:space="preserve"> 11, 13.</w:t>
      </w:r>
      <w:r w:rsidR="00150AD2" w:rsidRPr="000F1974">
        <w:t xml:space="preserve">  </w:t>
      </w:r>
    </w:p>
    <w:p w:rsidR="009B42D5" w:rsidRPr="000F1974" w:rsidRDefault="009B42D5" w:rsidP="000E53A1">
      <w:pPr>
        <w:spacing w:line="480" w:lineRule="auto"/>
        <w:ind w:firstLine="720"/>
      </w:pPr>
      <w:r w:rsidRPr="000F1974">
        <w:t>3</w:t>
      </w:r>
      <w:r w:rsidR="00620169" w:rsidRPr="000F1974">
        <w:t>4</w:t>
      </w:r>
      <w:r w:rsidRPr="000F1974">
        <w:t>.</w:t>
      </w:r>
      <w:r w:rsidRPr="000F1974">
        <w:tab/>
        <w:t xml:space="preserve">According to the Sheriff’s Office, </w:t>
      </w:r>
      <w:r w:rsidR="00150AD2" w:rsidRPr="000F1974">
        <w:t xml:space="preserve">Sheriff Woody hired </w:t>
      </w:r>
      <w:r w:rsidR="00230914" w:rsidRPr="000F1974">
        <w:t>Camille</w:t>
      </w:r>
      <w:r w:rsidRPr="000F1974">
        <w:t xml:space="preserve"> Christian</w:t>
      </w:r>
      <w:r w:rsidR="00DF4443" w:rsidRPr="000F1974">
        <w:t xml:space="preserve"> for the position</w:t>
      </w:r>
      <w:r w:rsidR="00230914" w:rsidRPr="000F1974">
        <w:t>,</w:t>
      </w:r>
      <w:r w:rsidRPr="000F1974">
        <w:t xml:space="preserve"> </w:t>
      </w:r>
      <w:r w:rsidR="00150AD2" w:rsidRPr="000F1974">
        <w:t xml:space="preserve">because </w:t>
      </w:r>
      <w:r w:rsidR="00A92BCF" w:rsidRPr="000F1974">
        <w:t xml:space="preserve">she </w:t>
      </w:r>
      <w:r w:rsidRPr="000F1974">
        <w:t xml:space="preserve">was the “most qualified” </w:t>
      </w:r>
      <w:r w:rsidR="0041590C" w:rsidRPr="000F1974">
        <w:t>candidate</w:t>
      </w:r>
      <w:r w:rsidRPr="000F1974">
        <w:t xml:space="preserve">.  </w:t>
      </w:r>
      <w:r w:rsidR="00176ED3" w:rsidRPr="000F1974">
        <w:t xml:space="preserve">Ex. 10, 30(b)(6) </w:t>
      </w:r>
      <w:r w:rsidR="00102E0E" w:rsidRPr="000F1974">
        <w:t>Dep</w:t>
      </w:r>
      <w:r w:rsidR="00176ED3" w:rsidRPr="000F1974">
        <w:t>. Tr. 188:</w:t>
      </w:r>
      <w:r w:rsidR="0041590C" w:rsidRPr="000F1974">
        <w:t xml:space="preserve">14−20.  </w:t>
      </w:r>
      <w:r w:rsidR="00230914" w:rsidRPr="000F1974">
        <w:t>In July 2013,</w:t>
      </w:r>
      <w:r w:rsidR="000C2FA7" w:rsidRPr="000F1974">
        <w:t xml:space="preserve"> just </w:t>
      </w:r>
      <w:r w:rsidR="00114DDC" w:rsidRPr="000F1974">
        <w:t>5</w:t>
      </w:r>
      <w:r w:rsidR="000C2FA7" w:rsidRPr="000F1974">
        <w:t xml:space="preserve"> months </w:t>
      </w:r>
      <w:r w:rsidR="00114DDC" w:rsidRPr="000F1974">
        <w:t xml:space="preserve">after the interviews, </w:t>
      </w:r>
      <w:r w:rsidRPr="000F1974">
        <w:t>Sheriff Woody transferred Ms. Christian to a different position</w:t>
      </w:r>
      <w:r w:rsidR="00230914" w:rsidRPr="000F1974">
        <w:t xml:space="preserve"> </w:t>
      </w:r>
      <w:r w:rsidRPr="000F1974">
        <w:t>and</w:t>
      </w:r>
      <w:r w:rsidR="00230914" w:rsidRPr="000F1974">
        <w:t>,</w:t>
      </w:r>
      <w:r w:rsidRPr="000F1974">
        <w:t xml:space="preserve"> in September 2014</w:t>
      </w:r>
      <w:r w:rsidR="00230914" w:rsidRPr="000F1974">
        <w:t>, fired her</w:t>
      </w:r>
      <w:r w:rsidRPr="000F1974">
        <w:t xml:space="preserve"> </w:t>
      </w:r>
      <w:r w:rsidR="00230914" w:rsidRPr="000F1974">
        <w:t>for insubordination.</w:t>
      </w:r>
      <w:r w:rsidRPr="000F1974">
        <w:t xml:space="preserve"> </w:t>
      </w:r>
      <w:r w:rsidR="00230914" w:rsidRPr="000F1974">
        <w:t xml:space="preserve"> </w:t>
      </w:r>
      <w:r w:rsidR="00796FE9" w:rsidRPr="000F1974">
        <w:t xml:space="preserve">Ex. 16, </w:t>
      </w:r>
      <w:r w:rsidRPr="000F1974">
        <w:t xml:space="preserve">30(b)(6) </w:t>
      </w:r>
      <w:r w:rsidR="00230914" w:rsidRPr="000F1974">
        <w:t xml:space="preserve">Ex. 13 </w:t>
      </w:r>
      <w:r w:rsidR="00230914" w:rsidRPr="000F1974">
        <w:lastRenderedPageBreak/>
        <w:t xml:space="preserve">(Woody 1480), </w:t>
      </w:r>
      <w:r w:rsidRPr="000F1974">
        <w:t>Ex. 14 (Woody 1488), 16 (Woody 1489).</w:t>
      </w:r>
    </w:p>
    <w:p w:rsidR="00876D12" w:rsidRPr="000F1974" w:rsidRDefault="005E0CF2" w:rsidP="000C0AAD">
      <w:pPr>
        <w:spacing w:line="480" w:lineRule="auto"/>
        <w:ind w:firstLine="720"/>
      </w:pPr>
      <w:r w:rsidRPr="000F1974">
        <w:t>3</w:t>
      </w:r>
      <w:r w:rsidR="00620169" w:rsidRPr="000F1974">
        <w:t>5</w:t>
      </w:r>
      <w:r w:rsidR="000C0AAD" w:rsidRPr="000F1974">
        <w:t>.</w:t>
      </w:r>
      <w:r w:rsidR="000C0AAD" w:rsidRPr="000F1974">
        <w:tab/>
        <w:t xml:space="preserve">On March 15, 2013, Ms. Hall again </w:t>
      </w:r>
      <w:r w:rsidR="00876D12" w:rsidRPr="000F1974">
        <w:t xml:space="preserve">e-mailed Sheriff Woody, stating:  </w:t>
      </w:r>
    </w:p>
    <w:p w:rsidR="000C0AAD" w:rsidRPr="000F1974" w:rsidRDefault="00876D12" w:rsidP="00876D12">
      <w:pPr>
        <w:ind w:left="720" w:right="940"/>
        <w:jc w:val="both"/>
      </w:pPr>
      <w:r w:rsidRPr="000F1974">
        <w:t xml:space="preserve">I have been out of work since September [] 2012 due to medical issues . . . My doctor informed me that I am no longer able to perform my duties as a Deputy Sheriff due to the defib[rillator] and pacemaker I now have . . . I really need a job, full or part-time as a civilian if there is one open.  I have spoken to Ms. Winzor about this situation and have followed her advice and have been applying to jobs on our </w:t>
      </w:r>
      <w:r w:rsidR="00654A7F" w:rsidRPr="000F1974">
        <w:t>Richmond</w:t>
      </w:r>
      <w:r w:rsidRPr="000F1974">
        <w:t xml:space="preserve"> website as well as other positions outside of Richmond.  I have had no call backs as of yet.  If you can help me with anything I would greatly appreciate it.  Thank you ever so much for reading this.</w:t>
      </w:r>
    </w:p>
    <w:p w:rsidR="00876D12" w:rsidRPr="000F1974" w:rsidRDefault="00876D12" w:rsidP="00876D12">
      <w:pPr>
        <w:ind w:left="720" w:right="940"/>
        <w:jc w:val="both"/>
      </w:pPr>
    </w:p>
    <w:p w:rsidR="005C2D11" w:rsidRPr="000F1974" w:rsidRDefault="00796FE9" w:rsidP="00876D12">
      <w:pPr>
        <w:spacing w:line="480" w:lineRule="auto"/>
      </w:pPr>
      <w:r w:rsidRPr="000F1974">
        <w:t xml:space="preserve">Ex. 17, </w:t>
      </w:r>
      <w:r w:rsidR="00876D12" w:rsidRPr="000F1974">
        <w:t xml:space="preserve">30(b)(6) </w:t>
      </w:r>
      <w:r w:rsidR="00102E0E" w:rsidRPr="000F1974">
        <w:t>Dep</w:t>
      </w:r>
      <w:r w:rsidR="00876D12" w:rsidRPr="000F1974">
        <w:t>. Ex. 8</w:t>
      </w:r>
      <w:r w:rsidRPr="000F1974">
        <w:t xml:space="preserve"> (Woody 1429)</w:t>
      </w:r>
      <w:r w:rsidR="00876D12" w:rsidRPr="000F1974">
        <w:t>.</w:t>
      </w:r>
      <w:r w:rsidR="00F8069D" w:rsidRPr="000F1974">
        <w:t xml:space="preserve">  Sheriff Woody forwarded this e-mail to Billie Winzor, who advised him that </w:t>
      </w:r>
      <w:r w:rsidR="007F247C" w:rsidRPr="000F1974">
        <w:t>Ms.</w:t>
      </w:r>
      <w:r w:rsidR="00F8069D" w:rsidRPr="000F1974">
        <w:t xml:space="preserve"> Hall had interviewed for the Payroll Technician position.  </w:t>
      </w:r>
      <w:r w:rsidR="00F8069D" w:rsidRPr="000F1974">
        <w:rPr>
          <w:i/>
        </w:rPr>
        <w:t>Id.</w:t>
      </w:r>
    </w:p>
    <w:p w:rsidR="005C2D11" w:rsidRPr="000F1974" w:rsidRDefault="005C2D11" w:rsidP="00876D12">
      <w:pPr>
        <w:spacing w:line="480" w:lineRule="auto"/>
      </w:pPr>
      <w:r w:rsidRPr="000F1974">
        <w:tab/>
        <w:t>3</w:t>
      </w:r>
      <w:r w:rsidR="00620169" w:rsidRPr="000F1974">
        <w:t>6</w:t>
      </w:r>
      <w:r w:rsidRPr="000F1974">
        <w:t>.</w:t>
      </w:r>
      <w:r w:rsidRPr="000F1974">
        <w:tab/>
        <w:t xml:space="preserve">During the time Ms. Hall was seeking a civilian position within the Sheriff’s Office, </w:t>
      </w:r>
      <w:r w:rsidR="0040245B" w:rsidRPr="000F1974">
        <w:t>Sheriff Woody</w:t>
      </w:r>
      <w:r w:rsidRPr="000F1974">
        <w:t xml:space="preserve"> fi</w:t>
      </w:r>
      <w:r w:rsidR="00367637" w:rsidRPr="000F1974">
        <w:t>lled five civilian vacancies</w:t>
      </w:r>
      <w:r w:rsidR="007D0D33" w:rsidRPr="000F1974">
        <w:t xml:space="preserve"> other than</w:t>
      </w:r>
      <w:r w:rsidR="006C0821" w:rsidRPr="000F1974">
        <w:t xml:space="preserve"> the Payroll Technician position</w:t>
      </w:r>
      <w:r w:rsidR="00367637" w:rsidRPr="000F1974">
        <w:t xml:space="preserve">.  </w:t>
      </w:r>
      <w:r w:rsidRPr="000F1974">
        <w:t xml:space="preserve">On January 7, 2013, Sheriff Woody filled an Accounting Clerk vacancy.  On February 14, 2013, Sheriff Woody filled a Recruitment Manager vacancy.  On March 11, 2013, Sheriff Woody filled a Jury Office Manager </w:t>
      </w:r>
      <w:r w:rsidR="0040245B" w:rsidRPr="000F1974">
        <w:t>vacancy</w:t>
      </w:r>
      <w:r w:rsidRPr="000F1974">
        <w:t xml:space="preserve">.  On June 3, 2013, Sheriff Woody filled a Jury Clerk vacancy.  On August 12, 2013, Sheriff Woody filled a Records File Clerk vacancy.  </w:t>
      </w:r>
      <w:r w:rsidR="00796FE9" w:rsidRPr="000F1974">
        <w:t xml:space="preserve">Ex. 18, </w:t>
      </w:r>
      <w:r w:rsidRPr="000F1974">
        <w:t xml:space="preserve">Ex. 2 to </w:t>
      </w:r>
      <w:r w:rsidR="00796FE9" w:rsidRPr="000F1974">
        <w:t>Def.’s Second Supplemental Interrog. Answers</w:t>
      </w:r>
      <w:r w:rsidR="0040245B" w:rsidRPr="000F1974">
        <w:t>.</w:t>
      </w:r>
    </w:p>
    <w:p w:rsidR="00367637" w:rsidRPr="000F1974" w:rsidRDefault="0040245B" w:rsidP="00367637">
      <w:pPr>
        <w:spacing w:line="480" w:lineRule="auto"/>
        <w:ind w:firstLine="720"/>
      </w:pPr>
      <w:r w:rsidRPr="000F1974">
        <w:t>3</w:t>
      </w:r>
      <w:r w:rsidR="00620169" w:rsidRPr="000F1974">
        <w:t>7</w:t>
      </w:r>
      <w:r w:rsidRPr="000F1974">
        <w:t xml:space="preserve">. </w:t>
      </w:r>
      <w:r w:rsidRPr="000F1974">
        <w:tab/>
      </w:r>
      <w:r w:rsidR="00367637" w:rsidRPr="000F1974">
        <w:t xml:space="preserve">Sheriff Woody filled four of these vacancies </w:t>
      </w:r>
      <w:r w:rsidR="0014374C" w:rsidRPr="000F1974">
        <w:t xml:space="preserve">(all but Accounting Clerk) </w:t>
      </w:r>
      <w:r w:rsidR="00367637" w:rsidRPr="000F1974">
        <w:t xml:space="preserve">without publicly advertising them.  </w:t>
      </w:r>
      <w:r w:rsidR="00A86932" w:rsidRPr="000F1974">
        <w:t xml:space="preserve">Ex. 26, </w:t>
      </w:r>
      <w:r w:rsidR="00367637" w:rsidRPr="000F1974">
        <w:t>Def.’s Second Admis. 9−12.</w:t>
      </w:r>
    </w:p>
    <w:p w:rsidR="0040245B" w:rsidRPr="000F1974" w:rsidRDefault="00367637" w:rsidP="0040245B">
      <w:pPr>
        <w:spacing w:line="480" w:lineRule="auto"/>
        <w:ind w:firstLine="720"/>
      </w:pPr>
      <w:r w:rsidRPr="000F1974">
        <w:t>3</w:t>
      </w:r>
      <w:r w:rsidR="00620169" w:rsidRPr="000F1974">
        <w:t>8</w:t>
      </w:r>
      <w:r w:rsidRPr="000F1974">
        <w:t>.</w:t>
      </w:r>
      <w:r w:rsidRPr="000F1974">
        <w:tab/>
      </w:r>
      <w:r w:rsidR="0040245B" w:rsidRPr="000F1974">
        <w:t xml:space="preserve">Each of these </w:t>
      </w:r>
      <w:r w:rsidR="007D0D33" w:rsidRPr="000F1974">
        <w:t>vacancies</w:t>
      </w:r>
      <w:r w:rsidR="0040245B" w:rsidRPr="000F1974">
        <w:t xml:space="preserve"> required a high school education or had no educational qualification requirement.  </w:t>
      </w:r>
      <w:r w:rsidR="00796FE9" w:rsidRPr="000F1974">
        <w:t xml:space="preserve">Ex. 19, </w:t>
      </w:r>
      <w:r w:rsidR="00081E53" w:rsidRPr="000F1974">
        <w:t>Woody 1585−88,</w:t>
      </w:r>
      <w:r w:rsidR="0040245B" w:rsidRPr="000F1974">
        <w:t xml:space="preserve"> </w:t>
      </w:r>
      <w:r w:rsidR="00796FE9" w:rsidRPr="000F1974">
        <w:t>1608−09</w:t>
      </w:r>
      <w:r w:rsidR="00081E53" w:rsidRPr="000F1974">
        <w:t>,</w:t>
      </w:r>
      <w:r w:rsidR="0040245B" w:rsidRPr="000F1974">
        <w:t xml:space="preserve"> 1628−29.</w:t>
      </w:r>
      <w:r w:rsidR="00DF0C45" w:rsidRPr="000F1974">
        <w:t xml:space="preserve">  </w:t>
      </w:r>
      <w:r w:rsidR="005C603A" w:rsidRPr="000F1974">
        <w:t>Ms. Hall had a high school equivalency certification</w:t>
      </w:r>
      <w:r w:rsidR="007D0D33" w:rsidRPr="000F1974">
        <w:t xml:space="preserve">.  Ex. 4, Hall </w:t>
      </w:r>
      <w:r w:rsidR="00102E0E" w:rsidRPr="000F1974">
        <w:t>Dep</w:t>
      </w:r>
      <w:r w:rsidR="007D0D33" w:rsidRPr="000F1974">
        <w:t>. Tr. 166:2−14.</w:t>
      </w:r>
    </w:p>
    <w:p w:rsidR="000D340C" w:rsidRPr="000F1974" w:rsidRDefault="00620169" w:rsidP="0040245B">
      <w:pPr>
        <w:spacing w:line="480" w:lineRule="auto"/>
        <w:ind w:firstLine="720"/>
        <w:rPr>
          <w:i/>
        </w:rPr>
      </w:pPr>
      <w:r w:rsidRPr="000F1974">
        <w:t>39</w:t>
      </w:r>
      <w:r w:rsidR="000D340C" w:rsidRPr="000F1974">
        <w:t>.</w:t>
      </w:r>
      <w:r w:rsidR="000D340C" w:rsidRPr="000F1974">
        <w:tab/>
      </w:r>
      <w:r w:rsidR="00077FB2" w:rsidRPr="000F1974">
        <w:t>According to Ms. Hall, she</w:t>
      </w:r>
      <w:r w:rsidR="000D340C" w:rsidRPr="000F1974">
        <w:t xml:space="preserve"> would have applied for each of these positions had she been aware of them.  </w:t>
      </w:r>
      <w:r w:rsidR="00796FE9" w:rsidRPr="000F1974">
        <w:t xml:space="preserve">Ex. 4, </w:t>
      </w:r>
      <w:r w:rsidR="000D340C" w:rsidRPr="000F1974">
        <w:t xml:space="preserve">Hall </w:t>
      </w:r>
      <w:r w:rsidR="00102E0E" w:rsidRPr="000F1974">
        <w:t>Dep</w:t>
      </w:r>
      <w:r w:rsidR="000D340C" w:rsidRPr="000F1974">
        <w:t xml:space="preserve">. Tr. 128−37.  Ms. Hall would have accepted an offer to fill each of these positions, had she received such an offer.  </w:t>
      </w:r>
      <w:r w:rsidR="000D340C" w:rsidRPr="000F1974">
        <w:rPr>
          <w:i/>
        </w:rPr>
        <w:t>Id.</w:t>
      </w:r>
    </w:p>
    <w:p w:rsidR="0040245B" w:rsidRPr="000F1974" w:rsidRDefault="00367637" w:rsidP="0040245B">
      <w:pPr>
        <w:spacing w:line="480" w:lineRule="auto"/>
        <w:ind w:firstLine="720"/>
      </w:pPr>
      <w:r w:rsidRPr="000F1974">
        <w:lastRenderedPageBreak/>
        <w:t>4</w:t>
      </w:r>
      <w:r w:rsidR="00620169" w:rsidRPr="000F1974">
        <w:t>0</w:t>
      </w:r>
      <w:r w:rsidR="000D340C" w:rsidRPr="000F1974">
        <w:t>.</w:t>
      </w:r>
      <w:r w:rsidR="000D340C" w:rsidRPr="000F1974">
        <w:tab/>
      </w:r>
      <w:r w:rsidR="0040245B" w:rsidRPr="000F1974">
        <w:t>Neither Sheriff Woody nor Billie Winzor told Ms. Hall about any of these vacancies</w:t>
      </w:r>
      <w:r w:rsidR="005E1949" w:rsidRPr="000F1974">
        <w:t xml:space="preserve"> or any other vacancy, other than the Payroll Technician position</w:t>
      </w:r>
      <w:r w:rsidR="0040245B" w:rsidRPr="000F1974">
        <w:t xml:space="preserve">.  </w:t>
      </w:r>
      <w:r w:rsidR="00B07962" w:rsidRPr="000F1974">
        <w:t>Ex. 26, Def.’s Second Admis. 13</w:t>
      </w:r>
      <w:r w:rsidR="0040245B" w:rsidRPr="000F1974">
        <w:t xml:space="preserve">.  </w:t>
      </w:r>
      <w:r w:rsidR="005E1949" w:rsidRPr="000F1974">
        <w:t>With respect to the Jury Office Manager vacancy, Sheriff Woody offered a “candidate [who] performed strongly in [the] payroll technician interview” a “follow up interview” for the position, but he did not offer Ms. Hall a “follow up interview” for that position or any other.  Ex. 18, Ex. 2 to Def.’s Second Supplemental Interrog. Answers; Ex. 26, Def.’s Second Admis. 13.</w:t>
      </w:r>
    </w:p>
    <w:p w:rsidR="00F8069D" w:rsidRPr="000F1974" w:rsidRDefault="00B62C87" w:rsidP="005C2D11">
      <w:pPr>
        <w:spacing w:line="480" w:lineRule="auto"/>
        <w:ind w:firstLine="720"/>
      </w:pPr>
      <w:r w:rsidRPr="000F1974">
        <w:t>4</w:t>
      </w:r>
      <w:r w:rsidR="00620169" w:rsidRPr="000F1974">
        <w:t>1</w:t>
      </w:r>
      <w:r w:rsidR="00F8069D" w:rsidRPr="000F1974">
        <w:t>.</w:t>
      </w:r>
      <w:r w:rsidR="00F8069D" w:rsidRPr="000F1974">
        <w:tab/>
        <w:t>Accor</w:t>
      </w:r>
      <w:r w:rsidR="00CC2011">
        <w:t xml:space="preserve">ding to Sheriff Woody, it is a challenge to </w:t>
      </w:r>
      <w:r w:rsidR="00F8069D" w:rsidRPr="000F1974">
        <w:t>find qualified people</w:t>
      </w:r>
      <w:r w:rsidR="00A92BCF" w:rsidRPr="000F1974">
        <w:t xml:space="preserve"> to fill vacancies at the Sheriff’s Office.</w:t>
      </w:r>
      <w:r w:rsidR="00F8069D" w:rsidRPr="000F1974">
        <w:t xml:space="preserve">  </w:t>
      </w:r>
      <w:r w:rsidR="00796FE9" w:rsidRPr="000F1974">
        <w:t>Ex. 3,</w:t>
      </w:r>
      <w:r w:rsidR="00F8069D" w:rsidRPr="000F1974">
        <w:t xml:space="preserve"> Woody </w:t>
      </w:r>
      <w:r w:rsidR="00102E0E" w:rsidRPr="000F1974">
        <w:t>Dep</w:t>
      </w:r>
      <w:r w:rsidR="00F8069D" w:rsidRPr="000F1974">
        <w:t xml:space="preserve">. </w:t>
      </w:r>
      <w:r w:rsidR="00DE633B" w:rsidRPr="000F1974">
        <w:t xml:space="preserve">Tr. </w:t>
      </w:r>
      <w:r w:rsidR="00796FE9" w:rsidRPr="000F1974">
        <w:t>14:3−9</w:t>
      </w:r>
      <w:r w:rsidR="00F8069D" w:rsidRPr="000F1974">
        <w:t>.</w:t>
      </w:r>
    </w:p>
    <w:p w:rsidR="00A5720A" w:rsidRPr="000F1974" w:rsidRDefault="00B62C87" w:rsidP="00A5720A">
      <w:pPr>
        <w:spacing w:line="480" w:lineRule="auto"/>
        <w:ind w:firstLine="720"/>
      </w:pPr>
      <w:r w:rsidRPr="000F1974">
        <w:t>4</w:t>
      </w:r>
      <w:r w:rsidR="00620169" w:rsidRPr="000F1974">
        <w:t>2</w:t>
      </w:r>
      <w:r w:rsidR="000C0AAD" w:rsidRPr="000F1974">
        <w:t>.</w:t>
      </w:r>
      <w:r w:rsidR="000C0AAD" w:rsidRPr="000F1974">
        <w:tab/>
      </w:r>
      <w:r w:rsidR="00F8069D" w:rsidRPr="000F1974">
        <w:t>A</w:t>
      </w:r>
      <w:r w:rsidR="00367637" w:rsidRPr="000F1974">
        <w:t>ccording to Sheriff Woody, a</w:t>
      </w:r>
      <w:r w:rsidR="00F8069D" w:rsidRPr="000F1974">
        <w:t xml:space="preserve">t all relevant times, </w:t>
      </w:r>
      <w:r w:rsidR="00367637" w:rsidRPr="000F1974">
        <w:t>his</w:t>
      </w:r>
      <w:r w:rsidR="00F8069D" w:rsidRPr="000F1974">
        <w:t xml:space="preserve"> policy was “to provide the citizens of the City of Richmond with the most qualified employees possible.”  </w:t>
      </w:r>
      <w:r w:rsidR="00796FE9" w:rsidRPr="000F1974">
        <w:t xml:space="preserve">Ex. 20, </w:t>
      </w:r>
      <w:r w:rsidR="00F8069D" w:rsidRPr="000F1974">
        <w:t xml:space="preserve">30(b)(6) </w:t>
      </w:r>
      <w:r w:rsidR="00102E0E" w:rsidRPr="000F1974">
        <w:t>Dep</w:t>
      </w:r>
      <w:r w:rsidR="00F8069D" w:rsidRPr="000F1974">
        <w:t xml:space="preserve">. Ex. 1 at 1 (Woody 1599); </w:t>
      </w:r>
      <w:r w:rsidR="00F8069D" w:rsidRPr="000F1974">
        <w:rPr>
          <w:i/>
        </w:rPr>
        <w:t>see also</w:t>
      </w:r>
      <w:r w:rsidR="00F8069D" w:rsidRPr="000F1974">
        <w:t xml:space="preserve"> </w:t>
      </w:r>
      <w:r w:rsidR="00796FE9" w:rsidRPr="000F1974">
        <w:t xml:space="preserve">Ex. 10, </w:t>
      </w:r>
      <w:r w:rsidR="00F8069D" w:rsidRPr="000F1974">
        <w:t xml:space="preserve">30(b)(6) </w:t>
      </w:r>
      <w:r w:rsidR="00102E0E" w:rsidRPr="000F1974">
        <w:t>Dep</w:t>
      </w:r>
      <w:r w:rsidR="00DE633B" w:rsidRPr="000F1974">
        <w:t xml:space="preserve">. Tr. </w:t>
      </w:r>
      <w:r w:rsidR="00F8069D" w:rsidRPr="000F1974">
        <w:t>21:22</w:t>
      </w:r>
      <w:r w:rsidR="008434A5" w:rsidRPr="000F1974">
        <w:t>−</w:t>
      </w:r>
      <w:r w:rsidR="00F8069D" w:rsidRPr="000F1974">
        <w:t xml:space="preserve">22:24.  </w:t>
      </w:r>
      <w:r w:rsidR="00A5720A" w:rsidRPr="000F1974">
        <w:t xml:space="preserve">Despite this policy, Sheriff Woody has on multiple occasions rejected </w:t>
      </w:r>
      <w:r w:rsidR="005E1949" w:rsidRPr="000F1974">
        <w:t xml:space="preserve">the candidate ranked highest under the Sheriff’s Office internal evaluation system and </w:t>
      </w:r>
      <w:r w:rsidR="00A5720A" w:rsidRPr="000F1974">
        <w:t xml:space="preserve">instead hired another </w:t>
      </w:r>
      <w:r w:rsidR="005E1949" w:rsidRPr="000F1974">
        <w:t>candidate</w:t>
      </w:r>
      <w:r w:rsidR="00A5720A" w:rsidRPr="000F1974">
        <w:t xml:space="preserve">.  Ex. 10, 30(b)(6) </w:t>
      </w:r>
      <w:r w:rsidR="00102E0E" w:rsidRPr="000F1974">
        <w:t>Dep</w:t>
      </w:r>
      <w:r w:rsidR="00A5720A" w:rsidRPr="000F1974">
        <w:t>. Tr. 69:</w:t>
      </w:r>
      <w:r w:rsidR="008B516D" w:rsidRPr="000F1974">
        <w:t>4</w:t>
      </w:r>
      <w:r w:rsidR="00A5720A" w:rsidRPr="000F1974">
        <w:t>−72:13.</w:t>
      </w:r>
    </w:p>
    <w:p w:rsidR="00BF36BB" w:rsidRPr="000F1974" w:rsidRDefault="00B62C87" w:rsidP="00367637">
      <w:pPr>
        <w:spacing w:line="480" w:lineRule="auto"/>
        <w:ind w:firstLine="720"/>
      </w:pPr>
      <w:r w:rsidRPr="000F1974">
        <w:t>4</w:t>
      </w:r>
      <w:r w:rsidR="00620169" w:rsidRPr="000F1974">
        <w:t>3</w:t>
      </w:r>
      <w:r w:rsidR="00F8069D" w:rsidRPr="000F1974">
        <w:t xml:space="preserve">.  </w:t>
      </w:r>
      <w:r w:rsidR="00F8069D" w:rsidRPr="000F1974">
        <w:tab/>
      </w:r>
      <w:r w:rsidR="00367637" w:rsidRPr="000F1974">
        <w:t xml:space="preserve">According to Sheriff Woody, “the Code of Virginia </w:t>
      </w:r>
      <w:r w:rsidR="008B516D" w:rsidRPr="000F1974">
        <w:t>specifically</w:t>
      </w:r>
      <w:r w:rsidR="00367637" w:rsidRPr="000F1974">
        <w:t xml:space="preserve"> requires Sheriffs . . . to hire civilian employees through an open and competitive hiring process.”  </w:t>
      </w:r>
      <w:r w:rsidR="008B516D" w:rsidRPr="000F1974">
        <w:t xml:space="preserve">Ex. 9, </w:t>
      </w:r>
      <w:r w:rsidR="00367637" w:rsidRPr="000F1974">
        <w:t>Def.’s Interrog. Answers 17.</w:t>
      </w:r>
    </w:p>
    <w:p w:rsidR="00C40C5C" w:rsidRPr="000F1974" w:rsidRDefault="005E0CF2" w:rsidP="000C0AAD">
      <w:pPr>
        <w:spacing w:line="480" w:lineRule="auto"/>
        <w:ind w:firstLine="720"/>
      </w:pPr>
      <w:r w:rsidRPr="000F1974">
        <w:t>4</w:t>
      </w:r>
      <w:r w:rsidR="00620169" w:rsidRPr="000F1974">
        <w:t>4</w:t>
      </w:r>
      <w:r w:rsidR="000E53A1" w:rsidRPr="000F1974">
        <w:t>.</w:t>
      </w:r>
      <w:r w:rsidR="000E53A1" w:rsidRPr="000F1974">
        <w:tab/>
      </w:r>
      <w:r w:rsidR="007F247C" w:rsidRPr="000F1974">
        <w:t>Ms.</w:t>
      </w:r>
      <w:r w:rsidR="00C40C5C" w:rsidRPr="000F1974">
        <w:t xml:space="preserve"> Hall telephoned Billie Winzor </w:t>
      </w:r>
      <w:r w:rsidR="002F0F09" w:rsidRPr="000F1974">
        <w:t xml:space="preserve">approximately twice more </w:t>
      </w:r>
      <w:r w:rsidR="00C40C5C" w:rsidRPr="000F1974">
        <w:t xml:space="preserve">to ask about civilian vacancies after she learned </w:t>
      </w:r>
      <w:r w:rsidR="003A2BA5" w:rsidRPr="000F1974">
        <w:t xml:space="preserve">that </w:t>
      </w:r>
      <w:r w:rsidR="00C40C5C" w:rsidRPr="000F1974">
        <w:t xml:space="preserve">she had not been selected for the Payroll Technician position.  </w:t>
      </w:r>
      <w:r w:rsidR="00796FE9" w:rsidRPr="000F1974">
        <w:t xml:space="preserve">Ex. 4, </w:t>
      </w:r>
      <w:r w:rsidR="00E83863" w:rsidRPr="000F1974">
        <w:t xml:space="preserve">Hall </w:t>
      </w:r>
      <w:r w:rsidR="00102E0E" w:rsidRPr="000F1974">
        <w:t>Dep</w:t>
      </w:r>
      <w:r w:rsidR="00E83863" w:rsidRPr="000F1974">
        <w:t>.</w:t>
      </w:r>
      <w:r w:rsidR="00DE633B" w:rsidRPr="000F1974">
        <w:t xml:space="preserve"> Tr.</w:t>
      </w:r>
      <w:r w:rsidR="00E83863" w:rsidRPr="000F1974">
        <w:t xml:space="preserve"> </w:t>
      </w:r>
      <w:r w:rsidR="002F0F09" w:rsidRPr="000F1974">
        <w:t>100</w:t>
      </w:r>
      <w:r w:rsidR="00E83863" w:rsidRPr="000F1974">
        <w:t>:</w:t>
      </w:r>
      <w:r w:rsidR="008B516D" w:rsidRPr="000F1974">
        <w:t>7−13</w:t>
      </w:r>
      <w:r w:rsidR="00C40C5C" w:rsidRPr="000F1974">
        <w:t>.</w:t>
      </w:r>
    </w:p>
    <w:p w:rsidR="00EF2C50" w:rsidRPr="000F1974" w:rsidRDefault="005E0CF2" w:rsidP="000C0AAD">
      <w:pPr>
        <w:spacing w:line="480" w:lineRule="auto"/>
        <w:ind w:firstLine="720"/>
      </w:pPr>
      <w:r w:rsidRPr="000F1974">
        <w:t>4</w:t>
      </w:r>
      <w:r w:rsidR="00620169" w:rsidRPr="000F1974">
        <w:t>5</w:t>
      </w:r>
      <w:r w:rsidR="000C0AAD" w:rsidRPr="000F1974">
        <w:t>.</w:t>
      </w:r>
      <w:r w:rsidR="000C0AAD" w:rsidRPr="000F1974">
        <w:tab/>
        <w:t xml:space="preserve">In May 2013, Ms. Hall received a letter from </w:t>
      </w:r>
      <w:r w:rsidR="003A2BA5" w:rsidRPr="000F1974">
        <w:t>Sheriff Woody</w:t>
      </w:r>
      <w:r w:rsidR="000C0AAD" w:rsidRPr="000F1974">
        <w:t xml:space="preserve"> </w:t>
      </w:r>
      <w:r w:rsidR="00C40FD4" w:rsidRPr="000F1974">
        <w:t>terminating</w:t>
      </w:r>
      <w:r w:rsidR="000C0AAD" w:rsidRPr="000F1974">
        <w:t xml:space="preserve"> her </w:t>
      </w:r>
      <w:r w:rsidR="008F7A2B" w:rsidRPr="000F1974">
        <w:t xml:space="preserve">from her </w:t>
      </w:r>
      <w:r w:rsidR="000C0AAD" w:rsidRPr="000F1974">
        <w:t>position as Deputy Sheriff, effective May 10, 2013, due to “organizational need.”</w:t>
      </w:r>
      <w:r w:rsidR="00C40C5C" w:rsidRPr="000F1974">
        <w:t xml:space="preserve">  </w:t>
      </w:r>
      <w:r w:rsidR="00796FE9" w:rsidRPr="000F1974">
        <w:t xml:space="preserve">Ex. 21, </w:t>
      </w:r>
      <w:r w:rsidR="00C40C5C" w:rsidRPr="000F1974">
        <w:t xml:space="preserve">Hall </w:t>
      </w:r>
      <w:r w:rsidR="00102E0E" w:rsidRPr="000F1974">
        <w:t>Dep</w:t>
      </w:r>
      <w:r w:rsidR="00C40C5C" w:rsidRPr="000F1974">
        <w:t>. Ex. 10</w:t>
      </w:r>
      <w:r w:rsidR="007E390D" w:rsidRPr="000F1974">
        <w:t xml:space="preserve">; </w:t>
      </w:r>
      <w:r w:rsidR="007E390D" w:rsidRPr="000F1974">
        <w:rPr>
          <w:i/>
        </w:rPr>
        <w:t>see also</w:t>
      </w:r>
      <w:r w:rsidR="007E390D" w:rsidRPr="000F1974">
        <w:t xml:space="preserve"> </w:t>
      </w:r>
      <w:r w:rsidR="00796FE9" w:rsidRPr="000F1974">
        <w:t xml:space="preserve">Ex. 1, </w:t>
      </w:r>
      <w:r w:rsidR="007E390D" w:rsidRPr="000F1974">
        <w:t xml:space="preserve">Compl. ¶ 27; </w:t>
      </w:r>
      <w:r w:rsidR="00796FE9" w:rsidRPr="000F1974">
        <w:t xml:space="preserve">Ex. 2, </w:t>
      </w:r>
      <w:r w:rsidR="007E390D" w:rsidRPr="000F1974">
        <w:t>Def.’s Answer ¶ 27</w:t>
      </w:r>
      <w:r w:rsidR="008B516D" w:rsidRPr="000F1974">
        <w:t>.</w:t>
      </w:r>
    </w:p>
    <w:p w:rsidR="00C40C5C" w:rsidRPr="000F1974" w:rsidRDefault="003A2BA5" w:rsidP="000C0AAD">
      <w:pPr>
        <w:spacing w:line="480" w:lineRule="auto"/>
        <w:ind w:firstLine="720"/>
      </w:pPr>
      <w:r w:rsidRPr="000F1974">
        <w:lastRenderedPageBreak/>
        <w:t>4</w:t>
      </w:r>
      <w:r w:rsidR="00620169" w:rsidRPr="000F1974">
        <w:t>6</w:t>
      </w:r>
      <w:r w:rsidR="00C40C5C" w:rsidRPr="000F1974">
        <w:t>.</w:t>
      </w:r>
      <w:r w:rsidR="00C40C5C" w:rsidRPr="000F1974">
        <w:tab/>
        <w:t xml:space="preserve">At the time of Ms. Hall’s termination, she was on unpaid leave.  </w:t>
      </w:r>
      <w:r w:rsidR="00796FE9" w:rsidRPr="000F1974">
        <w:t xml:space="preserve">Ex. 6, </w:t>
      </w:r>
      <w:r w:rsidR="00C40C5C" w:rsidRPr="000F1974">
        <w:t xml:space="preserve">Def.’s </w:t>
      </w:r>
      <w:r w:rsidR="00366191" w:rsidRPr="000F1974">
        <w:t xml:space="preserve">First </w:t>
      </w:r>
      <w:r w:rsidR="00C40C5C" w:rsidRPr="000F1974">
        <w:t xml:space="preserve">Admis. 19.  Ms. Hall’s continued employment did not prevent the Sheriff’s Office from hiring another Deputy Sheriff to replace her on active duty.  </w:t>
      </w:r>
      <w:r w:rsidR="002F66B2" w:rsidRPr="000F1974">
        <w:t xml:space="preserve">Ex. 10, 30(b)(6) </w:t>
      </w:r>
      <w:r w:rsidR="00102E0E" w:rsidRPr="000F1974">
        <w:t>Dep</w:t>
      </w:r>
      <w:r w:rsidR="002F66B2" w:rsidRPr="000F1974">
        <w:t xml:space="preserve">. Tr. 213:19−24.  </w:t>
      </w:r>
      <w:r w:rsidR="00C40C5C" w:rsidRPr="000F1974">
        <w:t>In</w:t>
      </w:r>
      <w:r w:rsidR="008B516D" w:rsidRPr="000F1974">
        <w:t xml:space="preserve"> other words, Ms. Hall was not “</w:t>
      </w:r>
      <w:r w:rsidR="00C40C5C" w:rsidRPr="000F1974">
        <w:t>taking up a spot</w:t>
      </w:r>
      <w:r w:rsidR="008B516D" w:rsidRPr="000F1974">
        <w:t>” when she was on unpaid leave.</w:t>
      </w:r>
      <w:r w:rsidR="00C40C5C" w:rsidRPr="000F1974">
        <w:t xml:space="preserve">  </w:t>
      </w:r>
      <w:r w:rsidR="002F66B2" w:rsidRPr="000F1974">
        <w:rPr>
          <w:i/>
        </w:rPr>
        <w:t>Id.</w:t>
      </w:r>
    </w:p>
    <w:p w:rsidR="003A2BA5" w:rsidRPr="000F1974" w:rsidRDefault="005E1949" w:rsidP="003A2BA5">
      <w:pPr>
        <w:spacing w:line="480" w:lineRule="auto"/>
        <w:ind w:firstLine="720"/>
      </w:pPr>
      <w:r w:rsidRPr="000F1974">
        <w:t>4</w:t>
      </w:r>
      <w:r w:rsidR="00620169" w:rsidRPr="000F1974">
        <w:t>7</w:t>
      </w:r>
      <w:r w:rsidR="003A2BA5" w:rsidRPr="000F1974">
        <w:t>.</w:t>
      </w:r>
      <w:r w:rsidR="003A2BA5" w:rsidRPr="000F1974">
        <w:tab/>
      </w:r>
      <w:r w:rsidR="00CB7284" w:rsidRPr="000F1974">
        <w:t xml:space="preserve">Sheriff Woody terminated Ms. Hall </w:t>
      </w:r>
      <w:r w:rsidR="000D340C" w:rsidRPr="000F1974">
        <w:t>solely</w:t>
      </w:r>
      <w:r w:rsidR="00CB7284" w:rsidRPr="000F1974">
        <w:t xml:space="preserve"> because she had a disability and could no longer perform the essential functions of the position of Deputy Sheriff</w:t>
      </w:r>
      <w:r w:rsidR="003A2BA5" w:rsidRPr="000F1974">
        <w:t xml:space="preserve"> due to her disability</w:t>
      </w:r>
      <w:r w:rsidR="00CB7284" w:rsidRPr="000F1974">
        <w:t xml:space="preserve">.  </w:t>
      </w:r>
      <w:r w:rsidR="00796FE9" w:rsidRPr="000F1974">
        <w:t xml:space="preserve">Ex. 9, </w:t>
      </w:r>
      <w:r w:rsidR="00CB7284" w:rsidRPr="000F1974">
        <w:t>Def.’s Inter</w:t>
      </w:r>
      <w:r w:rsidR="00796FE9" w:rsidRPr="000F1974">
        <w:t>r</w:t>
      </w:r>
      <w:r w:rsidR="00CB7284" w:rsidRPr="000F1974">
        <w:t>og. Answer</w:t>
      </w:r>
      <w:r w:rsidR="00796FE9" w:rsidRPr="000F1974">
        <w:t>s</w:t>
      </w:r>
      <w:r w:rsidR="00CB7284" w:rsidRPr="000F1974">
        <w:t xml:space="preserve"> </w:t>
      </w:r>
      <w:r w:rsidR="003A2BA5" w:rsidRPr="000F1974">
        <w:t xml:space="preserve">2, </w:t>
      </w:r>
      <w:r w:rsidR="008B516D" w:rsidRPr="000F1974">
        <w:t>14.</w:t>
      </w:r>
    </w:p>
    <w:p w:rsidR="003A2BA5" w:rsidRPr="000F1974" w:rsidRDefault="005E1949" w:rsidP="003A2BA5">
      <w:pPr>
        <w:spacing w:line="480" w:lineRule="auto"/>
        <w:ind w:firstLine="720"/>
      </w:pPr>
      <w:r w:rsidRPr="000F1974">
        <w:t>4</w:t>
      </w:r>
      <w:r w:rsidR="00620169" w:rsidRPr="000F1974">
        <w:t>8</w:t>
      </w:r>
      <w:r w:rsidR="003A2BA5" w:rsidRPr="000F1974">
        <w:t>.</w:t>
      </w:r>
      <w:r w:rsidR="003A2BA5" w:rsidRPr="000F1974">
        <w:tab/>
      </w:r>
      <w:r w:rsidR="00BC55E1" w:rsidRPr="000F1974">
        <w:t xml:space="preserve">On or before </w:t>
      </w:r>
      <w:r w:rsidR="00480BF9" w:rsidRPr="000F1974">
        <w:t>October 10, 2013</w:t>
      </w:r>
      <w:r w:rsidR="00BC55E1" w:rsidRPr="000F1974">
        <w:t>,</w:t>
      </w:r>
      <w:r w:rsidR="005C603A" w:rsidRPr="000F1974">
        <w:rPr>
          <w:rStyle w:val="FootnoteReference"/>
        </w:rPr>
        <w:footnoteReference w:id="2"/>
      </w:r>
      <w:r w:rsidR="00BC55E1" w:rsidRPr="000F1974">
        <w:t xml:space="preserve"> </w:t>
      </w:r>
      <w:r w:rsidR="007F247C" w:rsidRPr="000F1974">
        <w:t>Ms.</w:t>
      </w:r>
      <w:r w:rsidR="00BC55E1" w:rsidRPr="000F1974">
        <w:t xml:space="preserve"> Hall filed a </w:t>
      </w:r>
      <w:r w:rsidR="006E4F27" w:rsidRPr="000F1974">
        <w:t xml:space="preserve">timely </w:t>
      </w:r>
      <w:r w:rsidR="00BC55E1" w:rsidRPr="000F1974">
        <w:t>charge of discrimination with the Equal Employment Opportunity Commission</w:t>
      </w:r>
      <w:r w:rsidR="0014374C" w:rsidRPr="000F1974">
        <w:t xml:space="preserve"> (EEOC) alleging that Defendant</w:t>
      </w:r>
      <w:r w:rsidR="00BC55E1" w:rsidRPr="000F1974">
        <w:t xml:space="preserve"> discriminated against her in violation of the ADA by denying her a reasonable accommodation.  </w:t>
      </w:r>
      <w:r w:rsidR="00796FE9" w:rsidRPr="000F1974">
        <w:t xml:space="preserve">Ex. 2, </w:t>
      </w:r>
      <w:r w:rsidR="00480BF9" w:rsidRPr="000F1974">
        <w:t>Def.’s Answer ¶ 7.</w:t>
      </w:r>
    </w:p>
    <w:p w:rsidR="003A2BA5" w:rsidRPr="000F1974" w:rsidRDefault="00620169" w:rsidP="003A2BA5">
      <w:pPr>
        <w:spacing w:line="480" w:lineRule="auto"/>
        <w:ind w:firstLine="720"/>
      </w:pPr>
      <w:r w:rsidRPr="000F1974">
        <w:t>49</w:t>
      </w:r>
      <w:r w:rsidR="003A2BA5" w:rsidRPr="000F1974">
        <w:t>.</w:t>
      </w:r>
      <w:r w:rsidR="003A2BA5" w:rsidRPr="000F1974">
        <w:tab/>
      </w:r>
      <w:r w:rsidR="00BC55E1" w:rsidRPr="000F1974">
        <w:t>Pursuant to 42 U.S.C. § 2000e-5, incorporated by reference in 42 U.S.C. § 12117(a), the EEOC investigated Ms. Hall’s charge</w:t>
      </w:r>
      <w:r w:rsidR="00480BF9" w:rsidRPr="000F1974">
        <w:t xml:space="preserve">.  </w:t>
      </w:r>
      <w:r w:rsidR="00796FE9" w:rsidRPr="000F1974">
        <w:t xml:space="preserve">Ex. 2, </w:t>
      </w:r>
      <w:r w:rsidR="00480BF9" w:rsidRPr="000F1974">
        <w:t>Def.’s Answer ¶ 8.  The EEOC</w:t>
      </w:r>
      <w:r w:rsidR="00BC55E1" w:rsidRPr="000F1974">
        <w:t xml:space="preserve"> found reasonable </w:t>
      </w:r>
      <w:r w:rsidR="005E1949" w:rsidRPr="000F1974">
        <w:t>cause to believe that Defendant</w:t>
      </w:r>
      <w:r w:rsidR="00BC55E1" w:rsidRPr="000F1974">
        <w:t xml:space="preserve"> discriminated against </w:t>
      </w:r>
      <w:r w:rsidR="00480BF9" w:rsidRPr="000F1974">
        <w:t>Ms. Hall</w:t>
      </w:r>
      <w:r w:rsidR="00BC55E1" w:rsidRPr="000F1974">
        <w:t xml:space="preserve"> in violation of the ADA.  </w:t>
      </w:r>
      <w:r w:rsidR="00796FE9" w:rsidRPr="000F1974">
        <w:t xml:space="preserve">Ex. 22, </w:t>
      </w:r>
      <w:r w:rsidR="00F43F61" w:rsidRPr="000F1974">
        <w:t>USA 15</w:t>
      </w:r>
      <w:r w:rsidR="008434A5" w:rsidRPr="000F1974">
        <w:t>−</w:t>
      </w:r>
      <w:r w:rsidR="00F43F61" w:rsidRPr="000F1974">
        <w:t xml:space="preserve">16.  </w:t>
      </w:r>
      <w:r w:rsidR="00BC55E1" w:rsidRPr="000F1974">
        <w:t>After the EEOC’s conciliation efforts failed, the EEOC referred the matter to the Unite</w:t>
      </w:r>
      <w:r w:rsidR="00480BF9" w:rsidRPr="000F1974">
        <w:t>d States Department of Justice.</w:t>
      </w:r>
      <w:r w:rsidR="00F43F61" w:rsidRPr="000F1974">
        <w:t xml:space="preserve">  </w:t>
      </w:r>
      <w:r w:rsidR="00796FE9" w:rsidRPr="000F1974">
        <w:t xml:space="preserve">Ex. 23, </w:t>
      </w:r>
      <w:r w:rsidR="00F43F61" w:rsidRPr="000F1974">
        <w:t>USA 345.</w:t>
      </w:r>
    </w:p>
    <w:p w:rsidR="003A2BA5" w:rsidRPr="000F1974" w:rsidRDefault="00B62C87" w:rsidP="003A2BA5">
      <w:pPr>
        <w:spacing w:line="480" w:lineRule="auto"/>
        <w:ind w:firstLine="720"/>
      </w:pPr>
      <w:r w:rsidRPr="000F1974">
        <w:t>5</w:t>
      </w:r>
      <w:r w:rsidR="00620169" w:rsidRPr="000F1974">
        <w:t>0</w:t>
      </w:r>
      <w:r w:rsidR="003A2BA5" w:rsidRPr="000F1974">
        <w:t>.</w:t>
      </w:r>
      <w:r w:rsidR="003A2BA5" w:rsidRPr="000F1974">
        <w:tab/>
      </w:r>
      <w:r w:rsidR="00F43F61" w:rsidRPr="000F1974">
        <w:t xml:space="preserve">At all </w:t>
      </w:r>
      <w:r w:rsidR="00F960E3" w:rsidRPr="000F1974">
        <w:t>relevant times</w:t>
      </w:r>
      <w:r w:rsidR="00F43F61" w:rsidRPr="000F1974">
        <w:t xml:space="preserve">, </w:t>
      </w:r>
      <w:r w:rsidR="007F247C" w:rsidRPr="000F1974">
        <w:t>Ms.</w:t>
      </w:r>
      <w:r w:rsidR="00F43F61" w:rsidRPr="000F1974">
        <w:t xml:space="preserve"> Hall was an individual with a disability within the meaning of 42 U.S.C. § 12102 and 29 C.F.R. § 1630.2.  </w:t>
      </w:r>
      <w:r w:rsidR="00796FE9" w:rsidRPr="000F1974">
        <w:t xml:space="preserve">Ex. 6, </w:t>
      </w:r>
      <w:r w:rsidR="00F43F61" w:rsidRPr="000F1974">
        <w:t xml:space="preserve">Def.’s </w:t>
      </w:r>
      <w:r w:rsidR="00366191" w:rsidRPr="000F1974">
        <w:t xml:space="preserve">First </w:t>
      </w:r>
      <w:r w:rsidR="00F43F61" w:rsidRPr="000F1974">
        <w:t xml:space="preserve">Admis. </w:t>
      </w:r>
      <w:r w:rsidR="00306432" w:rsidRPr="000F1974">
        <w:t>4</w:t>
      </w:r>
      <w:r w:rsidR="00F43F61" w:rsidRPr="000F1974">
        <w:t>.  At</w:t>
      </w:r>
      <w:r w:rsidR="00F960E3" w:rsidRPr="000F1974">
        <w:t xml:space="preserve"> all relevant times</w:t>
      </w:r>
      <w:r w:rsidR="00F43F61" w:rsidRPr="000F1974">
        <w:t xml:space="preserve">, </w:t>
      </w:r>
      <w:r w:rsidR="007F247C" w:rsidRPr="000F1974">
        <w:t>Ms.</w:t>
      </w:r>
      <w:r w:rsidR="00F43F61" w:rsidRPr="000F1974">
        <w:t xml:space="preserve"> Hall had nonischemic familial dilated cardiomyopathy and supraventricular tachycardia, physical impairments that substantially limited the operation of her cardiovascular </w:t>
      </w:r>
      <w:r w:rsidR="00F43F61" w:rsidRPr="000F1974">
        <w:lastRenderedPageBreak/>
        <w:t xml:space="preserve">function.  </w:t>
      </w:r>
      <w:r w:rsidR="00796FE9" w:rsidRPr="000F1974">
        <w:t xml:space="preserve">Ex. 5, </w:t>
      </w:r>
      <w:r w:rsidR="00F43F61" w:rsidRPr="000F1974">
        <w:t>Shams Decl</w:t>
      </w:r>
      <w:r w:rsidR="0014688F" w:rsidRPr="000F1974">
        <w:t>.</w:t>
      </w:r>
      <w:r w:rsidR="00F43F61" w:rsidRPr="000F1974">
        <w:t xml:space="preserve"> ¶ 7−8.</w:t>
      </w:r>
    </w:p>
    <w:p w:rsidR="00871C82" w:rsidRPr="000F1974" w:rsidRDefault="00B62C87" w:rsidP="003A2BA5">
      <w:pPr>
        <w:spacing w:line="480" w:lineRule="auto"/>
        <w:ind w:firstLine="720"/>
      </w:pPr>
      <w:r w:rsidRPr="000F1974">
        <w:t>5</w:t>
      </w:r>
      <w:r w:rsidR="00620169" w:rsidRPr="000F1974">
        <w:t>1</w:t>
      </w:r>
      <w:r w:rsidR="003A2BA5" w:rsidRPr="000F1974">
        <w:t>.</w:t>
      </w:r>
      <w:r w:rsidR="003A2BA5" w:rsidRPr="000F1974">
        <w:tab/>
      </w:r>
      <w:r w:rsidR="006A12DF" w:rsidRPr="000F1974">
        <w:t xml:space="preserve">Defendant is a covered entity within the meaning of 42 U.S.C. § 12111(2) and 29 C.F.R. § 1630.2(b).  </w:t>
      </w:r>
      <w:r w:rsidR="00796FE9" w:rsidRPr="000F1974">
        <w:t xml:space="preserve">Ex. 6, </w:t>
      </w:r>
      <w:r w:rsidR="006A12DF" w:rsidRPr="000F1974">
        <w:t xml:space="preserve">Def.’s </w:t>
      </w:r>
      <w:r w:rsidR="00366191" w:rsidRPr="000F1974">
        <w:t xml:space="preserve">First </w:t>
      </w:r>
      <w:r w:rsidR="006A12DF" w:rsidRPr="000F1974">
        <w:t>Admis</w:t>
      </w:r>
      <w:r w:rsidR="00BC55E1" w:rsidRPr="000F1974">
        <w:t>.</w:t>
      </w:r>
      <w:r w:rsidR="006A12DF" w:rsidRPr="000F1974">
        <w:t xml:space="preserve"> </w:t>
      </w:r>
      <w:r w:rsidR="00306432" w:rsidRPr="000F1974">
        <w:t>1</w:t>
      </w:r>
      <w:r w:rsidR="006A12DF" w:rsidRPr="000F1974">
        <w:t>.</w:t>
      </w:r>
    </w:p>
    <w:p w:rsidR="00EF2C50" w:rsidRPr="000F1974" w:rsidRDefault="00EF2C50" w:rsidP="00C9648A">
      <w:pPr>
        <w:pStyle w:val="ListParagraph"/>
        <w:numPr>
          <w:ilvl w:val="0"/>
          <w:numId w:val="27"/>
        </w:numPr>
        <w:ind w:left="0" w:firstLine="0"/>
        <w:jc w:val="center"/>
        <w:rPr>
          <w:b/>
        </w:rPr>
      </w:pPr>
      <w:r w:rsidRPr="000F1974">
        <w:rPr>
          <w:b/>
        </w:rPr>
        <w:t>STANDARD OF REVIEW</w:t>
      </w:r>
    </w:p>
    <w:p w:rsidR="00710902" w:rsidRPr="000F1974" w:rsidRDefault="00DD3006" w:rsidP="00DD3006">
      <w:pPr>
        <w:spacing w:line="480" w:lineRule="auto"/>
        <w:ind w:firstLine="720"/>
      </w:pPr>
      <w:r w:rsidRPr="000F1974">
        <w:t>S</w:t>
      </w:r>
      <w:r w:rsidR="00831C0E" w:rsidRPr="000F1974">
        <w:t>ummary judgment is appropriate where the movant show</w:t>
      </w:r>
      <w:r w:rsidRPr="000F1974">
        <w:t>s</w:t>
      </w:r>
      <w:r w:rsidR="00831C0E" w:rsidRPr="000F1974">
        <w:t xml:space="preserve"> that “there is no genuine dispute as to any material fact and the movant is entitled to judgment as a matter of law.”  Fed. R. Civ. P. 56(a).  </w:t>
      </w:r>
      <w:r w:rsidR="00710902" w:rsidRPr="000F1974">
        <w:t>Once the movant has met its initial burden of showing that there is no such dispute, the non-moving party must demonstrate that an issue of material fact exist</w:t>
      </w:r>
      <w:r w:rsidR="00ED0C1F" w:rsidRPr="000F1974">
        <w:t>s</w:t>
      </w:r>
      <w:r w:rsidR="00710902" w:rsidRPr="000F1974">
        <w:t xml:space="preserve">.  </w:t>
      </w:r>
      <w:r w:rsidR="00710902" w:rsidRPr="000F1974">
        <w:rPr>
          <w:i/>
        </w:rPr>
        <w:t>Matsushita Elec. Ind. Co. Ltd. v. Zenith Radio Corp.</w:t>
      </w:r>
      <w:r w:rsidR="00710902" w:rsidRPr="000F1974">
        <w:t>, 475 U.S. 574, 585</w:t>
      </w:r>
      <w:r w:rsidR="008434A5" w:rsidRPr="000F1974">
        <w:t>−</w:t>
      </w:r>
      <w:r w:rsidR="00710902" w:rsidRPr="000F1974">
        <w:t>8</w:t>
      </w:r>
      <w:r w:rsidR="0014374C" w:rsidRPr="000F1974">
        <w:t>7</w:t>
      </w:r>
      <w:r w:rsidR="00710902" w:rsidRPr="000F1974">
        <w:t xml:space="preserve"> (1986).  A court considering a motion for summary judgment “consider[s] the evidence in the light most favorable to the non-moving party.”  </w:t>
      </w:r>
      <w:r w:rsidR="00ED0C1F" w:rsidRPr="000F1974">
        <w:rPr>
          <w:i/>
        </w:rPr>
        <w:t>Milbourne v. JRK Residential Am., LLC</w:t>
      </w:r>
      <w:r w:rsidR="00ED0C1F" w:rsidRPr="000F1974">
        <w:t xml:space="preserve">, 92 F. Supp. 3d 425, 427 (E.D. Va. 2015) </w:t>
      </w:r>
      <w:r w:rsidR="00DF4443" w:rsidRPr="000F1974">
        <w:t xml:space="preserve">(Payne, J.) </w:t>
      </w:r>
      <w:r w:rsidR="00710902" w:rsidRPr="000F1974">
        <w:t xml:space="preserve">(citing </w:t>
      </w:r>
      <w:r w:rsidR="00710902" w:rsidRPr="000F1974">
        <w:rPr>
          <w:i/>
        </w:rPr>
        <w:t>Smith v. Virginia Commonwealth Univ.</w:t>
      </w:r>
      <w:r w:rsidR="00710902" w:rsidRPr="000F1974">
        <w:t>, 84 F.3d 672, 675 (4th Cir. 1996)).</w:t>
      </w:r>
    </w:p>
    <w:p w:rsidR="00831C0E" w:rsidRPr="000F1974" w:rsidRDefault="00630D65" w:rsidP="00DD3006">
      <w:pPr>
        <w:spacing w:line="480" w:lineRule="auto"/>
        <w:ind w:firstLine="720"/>
      </w:pPr>
      <w:r w:rsidRPr="000F1974">
        <w:t xml:space="preserve">A fact is material if its “existence or non-existence . . . could lead a jury to different resolutions of the case.”  </w:t>
      </w:r>
      <w:r w:rsidR="00ED0C1F" w:rsidRPr="000F1974">
        <w:rPr>
          <w:i/>
        </w:rPr>
        <w:t xml:space="preserve">Id. </w:t>
      </w:r>
      <w:r w:rsidRPr="000F1974">
        <w:t xml:space="preserve">(citing </w:t>
      </w:r>
      <w:r w:rsidRPr="000F1974">
        <w:rPr>
          <w:i/>
        </w:rPr>
        <w:t>Anderson v. Liberty Lobby, Inc.</w:t>
      </w:r>
      <w:r w:rsidRPr="000F1974">
        <w:t xml:space="preserve">, 477 U.S. 242, 248 (1986)).  </w:t>
      </w:r>
      <w:r w:rsidR="00DD3006" w:rsidRPr="000F1974">
        <w:t>To establish a material fact, the movant must point to “particular parts of materials in the record,” such as depositions, declarations, admissions, documents, and interrogatory answers, or show “that the materials cited do not establish the absence or prese</w:t>
      </w:r>
      <w:r w:rsidR="004258F2" w:rsidRPr="000F1974">
        <w:t>nce of a genuine dispute.</w:t>
      </w:r>
      <w:r w:rsidR="00DD3006" w:rsidRPr="000F1974">
        <w:t>”</w:t>
      </w:r>
      <w:r w:rsidR="00710902" w:rsidRPr="000F1974">
        <w:t xml:space="preserve">  Fed. R. Civ. P. 56(c)(1)(A)</w:t>
      </w:r>
      <w:r w:rsidR="0014374C" w:rsidRPr="000F1974">
        <w:t>, (B)</w:t>
      </w:r>
      <w:r w:rsidR="00710902" w:rsidRPr="000F1974">
        <w:t>.</w:t>
      </w:r>
    </w:p>
    <w:p w:rsidR="00EF2C50" w:rsidRPr="000F1974" w:rsidRDefault="00EF2C50" w:rsidP="00E83863">
      <w:pPr>
        <w:pStyle w:val="ListParagraph"/>
        <w:numPr>
          <w:ilvl w:val="0"/>
          <w:numId w:val="27"/>
        </w:numPr>
        <w:ind w:left="0" w:firstLine="0"/>
        <w:jc w:val="center"/>
        <w:rPr>
          <w:b/>
        </w:rPr>
      </w:pPr>
      <w:r w:rsidRPr="000F1974">
        <w:rPr>
          <w:b/>
        </w:rPr>
        <w:t>ARGUMENT</w:t>
      </w:r>
    </w:p>
    <w:p w:rsidR="00DD3006" w:rsidRPr="000F1974" w:rsidRDefault="00DD3006" w:rsidP="00DD3006">
      <w:pPr>
        <w:spacing w:line="480" w:lineRule="auto"/>
        <w:ind w:firstLine="720"/>
      </w:pPr>
      <w:r w:rsidRPr="000F1974">
        <w:t xml:space="preserve">The </w:t>
      </w:r>
      <w:r w:rsidR="00DF7A29" w:rsidRPr="000F1974">
        <w:t>facts are undisputed</w:t>
      </w:r>
      <w:r w:rsidRPr="000F1974">
        <w:t>:  Emily Hall</w:t>
      </w:r>
      <w:r w:rsidR="00DF4443" w:rsidRPr="000F1974">
        <w:t>, a decorated ten-year veteran of the Richmond City Sheriff’s Office,</w:t>
      </w:r>
      <w:r w:rsidRPr="000F1974">
        <w:t xml:space="preserve"> developed a disability that prevented her from </w:t>
      </w:r>
      <w:r w:rsidR="00B27B51" w:rsidRPr="000F1974">
        <w:t>serving</w:t>
      </w:r>
      <w:r w:rsidRPr="000F1974">
        <w:t xml:space="preserve"> as a Deputy Sheriff</w:t>
      </w:r>
      <w:r w:rsidR="00937619" w:rsidRPr="000F1974">
        <w:t xml:space="preserve"> but did not prevent her from serving in a civilian position</w:t>
      </w:r>
      <w:r w:rsidRPr="000F1974">
        <w:t>.  She</w:t>
      </w:r>
      <w:r w:rsidR="00B27B51" w:rsidRPr="000F1974">
        <w:t xml:space="preserve"> asked Sheriff Woody</w:t>
      </w:r>
      <w:r w:rsidRPr="000F1974">
        <w:t xml:space="preserve"> for a </w:t>
      </w:r>
      <w:r w:rsidR="00937619" w:rsidRPr="000F1974">
        <w:t>civilian</w:t>
      </w:r>
      <w:r w:rsidRPr="000F1974">
        <w:t xml:space="preserve"> job</w:t>
      </w:r>
      <w:r w:rsidR="00431154" w:rsidRPr="000F1974">
        <w:t>.  After she made that request, at least one position for which she was qualified became vacant.</w:t>
      </w:r>
      <w:r w:rsidRPr="000F1974">
        <w:t xml:space="preserve">  </w:t>
      </w:r>
      <w:r w:rsidRPr="000F1974">
        <w:lastRenderedPageBreak/>
        <w:t xml:space="preserve">Sheriff Woody </w:t>
      </w:r>
      <w:r w:rsidR="00431154" w:rsidRPr="000F1974">
        <w:t xml:space="preserve">nevertheless </w:t>
      </w:r>
      <w:r w:rsidRPr="000F1974">
        <w:t xml:space="preserve">denied her request </w:t>
      </w:r>
      <w:r w:rsidR="0007032A" w:rsidRPr="000F1974">
        <w:t xml:space="preserve">to remain employed </w:t>
      </w:r>
      <w:r w:rsidRPr="000F1974">
        <w:t xml:space="preserve">and fired her.  The only </w:t>
      </w:r>
      <w:r w:rsidR="00DF7A29" w:rsidRPr="000F1974">
        <w:t>dispute</w:t>
      </w:r>
      <w:r w:rsidRPr="000F1974">
        <w:t xml:space="preserve"> is </w:t>
      </w:r>
      <w:r w:rsidR="001B3EC0" w:rsidRPr="000F1974">
        <w:t xml:space="preserve">a legal question: </w:t>
      </w:r>
      <w:r w:rsidRPr="000F1974">
        <w:t xml:space="preserve">whether </w:t>
      </w:r>
      <w:r w:rsidR="00DD17F9" w:rsidRPr="000F1974">
        <w:t xml:space="preserve">Title I of </w:t>
      </w:r>
      <w:r w:rsidRPr="000F1974">
        <w:t xml:space="preserve">the </w:t>
      </w:r>
      <w:r w:rsidR="00DD17F9" w:rsidRPr="000F1974">
        <w:t xml:space="preserve">ADA </w:t>
      </w:r>
      <w:r w:rsidRPr="000F1974">
        <w:t>prohibited Sheriff Woody’s actions.  It does.</w:t>
      </w:r>
    </w:p>
    <w:p w:rsidR="00552837" w:rsidRPr="000F1974" w:rsidRDefault="00431154" w:rsidP="00E83863">
      <w:pPr>
        <w:pStyle w:val="ListParagraph"/>
        <w:numPr>
          <w:ilvl w:val="0"/>
          <w:numId w:val="29"/>
        </w:numPr>
        <w:spacing w:line="240" w:lineRule="auto"/>
        <w:rPr>
          <w:b/>
        </w:rPr>
      </w:pPr>
      <w:r w:rsidRPr="000F1974">
        <w:rPr>
          <w:b/>
        </w:rPr>
        <w:t xml:space="preserve">There are no material disputes of fact regarding the </w:t>
      </w:r>
      <w:r w:rsidR="00552837" w:rsidRPr="000F1974">
        <w:rPr>
          <w:b/>
        </w:rPr>
        <w:t>elements of the</w:t>
      </w:r>
      <w:r w:rsidRPr="000F1974">
        <w:rPr>
          <w:b/>
        </w:rPr>
        <w:t xml:space="preserve"> United States’ prima facie case</w:t>
      </w:r>
    </w:p>
    <w:p w:rsidR="00E83863" w:rsidRPr="000F1974" w:rsidRDefault="00E83863" w:rsidP="00E83863">
      <w:pPr>
        <w:pStyle w:val="ListParagraph"/>
        <w:numPr>
          <w:ilvl w:val="0"/>
          <w:numId w:val="0"/>
        </w:numPr>
        <w:spacing w:line="240" w:lineRule="auto"/>
        <w:ind w:left="1080"/>
        <w:rPr>
          <w:b/>
        </w:rPr>
      </w:pPr>
    </w:p>
    <w:p w:rsidR="00B27B51" w:rsidRPr="000F1974" w:rsidRDefault="00DD3006" w:rsidP="00B27B51">
      <w:pPr>
        <w:spacing w:line="480" w:lineRule="auto"/>
        <w:ind w:firstLine="720"/>
      </w:pPr>
      <w:r w:rsidRPr="000F1974">
        <w:t>The ADA prohibits an employer from discriminating against a qualified</w:t>
      </w:r>
      <w:r w:rsidR="004258F2" w:rsidRPr="000F1974">
        <w:t xml:space="preserve"> employee </w:t>
      </w:r>
      <w:r w:rsidRPr="000F1974">
        <w:t xml:space="preserve">because of </w:t>
      </w:r>
      <w:r w:rsidR="007E2D3C" w:rsidRPr="000F1974">
        <w:t>the employee’s</w:t>
      </w:r>
      <w:r w:rsidRPr="000F1974">
        <w:t xml:space="preserve"> disability.  42 U.S.C. § 12112(a).</w:t>
      </w:r>
      <w:r w:rsidR="00246502" w:rsidRPr="000F1974">
        <w:t xml:space="preserve">  The sta</w:t>
      </w:r>
      <w:r w:rsidR="007E2D3C" w:rsidRPr="000F1974">
        <w:t>tute defines “discrimination” to include</w:t>
      </w:r>
      <w:r w:rsidR="00246502" w:rsidRPr="000F1974">
        <w:t xml:space="preserve"> “</w:t>
      </w:r>
      <w:r w:rsidRPr="000F1974">
        <w:t xml:space="preserve">not making reasonable accommodations to the known physical </w:t>
      </w:r>
      <w:r w:rsidR="006D35F7" w:rsidRPr="000F1974">
        <w:t>. . .</w:t>
      </w:r>
      <w:r w:rsidRPr="000F1974">
        <w:t xml:space="preserve"> limitations of an otherwise qualified individual with a disability who is an applicant or employee, unless </w:t>
      </w:r>
      <w:r w:rsidR="00A734A6" w:rsidRPr="000F1974">
        <w:t>[a]</w:t>
      </w:r>
      <w:r w:rsidRPr="000F1974">
        <w:t xml:space="preserve"> covered entity can demonstrate that the accommodation would impose an undue hardship on the operation of the</w:t>
      </w:r>
      <w:r w:rsidR="006D35F7" w:rsidRPr="000F1974">
        <w:t xml:space="preserve"> [entity’s]</w:t>
      </w:r>
      <w:r w:rsidRPr="000F1974">
        <w:t xml:space="preserve"> business.</w:t>
      </w:r>
      <w:r w:rsidR="00246502" w:rsidRPr="000F1974">
        <w:t>”</w:t>
      </w:r>
      <w:r w:rsidRPr="000F1974">
        <w:t xml:space="preserve">  </w:t>
      </w:r>
      <w:r w:rsidR="002664A6">
        <w:rPr>
          <w:i/>
        </w:rPr>
        <w:t>Id.</w:t>
      </w:r>
      <w:r w:rsidRPr="000F1974">
        <w:t xml:space="preserve"> §</w:t>
      </w:r>
      <w:r w:rsidR="00CA16FA" w:rsidRPr="000F1974">
        <w:t xml:space="preserve"> </w:t>
      </w:r>
      <w:r w:rsidR="001042F9" w:rsidRPr="000F1974">
        <w:t>12112</w:t>
      </w:r>
      <w:r w:rsidR="00A734A6" w:rsidRPr="000F1974">
        <w:t>(b)(5)(A).</w:t>
      </w:r>
    </w:p>
    <w:p w:rsidR="00D96D96" w:rsidRPr="000F1974" w:rsidRDefault="00246502" w:rsidP="00A734A6">
      <w:pPr>
        <w:spacing w:line="480" w:lineRule="auto"/>
        <w:ind w:firstLine="720"/>
        <w:rPr>
          <w:i/>
        </w:rPr>
      </w:pPr>
      <w:r w:rsidRPr="000F1974">
        <w:t>To establish a pr</w:t>
      </w:r>
      <w:r w:rsidR="00B27B51" w:rsidRPr="000F1974">
        <w:t>ima facie case for failure to accommodate under the ADA</w:t>
      </w:r>
      <w:r w:rsidR="00D96D96" w:rsidRPr="000F1974">
        <w:t xml:space="preserve"> in the Fourth Circuit</w:t>
      </w:r>
      <w:r w:rsidR="00B27B51" w:rsidRPr="000F1974">
        <w:t>, the United States</w:t>
      </w:r>
      <w:r w:rsidRPr="000F1974">
        <w:t xml:space="preserve"> must show:  “(1) that </w:t>
      </w:r>
      <w:r w:rsidR="00B27B51" w:rsidRPr="000F1974">
        <w:t>[Emily Hall]</w:t>
      </w:r>
      <w:r w:rsidRPr="000F1974">
        <w:t xml:space="preserve"> was an individual who had a disability within the meaning of the statute; (2) that </w:t>
      </w:r>
      <w:r w:rsidR="00B27B51" w:rsidRPr="000F1974">
        <w:t>[Sheriff Woody]</w:t>
      </w:r>
      <w:r w:rsidRPr="000F1974">
        <w:t xml:space="preserve"> had notice of </w:t>
      </w:r>
      <w:r w:rsidR="00B27B51" w:rsidRPr="000F1974">
        <w:t>[her]</w:t>
      </w:r>
      <w:r w:rsidRPr="000F1974">
        <w:t xml:space="preserve"> disability; (3) that with reasonable accommodation </w:t>
      </w:r>
      <w:r w:rsidR="00B27B51" w:rsidRPr="000F1974">
        <w:t>[s]</w:t>
      </w:r>
      <w:r w:rsidRPr="000F1974">
        <w:t xml:space="preserve">he could perform the essential functions of [a </w:t>
      </w:r>
      <w:r w:rsidR="00075587" w:rsidRPr="000F1974">
        <w:t>held or desired</w:t>
      </w:r>
      <w:r w:rsidRPr="000F1974">
        <w:t xml:space="preserve">] position; and (4) that </w:t>
      </w:r>
      <w:r w:rsidR="00B27B51" w:rsidRPr="000F1974">
        <w:t>[Sheriff Woody]</w:t>
      </w:r>
      <w:r w:rsidRPr="000F1974">
        <w:t xml:space="preserve"> refused to make such accommodations.”  </w:t>
      </w:r>
      <w:r w:rsidRPr="000F1974">
        <w:rPr>
          <w:i/>
        </w:rPr>
        <w:t>Wilson v. Dollar Gen. Corp.</w:t>
      </w:r>
      <w:r w:rsidRPr="000F1974">
        <w:t>, 717 F.3d 337, 345 (4th Cir. 2013) (</w:t>
      </w:r>
      <w:r w:rsidR="00B27B51" w:rsidRPr="000F1974">
        <w:t xml:space="preserve">quoting </w:t>
      </w:r>
      <w:r w:rsidRPr="000F1974">
        <w:rPr>
          <w:i/>
        </w:rPr>
        <w:t>Rhoads v. Fed. Deposit Ins. Corp.</w:t>
      </w:r>
      <w:r w:rsidRPr="000F1974">
        <w:t>, 257 F.3d 373, 387 n.11 (4th Cir. 2001)</w:t>
      </w:r>
      <w:r w:rsidR="007E2D3C" w:rsidRPr="000F1974">
        <w:t xml:space="preserve">) </w:t>
      </w:r>
      <w:r w:rsidR="007E390D" w:rsidRPr="000F1974">
        <w:t>(brackets omitted)</w:t>
      </w:r>
      <w:r w:rsidR="00075587" w:rsidRPr="000F1974">
        <w:t xml:space="preserve">; </w:t>
      </w:r>
      <w:r w:rsidR="00A734A6" w:rsidRPr="000F1974">
        <w:rPr>
          <w:i/>
        </w:rPr>
        <w:t>see also Reyazuddin v. Montgomery Cnty., Md.</w:t>
      </w:r>
      <w:r w:rsidR="00A734A6" w:rsidRPr="000F1974">
        <w:t xml:space="preserve">, 789 F.3d 407, 414 (4th Cir. 2015); </w:t>
      </w:r>
      <w:r w:rsidR="00075587" w:rsidRPr="000F1974">
        <w:t>42 U.S.C. § 12112(b)(5)(A); 29 C.F.R. § 1630.2(o)</w:t>
      </w:r>
      <w:r w:rsidR="007E390D" w:rsidRPr="000F1974">
        <w:t xml:space="preserve">.  Other circuits have held that an employee </w:t>
      </w:r>
      <w:r w:rsidR="00C51986" w:rsidRPr="000F1974">
        <w:t>who seeks reassignment as an accommodation</w:t>
      </w:r>
      <w:r w:rsidR="007E390D" w:rsidRPr="000F1974">
        <w:t xml:space="preserve"> must </w:t>
      </w:r>
      <w:r w:rsidR="00DD17F9" w:rsidRPr="000F1974">
        <w:t>also</w:t>
      </w:r>
      <w:r w:rsidR="007E390D" w:rsidRPr="000F1974">
        <w:t xml:space="preserve"> show</w:t>
      </w:r>
      <w:r w:rsidR="00DD17F9" w:rsidRPr="000F1974">
        <w:t>:</w:t>
      </w:r>
      <w:r w:rsidR="007E2D3C" w:rsidRPr="000F1974">
        <w:t xml:space="preserve"> </w:t>
      </w:r>
    </w:p>
    <w:p w:rsidR="00D96D96" w:rsidRPr="000F1974" w:rsidRDefault="00A734A6" w:rsidP="00A734A6">
      <w:pPr>
        <w:ind w:left="720" w:right="940"/>
        <w:jc w:val="both"/>
      </w:pPr>
      <w:r w:rsidRPr="000F1974">
        <w:t>[A]</w:t>
      </w:r>
      <w:r w:rsidR="00D96D96" w:rsidRPr="000F1974">
        <w:t xml:space="preserve">ccommodation within the employee’s existing job cannot reasonably be accomplished[;] </w:t>
      </w:r>
    </w:p>
    <w:p w:rsidR="00D96D96" w:rsidRPr="000F1974" w:rsidRDefault="00D96D96" w:rsidP="00A734A6">
      <w:pPr>
        <w:ind w:left="720" w:right="940"/>
        <w:jc w:val="both"/>
      </w:pPr>
    </w:p>
    <w:p w:rsidR="00D96D96" w:rsidRPr="000F1974" w:rsidRDefault="00D96D96" w:rsidP="00A734A6">
      <w:pPr>
        <w:ind w:left="720" w:right="940"/>
        <w:jc w:val="both"/>
      </w:pPr>
      <w:r w:rsidRPr="000F1974">
        <w:t>The employee requested the employer reasonably to accommodate his or her disability by reassignment to a vacant position</w:t>
      </w:r>
      <w:r w:rsidR="00A734A6" w:rsidRPr="000F1974">
        <w:t xml:space="preserve"> . . .</w:t>
      </w:r>
      <w:r w:rsidRPr="000F1974">
        <w:t xml:space="preserve"> which the employee may request the employer identify through an interactive process, in which the employee in good faith was willing to, or did, cooperate;</w:t>
      </w:r>
    </w:p>
    <w:p w:rsidR="00D96D96" w:rsidRPr="000F1974" w:rsidRDefault="00D96D96" w:rsidP="00A734A6">
      <w:pPr>
        <w:ind w:left="720" w:right="940"/>
        <w:jc w:val="both"/>
      </w:pPr>
    </w:p>
    <w:p w:rsidR="00D96D96" w:rsidRPr="000F1974" w:rsidRDefault="00D96D96" w:rsidP="00A734A6">
      <w:pPr>
        <w:ind w:left="720" w:right="940"/>
        <w:jc w:val="both"/>
      </w:pPr>
      <w:r w:rsidRPr="000F1974">
        <w:t xml:space="preserve">[] The employee was qualified, with or without reasonable accommodation, to </w:t>
      </w:r>
      <w:r w:rsidRPr="000F1974">
        <w:lastRenderedPageBreak/>
        <w:t xml:space="preserve">perform one or more appropriate vacant jobs within the </w:t>
      </w:r>
      <w:r w:rsidR="00C51986" w:rsidRPr="000F1974">
        <w:t>[organization]</w:t>
      </w:r>
      <w:r w:rsidRPr="000F1974">
        <w:t xml:space="preserve"> that the employee must, at the time of the summary judgment proceeding, specifically identify and show were available within the company at or about the time the request for reassignment was made; and</w:t>
      </w:r>
    </w:p>
    <w:p w:rsidR="00D96D96" w:rsidRPr="000F1974" w:rsidRDefault="00D96D96" w:rsidP="00A734A6">
      <w:pPr>
        <w:ind w:left="720" w:right="940"/>
        <w:jc w:val="both"/>
      </w:pPr>
    </w:p>
    <w:p w:rsidR="00D96D96" w:rsidRPr="000F1974" w:rsidRDefault="00D96D96" w:rsidP="00A734A6">
      <w:pPr>
        <w:ind w:left="720" w:right="940"/>
        <w:jc w:val="both"/>
      </w:pPr>
      <w:r w:rsidRPr="000F1974">
        <w:t>[] The employee suffered injury because the employer did not offer to reassign the employee to any appropriate vacant position</w:t>
      </w:r>
      <w:r w:rsidR="00C51986" w:rsidRPr="000F1974">
        <w:t>.</w:t>
      </w:r>
    </w:p>
    <w:p w:rsidR="00C51986" w:rsidRPr="000F1974" w:rsidRDefault="00C51986" w:rsidP="00C51986">
      <w:pPr>
        <w:ind w:left="720"/>
      </w:pPr>
    </w:p>
    <w:p w:rsidR="00552837" w:rsidRPr="000F1974" w:rsidRDefault="00D96D96" w:rsidP="00F86E73">
      <w:pPr>
        <w:spacing w:line="480" w:lineRule="auto"/>
      </w:pPr>
      <w:r w:rsidRPr="000F1974">
        <w:rPr>
          <w:i/>
        </w:rPr>
        <w:t>Smith v. Midland Brake, Inc., a Div. of Echlin, Inc</w:t>
      </w:r>
      <w:r w:rsidRPr="000F1974">
        <w:t>., 180 F.3d 1154, 1179 (10th Cir. 1999)</w:t>
      </w:r>
      <w:r w:rsidR="0014374C" w:rsidRPr="000F1974">
        <w:t xml:space="preserve"> (en banc)</w:t>
      </w:r>
      <w:r w:rsidRPr="000F1974">
        <w:t xml:space="preserve">.  Under either or both tests, </w:t>
      </w:r>
      <w:r w:rsidR="00B27B51" w:rsidRPr="000F1974">
        <w:t xml:space="preserve">Sheriff Woody </w:t>
      </w:r>
      <w:r w:rsidR="006D35F7" w:rsidRPr="000F1974">
        <w:t>has admit</w:t>
      </w:r>
      <w:r w:rsidRPr="000F1974">
        <w:t>ted to each of these elements.</w:t>
      </w:r>
    </w:p>
    <w:p w:rsidR="00BC2987" w:rsidRPr="000F1974" w:rsidRDefault="00BC2987" w:rsidP="00BC2987">
      <w:pPr>
        <w:spacing w:line="480" w:lineRule="auto"/>
      </w:pPr>
      <w:r w:rsidRPr="000F1974">
        <w:tab/>
        <w:t>Once the United States establishes the elements of the prima facie case, the burden shifts to Sheriff Woody to “show as a matter of law t</w:t>
      </w:r>
      <w:r w:rsidR="00926DE9">
        <w:t xml:space="preserve">hat the proposed accommodation will cause </w:t>
      </w:r>
      <w:r w:rsidRPr="000F1974">
        <w:t>undue hardship i</w:t>
      </w:r>
      <w:r w:rsidR="00926DE9">
        <w:t>n the particular circumstances.”</w:t>
      </w:r>
      <w:r w:rsidR="00FF72B1">
        <w:t xml:space="preserve"> </w:t>
      </w:r>
      <w:r w:rsidRPr="000F1974">
        <w:t xml:space="preserve"> </w:t>
      </w:r>
      <w:r w:rsidRPr="000F1974">
        <w:rPr>
          <w:i/>
        </w:rPr>
        <w:t>Reyazuddin</w:t>
      </w:r>
      <w:r w:rsidRPr="000F1974">
        <w:t>, 789 F.3d at 414</w:t>
      </w:r>
      <w:r w:rsidRPr="000F1974">
        <w:rPr>
          <w:i/>
        </w:rPr>
        <w:t xml:space="preserve"> </w:t>
      </w:r>
      <w:r w:rsidRPr="000F1974">
        <w:t xml:space="preserve">(quoting </w:t>
      </w:r>
      <w:r w:rsidRPr="000F1974">
        <w:rPr>
          <w:i/>
        </w:rPr>
        <w:t>Halpern v. Wake Forest Univ. Health Scis.</w:t>
      </w:r>
      <w:r w:rsidRPr="000F1974">
        <w:t xml:space="preserve">, 669 F.3d 454, 464 (4th Cir. 2012) and </w:t>
      </w:r>
      <w:r w:rsidRPr="000F1974">
        <w:rPr>
          <w:i/>
        </w:rPr>
        <w:t>U.S. Airways v. Barnett</w:t>
      </w:r>
      <w:r w:rsidRPr="000F1974">
        <w:t>, 535 U.S. 391, 401–02 (2002))</w:t>
      </w:r>
      <w:r w:rsidR="00973E62">
        <w:t xml:space="preserve"> (internal quotation marks omitted)</w:t>
      </w:r>
      <w:r w:rsidRPr="000F1974">
        <w:t>.  Sheriff Woody cannot establish the “special</w:t>
      </w:r>
      <w:r w:rsidR="00352E1A" w:rsidRPr="000F1974">
        <w:t xml:space="preserve">, </w:t>
      </w:r>
      <w:r w:rsidRPr="000F1974">
        <w:t xml:space="preserve">typically case-specific circumstances that demonstrate undue hardship” on the undisputed facts of this case.  </w:t>
      </w:r>
      <w:r w:rsidRPr="000F1974">
        <w:rPr>
          <w:i/>
        </w:rPr>
        <w:t>Id.</w:t>
      </w:r>
      <w:r w:rsidRPr="000F1974">
        <w:t xml:space="preserve"> (quoting </w:t>
      </w:r>
      <w:r w:rsidRPr="000F1974">
        <w:rPr>
          <w:i/>
        </w:rPr>
        <w:t>Barnett</w:t>
      </w:r>
      <w:r w:rsidRPr="000F1974">
        <w:t>, 535 U.S. at 401–02)</w:t>
      </w:r>
      <w:r w:rsidR="00352E1A" w:rsidRPr="000F1974">
        <w:t xml:space="preserve"> (internal alterations)</w:t>
      </w:r>
      <w:r w:rsidRPr="000F1974">
        <w:t>.</w:t>
      </w:r>
    </w:p>
    <w:p w:rsidR="00C51986" w:rsidRPr="000F1974" w:rsidRDefault="00986D6C" w:rsidP="00C51986">
      <w:pPr>
        <w:pStyle w:val="ListParagraph"/>
        <w:numPr>
          <w:ilvl w:val="0"/>
          <w:numId w:val="30"/>
        </w:numPr>
        <w:rPr>
          <w:i/>
        </w:rPr>
      </w:pPr>
      <w:r w:rsidRPr="000F1974">
        <w:rPr>
          <w:i/>
        </w:rPr>
        <w:t xml:space="preserve">It is undisputed that </w:t>
      </w:r>
      <w:r w:rsidR="00C51986" w:rsidRPr="000F1974">
        <w:rPr>
          <w:i/>
        </w:rPr>
        <w:t xml:space="preserve">Emily Hall is </w:t>
      </w:r>
      <w:r w:rsidR="0022421D" w:rsidRPr="000F1974">
        <w:rPr>
          <w:i/>
        </w:rPr>
        <w:t>an individual with a disability</w:t>
      </w:r>
    </w:p>
    <w:p w:rsidR="009C6184" w:rsidRPr="000F1974" w:rsidRDefault="006D35F7" w:rsidP="007E390D">
      <w:pPr>
        <w:spacing w:line="480" w:lineRule="auto"/>
        <w:ind w:firstLine="720"/>
      </w:pPr>
      <w:r w:rsidRPr="000F1974">
        <w:t xml:space="preserve">First, Sheriff Woody </w:t>
      </w:r>
      <w:r w:rsidR="00B27B51" w:rsidRPr="000F1974">
        <w:t xml:space="preserve">admits that Emily Hall is an individual with a disability within the meaning of the ADA.  </w:t>
      </w:r>
      <w:r w:rsidR="00796FE9" w:rsidRPr="000F1974">
        <w:t xml:space="preserve">Ex. 6, </w:t>
      </w:r>
      <w:r w:rsidR="00431154" w:rsidRPr="000F1974">
        <w:t xml:space="preserve">Def.’s </w:t>
      </w:r>
      <w:r w:rsidR="00366191" w:rsidRPr="000F1974">
        <w:t xml:space="preserve">First </w:t>
      </w:r>
      <w:r w:rsidR="00431154" w:rsidRPr="000F1974">
        <w:t>Admis</w:t>
      </w:r>
      <w:r w:rsidR="00796FE9" w:rsidRPr="000F1974">
        <w:t xml:space="preserve">. </w:t>
      </w:r>
      <w:r w:rsidR="004E2477" w:rsidRPr="000F1974">
        <w:t>4</w:t>
      </w:r>
      <w:r w:rsidR="00431154" w:rsidRPr="000F1974">
        <w:t xml:space="preserve">.  </w:t>
      </w:r>
      <w:r w:rsidR="00C51986" w:rsidRPr="000F1974">
        <w:t>A</w:t>
      </w:r>
      <w:r w:rsidR="00431154" w:rsidRPr="000F1974">
        <w:t xml:space="preserve">t all relevant times, Emily Hall had familial dilated cardiomyopathy and supraventricular tachycardia, conditions that—without treatment—would substantially limit the operation of her cardiovascular system.  </w:t>
      </w:r>
      <w:r w:rsidR="00796FE9" w:rsidRPr="000F1974">
        <w:t xml:space="preserve">Ex. 5, </w:t>
      </w:r>
      <w:r w:rsidR="00513161" w:rsidRPr="000F1974">
        <w:t>Shams Decl</w:t>
      </w:r>
      <w:r w:rsidR="0014688F" w:rsidRPr="000F1974">
        <w:t>.</w:t>
      </w:r>
      <w:r w:rsidR="00513161" w:rsidRPr="000F1974">
        <w:t xml:space="preserve"> ¶ </w:t>
      </w:r>
      <w:r w:rsidR="00B27B51" w:rsidRPr="000F1974">
        <w:t>7−8</w:t>
      </w:r>
      <w:r w:rsidR="00431154" w:rsidRPr="000F1974">
        <w:t xml:space="preserve">.  Such conditions are disabilities under the ADA.  </w:t>
      </w:r>
      <w:r w:rsidR="00431154" w:rsidRPr="000F1974">
        <w:rPr>
          <w:i/>
        </w:rPr>
        <w:t xml:space="preserve">See </w:t>
      </w:r>
      <w:r w:rsidR="00431154" w:rsidRPr="000F1974">
        <w:t>42 U.S.C. § 12102(1)</w:t>
      </w:r>
      <w:r w:rsidR="0014374C" w:rsidRPr="000F1974">
        <w:t>(A), (2)(B)</w:t>
      </w:r>
      <w:r w:rsidR="00431154" w:rsidRPr="000F1974">
        <w:t xml:space="preserve"> (defining “disability” as “a physical . . . impairment that s</w:t>
      </w:r>
      <w:r w:rsidR="007E390D" w:rsidRPr="000F1974">
        <w:t>ubstantially limits one or more</w:t>
      </w:r>
      <w:r w:rsidR="00431154" w:rsidRPr="000F1974">
        <w:t xml:space="preserve"> major life activities,” which include “the operation of a major bodily function”); </w:t>
      </w:r>
      <w:r w:rsidR="00431154" w:rsidRPr="000F1974">
        <w:rPr>
          <w:i/>
        </w:rPr>
        <w:t>id.</w:t>
      </w:r>
      <w:r w:rsidR="00431154" w:rsidRPr="000F1974">
        <w:t xml:space="preserve"> § 12102(4)(E)</w:t>
      </w:r>
      <w:r w:rsidR="00E81231" w:rsidRPr="000F1974">
        <w:t>(i)</w:t>
      </w:r>
      <w:r w:rsidR="00431154" w:rsidRPr="000F1974">
        <w:t xml:space="preserve"> (“The determination of whether an impairment substantially limits a major life activity shall be made without regard to the ameliorative effects of mitigating measures such as . . . medication</w:t>
      </w:r>
      <w:r w:rsidR="00B27B51" w:rsidRPr="000F1974">
        <w:t>.</w:t>
      </w:r>
      <w:r w:rsidR="009C6184" w:rsidRPr="000F1974">
        <w:t>”)</w:t>
      </w:r>
      <w:r w:rsidR="007E390D" w:rsidRPr="000F1974">
        <w:t xml:space="preserve">; </w:t>
      </w:r>
      <w:r w:rsidR="007E390D" w:rsidRPr="000F1974">
        <w:rPr>
          <w:i/>
        </w:rPr>
        <w:t xml:space="preserve">see </w:t>
      </w:r>
      <w:r w:rsidR="007E390D" w:rsidRPr="000F1974">
        <w:rPr>
          <w:i/>
        </w:rPr>
        <w:lastRenderedPageBreak/>
        <w:t>also</w:t>
      </w:r>
      <w:r w:rsidR="007E390D" w:rsidRPr="000F1974">
        <w:t xml:space="preserve"> 29 C.F.R. § 1630.2(i)(1)(ii) (defining “major bodily function” to include the “circulatory [and] cardiovascular” functions)</w:t>
      </w:r>
      <w:r w:rsidR="009C6184" w:rsidRPr="000F1974">
        <w:t>.</w:t>
      </w:r>
    </w:p>
    <w:p w:rsidR="00C51986" w:rsidRPr="000F1974" w:rsidRDefault="00986D6C" w:rsidP="00C51986">
      <w:pPr>
        <w:pStyle w:val="ListParagraph"/>
        <w:numPr>
          <w:ilvl w:val="0"/>
          <w:numId w:val="30"/>
        </w:numPr>
        <w:spacing w:line="240" w:lineRule="auto"/>
        <w:rPr>
          <w:i/>
        </w:rPr>
      </w:pPr>
      <w:r w:rsidRPr="000F1974">
        <w:rPr>
          <w:i/>
        </w:rPr>
        <w:t xml:space="preserve">It is undisputed that </w:t>
      </w:r>
      <w:r w:rsidR="00C51986" w:rsidRPr="000F1974">
        <w:rPr>
          <w:i/>
        </w:rPr>
        <w:t>Sheriff Woody had notice of Emily Hall’s disability an</w:t>
      </w:r>
      <w:r w:rsidR="0022421D" w:rsidRPr="000F1974">
        <w:rPr>
          <w:i/>
        </w:rPr>
        <w:t xml:space="preserve">d her need for </w:t>
      </w:r>
      <w:r w:rsidRPr="000F1974">
        <w:rPr>
          <w:i/>
        </w:rPr>
        <w:t xml:space="preserve">reassignment as a reasonable </w:t>
      </w:r>
      <w:r w:rsidR="0022421D" w:rsidRPr="000F1974">
        <w:rPr>
          <w:i/>
        </w:rPr>
        <w:t>accommodation</w:t>
      </w:r>
    </w:p>
    <w:p w:rsidR="00C51986" w:rsidRPr="000F1974" w:rsidRDefault="00C51986" w:rsidP="00C51986">
      <w:pPr>
        <w:pStyle w:val="ListParagraph"/>
        <w:numPr>
          <w:ilvl w:val="0"/>
          <w:numId w:val="0"/>
        </w:numPr>
        <w:spacing w:line="240" w:lineRule="auto"/>
        <w:ind w:left="1080"/>
        <w:rPr>
          <w:i/>
        </w:rPr>
      </w:pPr>
    </w:p>
    <w:p w:rsidR="006D13C7" w:rsidRPr="000F1974" w:rsidRDefault="003F4C8D" w:rsidP="0007032A">
      <w:pPr>
        <w:spacing w:line="480" w:lineRule="auto"/>
        <w:ind w:firstLine="720"/>
      </w:pPr>
      <w:r w:rsidRPr="000F1974">
        <w:t xml:space="preserve">Second, Sheriff Woody admits that he had notice of Emily Hall’s disability and </w:t>
      </w:r>
      <w:r w:rsidR="007E390D" w:rsidRPr="000F1974">
        <w:t xml:space="preserve">that Ms. Hall </w:t>
      </w:r>
      <w:r w:rsidR="00986D6C" w:rsidRPr="000F1974">
        <w:t xml:space="preserve">requested and </w:t>
      </w:r>
      <w:r w:rsidR="007E390D" w:rsidRPr="000F1974">
        <w:t>required an accommodation</w:t>
      </w:r>
      <w:r w:rsidR="00C51986" w:rsidRPr="000F1974">
        <w:t xml:space="preserve"> as a result of </w:t>
      </w:r>
      <w:r w:rsidR="00833905" w:rsidRPr="000F1974">
        <w:t>her</w:t>
      </w:r>
      <w:r w:rsidR="00C51986" w:rsidRPr="000F1974">
        <w:t xml:space="preserve"> disability</w:t>
      </w:r>
      <w:r w:rsidR="007E390D" w:rsidRPr="000F1974">
        <w:t xml:space="preserve">.  </w:t>
      </w:r>
      <w:r w:rsidRPr="000F1974">
        <w:t xml:space="preserve">Ex. </w:t>
      </w:r>
      <w:r w:rsidR="00081E53" w:rsidRPr="000F1974">
        <w:t xml:space="preserve">10, 30(b)(6) </w:t>
      </w:r>
      <w:r w:rsidR="00102E0E" w:rsidRPr="000F1974">
        <w:t>Dep</w:t>
      </w:r>
      <w:r w:rsidR="00081E53" w:rsidRPr="000F1974">
        <w:t>. Tr. 109:9−15,</w:t>
      </w:r>
      <w:r w:rsidRPr="000F1974">
        <w:t xml:space="preserve"> 110:23−111:25; Ex. 2, Def.’s Answer ¶ 13; Ex. 6, Def.’s </w:t>
      </w:r>
      <w:r w:rsidR="00366191" w:rsidRPr="000F1974">
        <w:t xml:space="preserve">First </w:t>
      </w:r>
      <w:r w:rsidRPr="000F1974">
        <w:t xml:space="preserve">Admis. 8; Ex. 7, Hall </w:t>
      </w:r>
      <w:r w:rsidR="00102E0E" w:rsidRPr="000F1974">
        <w:t>Dep</w:t>
      </w:r>
      <w:r w:rsidRPr="000F1974">
        <w:t xml:space="preserve">. Ex. 4 at 3 (Woody 717).  </w:t>
      </w:r>
      <w:r w:rsidR="007E390D" w:rsidRPr="000F1974">
        <w:t>Specifically, he</w:t>
      </w:r>
      <w:r w:rsidR="006D35F7" w:rsidRPr="000F1974">
        <w:t xml:space="preserve"> admits that </w:t>
      </w:r>
      <w:r w:rsidR="007E4E53" w:rsidRPr="000F1974">
        <w:t xml:space="preserve">Ms. Hall </w:t>
      </w:r>
      <w:r w:rsidR="006D35F7" w:rsidRPr="000F1974">
        <w:t xml:space="preserve">repeatedly requested </w:t>
      </w:r>
      <w:r w:rsidR="00C51986" w:rsidRPr="000F1974">
        <w:t>the</w:t>
      </w:r>
      <w:r w:rsidR="0070681A" w:rsidRPr="000F1974">
        <w:t xml:space="preserve"> accommodation</w:t>
      </w:r>
      <w:r w:rsidR="00C51986" w:rsidRPr="000F1974">
        <w:t xml:space="preserve"> of reassignment</w:t>
      </w:r>
      <w:r w:rsidR="0070681A" w:rsidRPr="000F1974">
        <w:t xml:space="preserve">, </w:t>
      </w:r>
      <w:r w:rsidR="0070681A" w:rsidRPr="000F1974">
        <w:rPr>
          <w:i/>
        </w:rPr>
        <w:t>i.e.</w:t>
      </w:r>
      <w:r w:rsidR="0070681A" w:rsidRPr="000F1974">
        <w:t xml:space="preserve">, </w:t>
      </w:r>
      <w:r w:rsidR="00552837" w:rsidRPr="000F1974">
        <w:t>to be placed</w:t>
      </w:r>
      <w:r w:rsidR="006D35F7" w:rsidRPr="000F1974">
        <w:t xml:space="preserve"> </w:t>
      </w:r>
      <w:r w:rsidR="00552837" w:rsidRPr="000F1974">
        <w:t>in</w:t>
      </w:r>
      <w:r w:rsidR="006D35F7" w:rsidRPr="000F1974">
        <w:t xml:space="preserve"> a different position</w:t>
      </w:r>
      <w:r w:rsidR="00C51986" w:rsidRPr="000F1974">
        <w:t>, because she could no longer work as a Deputy Sheriff due to her disability</w:t>
      </w:r>
      <w:r w:rsidR="006D35F7" w:rsidRPr="000F1974">
        <w:t>.</w:t>
      </w:r>
      <w:r w:rsidR="007E390D" w:rsidRPr="000F1974">
        <w:t xml:space="preserve"> </w:t>
      </w:r>
      <w:r w:rsidR="007E4E53" w:rsidRPr="000F1974">
        <w:t xml:space="preserve"> </w:t>
      </w:r>
      <w:r w:rsidR="00937619" w:rsidRPr="000F1974">
        <w:rPr>
          <w:i/>
        </w:rPr>
        <w:t xml:space="preserve">See supra </w:t>
      </w:r>
      <w:r w:rsidR="004E2477" w:rsidRPr="000F1974">
        <w:t xml:space="preserve">¶ </w:t>
      </w:r>
      <w:r w:rsidR="0014688F" w:rsidRPr="000F1974">
        <w:t>14, 16, 17−21, 35, 44</w:t>
      </w:r>
      <w:r w:rsidR="00937619" w:rsidRPr="000F1974">
        <w:t>.</w:t>
      </w:r>
      <w:r w:rsidR="007E390D" w:rsidRPr="000F1974">
        <w:t xml:space="preserve"> </w:t>
      </w:r>
      <w:r w:rsidR="006D747B" w:rsidRPr="000F1974">
        <w:t xml:space="preserve"> </w:t>
      </w:r>
      <w:r w:rsidR="007E390D" w:rsidRPr="000F1974">
        <w:t xml:space="preserve">Ms. Hall did not need to say the words “reasonable accommodation” in order to request an accommodation. </w:t>
      </w:r>
      <w:r w:rsidR="00C2023F" w:rsidRPr="000F1974">
        <w:t xml:space="preserve"> </w:t>
      </w:r>
      <w:r w:rsidR="007E390D" w:rsidRPr="000F1974">
        <w:rPr>
          <w:i/>
        </w:rPr>
        <w:t>S</w:t>
      </w:r>
      <w:r w:rsidR="00C2023F" w:rsidRPr="000F1974">
        <w:rPr>
          <w:i/>
        </w:rPr>
        <w:t>ee Parkinson v. Anne Arundel Med. Cen.</w:t>
      </w:r>
      <w:r w:rsidR="00C2023F" w:rsidRPr="000F1974">
        <w:t xml:space="preserve">, 79 F. </w:t>
      </w:r>
      <w:r w:rsidR="007E2D3C" w:rsidRPr="000F1974">
        <w:t>App’x</w:t>
      </w:r>
      <w:r w:rsidR="00C2023F" w:rsidRPr="000F1974">
        <w:t xml:space="preserve"> 602, 604</w:t>
      </w:r>
      <w:r w:rsidR="008434A5" w:rsidRPr="000F1974">
        <w:t>−</w:t>
      </w:r>
      <w:r w:rsidR="00C2023F" w:rsidRPr="000F1974">
        <w:t>05 (4th Cir. 2003) (unpublished)</w:t>
      </w:r>
      <w:r w:rsidR="00C2023F" w:rsidRPr="000F1974">
        <w:rPr>
          <w:i/>
        </w:rPr>
        <w:t xml:space="preserve"> </w:t>
      </w:r>
      <w:r w:rsidR="00C2023F" w:rsidRPr="000F1974">
        <w:t xml:space="preserve">(“[A] request for accommodation need not . . . formally invoke the magic words ‘reasonable accommodation.’” (quoting </w:t>
      </w:r>
      <w:r w:rsidR="00C2023F" w:rsidRPr="000F1974">
        <w:rPr>
          <w:i/>
        </w:rPr>
        <w:t>Taylor v. Phoenixville Sch. Dist.</w:t>
      </w:r>
      <w:r w:rsidR="00C2023F" w:rsidRPr="000F1974">
        <w:t>, 184 F.3d 296, 313 (3d Cir. 1999)</w:t>
      </w:r>
      <w:r w:rsidR="00A734A6" w:rsidRPr="000F1974">
        <w:t>)</w:t>
      </w:r>
      <w:r w:rsidR="00C2023F" w:rsidRPr="000F1974">
        <w:t>.</w:t>
      </w:r>
      <w:r w:rsidR="007E4E53" w:rsidRPr="000F1974">
        <w:t xml:space="preserve"> </w:t>
      </w:r>
      <w:r w:rsidR="0070681A" w:rsidRPr="000F1974">
        <w:t xml:space="preserve"> </w:t>
      </w:r>
    </w:p>
    <w:p w:rsidR="003B2854" w:rsidRPr="000F1974" w:rsidRDefault="00986D6C">
      <w:pPr>
        <w:pStyle w:val="ListParagraph"/>
        <w:numPr>
          <w:ilvl w:val="0"/>
          <w:numId w:val="30"/>
        </w:numPr>
        <w:spacing w:line="240" w:lineRule="auto"/>
        <w:rPr>
          <w:i/>
        </w:rPr>
      </w:pPr>
      <w:r w:rsidRPr="000F1974">
        <w:rPr>
          <w:i/>
        </w:rPr>
        <w:t xml:space="preserve">It is undisputed that </w:t>
      </w:r>
      <w:r w:rsidR="00C51986" w:rsidRPr="000F1974">
        <w:rPr>
          <w:i/>
        </w:rPr>
        <w:t>Emily Hall was qualified for a vacant reassignment position</w:t>
      </w:r>
      <w:r w:rsidR="00CE143C" w:rsidRPr="000F1974">
        <w:rPr>
          <w:i/>
        </w:rPr>
        <w:t xml:space="preserve"> and that such vacancy was available </w:t>
      </w:r>
    </w:p>
    <w:p w:rsidR="003B2854" w:rsidRPr="000F1974" w:rsidRDefault="003B2854">
      <w:pPr>
        <w:pStyle w:val="ListParagraph"/>
        <w:numPr>
          <w:ilvl w:val="0"/>
          <w:numId w:val="0"/>
        </w:numPr>
        <w:spacing w:line="240" w:lineRule="auto"/>
        <w:ind w:left="1080"/>
        <w:rPr>
          <w:i/>
        </w:rPr>
      </w:pPr>
    </w:p>
    <w:p w:rsidR="00CA16FA" w:rsidRPr="000F1974" w:rsidRDefault="006D35F7" w:rsidP="00833905">
      <w:pPr>
        <w:spacing w:line="480" w:lineRule="auto"/>
        <w:ind w:firstLine="720"/>
      </w:pPr>
      <w:r w:rsidRPr="000F1974">
        <w:t xml:space="preserve">Third, </w:t>
      </w:r>
      <w:r w:rsidR="007E4E53" w:rsidRPr="000F1974">
        <w:t xml:space="preserve">Sheriff Woody admits that Ms. Hall </w:t>
      </w:r>
      <w:r w:rsidR="0061071C" w:rsidRPr="000F1974">
        <w:t xml:space="preserve">was qualified for </w:t>
      </w:r>
      <w:r w:rsidRPr="000F1974">
        <w:t xml:space="preserve">at least one position, </w:t>
      </w:r>
      <w:r w:rsidR="007E390D" w:rsidRPr="000F1974">
        <w:t xml:space="preserve">the Payroll Technician </w:t>
      </w:r>
      <w:r w:rsidR="00654A7F" w:rsidRPr="000F1974">
        <w:t>position, which</w:t>
      </w:r>
      <w:r w:rsidR="007E390D" w:rsidRPr="000F1974">
        <w:t xml:space="preserve"> became vacant </w:t>
      </w:r>
      <w:r w:rsidR="00CA16FA" w:rsidRPr="000F1974">
        <w:t>during</w:t>
      </w:r>
      <w:r w:rsidR="007E390D" w:rsidRPr="000F1974">
        <w:t xml:space="preserve"> the time she sought a reassignm</w:t>
      </w:r>
      <w:r w:rsidR="00833905" w:rsidRPr="000F1974">
        <w:t xml:space="preserve">ent position.  </w:t>
      </w:r>
      <w:r w:rsidR="00796FE9" w:rsidRPr="000F1974">
        <w:t xml:space="preserve">Ex. 6, </w:t>
      </w:r>
      <w:r w:rsidR="00833905" w:rsidRPr="000F1974">
        <w:t xml:space="preserve">Def.’s </w:t>
      </w:r>
      <w:r w:rsidR="00366191" w:rsidRPr="000F1974">
        <w:t xml:space="preserve">First </w:t>
      </w:r>
      <w:r w:rsidR="00833905" w:rsidRPr="000F1974">
        <w:t xml:space="preserve">Admis. 14.  </w:t>
      </w:r>
      <w:r w:rsidR="002529C0" w:rsidRPr="000F1974">
        <w:t>He also admits that he would not have interview</w:t>
      </w:r>
      <w:r w:rsidR="00F31736" w:rsidRPr="000F1974">
        <w:t>ed</w:t>
      </w:r>
      <w:r w:rsidR="002529C0" w:rsidRPr="000F1974">
        <w:t xml:space="preserve"> </w:t>
      </w:r>
      <w:r w:rsidR="00F31736" w:rsidRPr="000F1974">
        <w:t xml:space="preserve">her </w:t>
      </w:r>
      <w:r w:rsidR="002529C0" w:rsidRPr="000F1974">
        <w:t xml:space="preserve">had she been </w:t>
      </w:r>
      <w:r w:rsidR="00513161" w:rsidRPr="000F1974">
        <w:t>un</w:t>
      </w:r>
      <w:r w:rsidR="002529C0" w:rsidRPr="000F1974">
        <w:t xml:space="preserve">qualified.  </w:t>
      </w:r>
      <w:r w:rsidR="00366191" w:rsidRPr="000F1974">
        <w:rPr>
          <w:i/>
        </w:rPr>
        <w:t>Id.</w:t>
      </w:r>
      <w:r w:rsidR="002529C0" w:rsidRPr="000F1974">
        <w:t xml:space="preserve"> 13.  </w:t>
      </w:r>
      <w:r w:rsidR="00833905" w:rsidRPr="000F1974">
        <w:t xml:space="preserve">Ms. Hall’s application for the Payroll Technician position reflected that Ms. Hall had the qualifications </w:t>
      </w:r>
      <w:r w:rsidR="002529C0" w:rsidRPr="000F1974">
        <w:t>listed in the job description</w:t>
      </w:r>
      <w:r w:rsidR="00833905" w:rsidRPr="000F1974">
        <w:t xml:space="preserve">, </w:t>
      </w:r>
      <w:r w:rsidR="00796FE9" w:rsidRPr="000F1974">
        <w:t xml:space="preserve">Ex. 14, </w:t>
      </w:r>
      <w:r w:rsidR="0022421D" w:rsidRPr="000F1974">
        <w:t xml:space="preserve">30(b)(6) </w:t>
      </w:r>
      <w:r w:rsidR="00102E0E" w:rsidRPr="000F1974">
        <w:t>Dep</w:t>
      </w:r>
      <w:r w:rsidR="0022421D" w:rsidRPr="000F1974">
        <w:t>. Ex. 21</w:t>
      </w:r>
      <w:r w:rsidR="00796FE9" w:rsidRPr="000F1974">
        <w:t xml:space="preserve"> (Woody 56−71)</w:t>
      </w:r>
      <w:r w:rsidR="0022421D" w:rsidRPr="000F1974">
        <w:t xml:space="preserve">, </w:t>
      </w:r>
      <w:r w:rsidR="00833905" w:rsidRPr="000F1974">
        <w:t>and she was physically abl</w:t>
      </w:r>
      <w:r w:rsidR="0022421D" w:rsidRPr="000F1974">
        <w:t>e to hold a full-time “desk job,”</w:t>
      </w:r>
      <w:r w:rsidR="00833905" w:rsidRPr="000F1974">
        <w:t xml:space="preserve"> </w:t>
      </w:r>
      <w:r w:rsidR="00796FE9" w:rsidRPr="000F1974">
        <w:t xml:space="preserve">Ex. 5, </w:t>
      </w:r>
      <w:r w:rsidR="00833905" w:rsidRPr="000F1974">
        <w:t xml:space="preserve">Shams Decl. ¶ </w:t>
      </w:r>
      <w:r w:rsidR="0022421D" w:rsidRPr="000F1974">
        <w:t xml:space="preserve">9. </w:t>
      </w:r>
      <w:r w:rsidR="00833905" w:rsidRPr="000F1974">
        <w:t xml:space="preserve"> </w:t>
      </w:r>
      <w:r w:rsidR="0022421D" w:rsidRPr="000F1974">
        <w:rPr>
          <w:i/>
        </w:rPr>
        <w:t>S</w:t>
      </w:r>
      <w:r w:rsidR="00833905" w:rsidRPr="000F1974">
        <w:rPr>
          <w:i/>
        </w:rPr>
        <w:t xml:space="preserve">ee </w:t>
      </w:r>
      <w:r w:rsidR="00833905" w:rsidRPr="000F1974">
        <w:t>29 C.F.R. § 1630.2</w:t>
      </w:r>
      <w:r w:rsidR="00E81231" w:rsidRPr="000F1974">
        <w:t>(m)</w:t>
      </w:r>
      <w:r w:rsidR="00833905" w:rsidRPr="000F1974">
        <w:t xml:space="preserve"> (“The term ‘qualified</w:t>
      </w:r>
      <w:r w:rsidR="00E81231" w:rsidRPr="000F1974">
        <w:t>’ . . .</w:t>
      </w:r>
      <w:r w:rsidR="00833905" w:rsidRPr="000F1974">
        <w:t xml:space="preserve"> means that the individual satisfies the requisite skill, experience, education and other job-related requirements of the employment </w:t>
      </w:r>
      <w:r w:rsidR="00833905" w:rsidRPr="000F1974">
        <w:lastRenderedPageBreak/>
        <w:t xml:space="preserve">position such individual holds or desires and, with or without reasonable accommodation, can perform the essential functions of such position.”).  </w:t>
      </w:r>
      <w:r w:rsidR="00CA16FA" w:rsidRPr="000F1974">
        <w:t xml:space="preserve">Ms. Hall requested information about </w:t>
      </w:r>
      <w:r w:rsidR="00A734A6" w:rsidRPr="000F1974">
        <w:t>the</w:t>
      </w:r>
      <w:r w:rsidR="00CA16FA" w:rsidRPr="000F1974">
        <w:t xml:space="preserve"> position, applied for the position once the Sheriff’s Office identified it to her, and interviewed for the position.  </w:t>
      </w:r>
      <w:r w:rsidR="00721012" w:rsidRPr="000F1974">
        <w:t xml:space="preserve">Ex. 13, 30(b)(6) </w:t>
      </w:r>
      <w:r w:rsidR="00102E0E" w:rsidRPr="000F1974">
        <w:t>Dep</w:t>
      </w:r>
      <w:r w:rsidR="00721012" w:rsidRPr="000F1974">
        <w:t xml:space="preserve">. Ex. 6 (Woody 1403); Ex. 14, 30(b)(6) </w:t>
      </w:r>
      <w:r w:rsidR="00102E0E" w:rsidRPr="000F1974">
        <w:t>Dep</w:t>
      </w:r>
      <w:r w:rsidR="00721012" w:rsidRPr="000F1974">
        <w:t>. Ex. 21 (Woody 56−71); Ex. 1, Compl</w:t>
      </w:r>
      <w:r w:rsidR="001A6717" w:rsidRPr="000F1974">
        <w:t>.</w:t>
      </w:r>
      <w:r w:rsidR="00721012" w:rsidRPr="000F1974">
        <w:t xml:space="preserve"> ¶ 23; </w:t>
      </w:r>
      <w:r w:rsidR="00796FE9" w:rsidRPr="000F1974">
        <w:t xml:space="preserve">Ex. 2, </w:t>
      </w:r>
      <w:r w:rsidR="00CA16FA" w:rsidRPr="000F1974">
        <w:t>Def.’s Answ</w:t>
      </w:r>
      <w:r w:rsidR="00721012" w:rsidRPr="000F1974">
        <w:t>er ¶</w:t>
      </w:r>
      <w:r w:rsidR="00796FE9" w:rsidRPr="000F1974">
        <w:t> </w:t>
      </w:r>
      <w:r w:rsidR="00CA16FA" w:rsidRPr="000F1974">
        <w:t>22</w:t>
      </w:r>
      <w:r w:rsidR="00721012" w:rsidRPr="000F1974">
        <w:t>, 23.</w:t>
      </w:r>
    </w:p>
    <w:p w:rsidR="00DA46C0" w:rsidRPr="000F1974" w:rsidRDefault="00DA46C0" w:rsidP="00833905">
      <w:pPr>
        <w:spacing w:line="480" w:lineRule="auto"/>
        <w:ind w:firstLine="720"/>
      </w:pPr>
      <w:r w:rsidRPr="000F1974">
        <w:t>Further, Ms. Hall sought to be reassigned to any civilian position that was available</w:t>
      </w:r>
      <w:r w:rsidR="00400764" w:rsidRPr="000F1974">
        <w:t>, of which there were several</w:t>
      </w:r>
      <w:r w:rsidRPr="000F1974">
        <w:t xml:space="preserve">.  </w:t>
      </w:r>
      <w:r w:rsidR="00AF7727" w:rsidRPr="000F1974">
        <w:rPr>
          <w:i/>
        </w:rPr>
        <w:t xml:space="preserve">See </w:t>
      </w:r>
      <w:r w:rsidR="00AF7727" w:rsidRPr="000F1974">
        <w:t xml:space="preserve">Ex. 4, Hall </w:t>
      </w:r>
      <w:r w:rsidR="00102E0E" w:rsidRPr="000F1974">
        <w:t>Dep</w:t>
      </w:r>
      <w:r w:rsidR="00AF7727" w:rsidRPr="000F1974">
        <w:t xml:space="preserve">. Tr. 86:5−7, 127:4−6.  </w:t>
      </w:r>
      <w:r w:rsidRPr="000F1974">
        <w:t xml:space="preserve">Despite her active and multiple inquiries through </w:t>
      </w:r>
      <w:r w:rsidR="00F31736" w:rsidRPr="000F1974">
        <w:t xml:space="preserve">meetings, </w:t>
      </w:r>
      <w:r w:rsidRPr="000F1974">
        <w:t xml:space="preserve">phone calls, </w:t>
      </w:r>
      <w:r w:rsidR="00F31736" w:rsidRPr="000F1974">
        <w:t xml:space="preserve">and </w:t>
      </w:r>
      <w:r w:rsidRPr="000F1974">
        <w:t>emails</w:t>
      </w:r>
      <w:r w:rsidR="00F31736" w:rsidRPr="000F1974">
        <w:t xml:space="preserve"> </w:t>
      </w:r>
      <w:r w:rsidRPr="000F1974">
        <w:t xml:space="preserve">to Sheriff Woody and Billie Winzor </w:t>
      </w:r>
      <w:r w:rsidR="00CE143C" w:rsidRPr="000F1974">
        <w:t>seeking</w:t>
      </w:r>
      <w:r w:rsidRPr="000F1974">
        <w:t xml:space="preserve"> reassignment, Sheriff Woody failed to notify Ms. Hall of several additional civilian vacancies, depriving her of even the chance to compete through a competitive process for those vacancies.  Ex. 26, Def.’s Second Admis. 13.  Further, Sheriff Woody admits that he failed to advertise several civilian vacancies during the relevant period, thereby depriving Ms. Hall of the opportunity to learn about these vacancies on her own through her diligent weekly monitoring of the Sheriff’s Office’s website.  Ex. 26, Def.’s Second Admis. 9−12.</w:t>
      </w:r>
      <w:r w:rsidRPr="000F1974">
        <w:rPr>
          <w:rStyle w:val="FootnoteReference"/>
        </w:rPr>
        <w:footnoteReference w:id="3"/>
      </w:r>
    </w:p>
    <w:p w:rsidR="00CA16FA" w:rsidRPr="000F1974" w:rsidRDefault="00DD659A" w:rsidP="006D13C7">
      <w:pPr>
        <w:ind w:left="1080" w:hanging="270"/>
        <w:rPr>
          <w:i/>
        </w:rPr>
      </w:pPr>
      <w:r w:rsidRPr="000F1974">
        <w:rPr>
          <w:i/>
        </w:rPr>
        <w:t xml:space="preserve">4.  </w:t>
      </w:r>
      <w:r w:rsidR="00BC4C25" w:rsidRPr="000F1974">
        <w:rPr>
          <w:i/>
        </w:rPr>
        <w:t xml:space="preserve">It is undisputed that </w:t>
      </w:r>
      <w:r w:rsidR="00CA16FA" w:rsidRPr="000F1974">
        <w:rPr>
          <w:i/>
        </w:rPr>
        <w:t xml:space="preserve">Sheriff Woody </w:t>
      </w:r>
      <w:r w:rsidR="00BC4C25" w:rsidRPr="000F1974">
        <w:rPr>
          <w:i/>
        </w:rPr>
        <w:t>r</w:t>
      </w:r>
      <w:r w:rsidR="00CA16FA" w:rsidRPr="000F1974">
        <w:rPr>
          <w:i/>
        </w:rPr>
        <w:t xml:space="preserve">efused to </w:t>
      </w:r>
      <w:r w:rsidR="00BC4C25" w:rsidRPr="000F1974">
        <w:rPr>
          <w:i/>
        </w:rPr>
        <w:t xml:space="preserve">reassign </w:t>
      </w:r>
      <w:r w:rsidR="00CA16FA" w:rsidRPr="000F1974">
        <w:rPr>
          <w:i/>
        </w:rPr>
        <w:t xml:space="preserve">Ms. Hall </w:t>
      </w:r>
      <w:r w:rsidR="00BC4C25" w:rsidRPr="000F1974">
        <w:rPr>
          <w:i/>
        </w:rPr>
        <w:t xml:space="preserve">to a vacant position for which she was qualified as </w:t>
      </w:r>
      <w:r w:rsidR="00CA16FA" w:rsidRPr="000F1974">
        <w:rPr>
          <w:i/>
        </w:rPr>
        <w:t xml:space="preserve">a </w:t>
      </w:r>
      <w:r w:rsidR="00BC4C25" w:rsidRPr="000F1974">
        <w:rPr>
          <w:i/>
        </w:rPr>
        <w:t>n</w:t>
      </w:r>
      <w:r w:rsidR="00CA16FA" w:rsidRPr="000F1974">
        <w:rPr>
          <w:i/>
        </w:rPr>
        <w:t>ec</w:t>
      </w:r>
      <w:r w:rsidR="0022421D" w:rsidRPr="000F1974">
        <w:rPr>
          <w:i/>
        </w:rPr>
        <w:t xml:space="preserve">essary </w:t>
      </w:r>
      <w:r w:rsidR="00BC4C25" w:rsidRPr="000F1974">
        <w:rPr>
          <w:i/>
        </w:rPr>
        <w:t>r</w:t>
      </w:r>
      <w:r w:rsidR="0022421D" w:rsidRPr="000F1974">
        <w:rPr>
          <w:i/>
        </w:rPr>
        <w:t xml:space="preserve">easonable </w:t>
      </w:r>
      <w:r w:rsidR="00BC4C25" w:rsidRPr="000F1974">
        <w:rPr>
          <w:i/>
        </w:rPr>
        <w:t>a</w:t>
      </w:r>
      <w:r w:rsidR="0022421D" w:rsidRPr="000F1974">
        <w:rPr>
          <w:i/>
        </w:rPr>
        <w:t>ccommodation</w:t>
      </w:r>
    </w:p>
    <w:p w:rsidR="00CA16FA" w:rsidRPr="000F1974" w:rsidRDefault="00CA16FA" w:rsidP="00CA16FA">
      <w:pPr>
        <w:pStyle w:val="ListParagraph"/>
        <w:numPr>
          <w:ilvl w:val="0"/>
          <w:numId w:val="0"/>
        </w:numPr>
        <w:spacing w:line="240" w:lineRule="auto"/>
        <w:ind w:left="1080"/>
        <w:rPr>
          <w:i/>
        </w:rPr>
      </w:pPr>
    </w:p>
    <w:p w:rsidR="00937619" w:rsidRPr="000F1974" w:rsidRDefault="006D35F7" w:rsidP="00513161">
      <w:pPr>
        <w:spacing w:line="480" w:lineRule="auto"/>
        <w:ind w:firstLine="720"/>
      </w:pPr>
      <w:r w:rsidRPr="000F1974">
        <w:lastRenderedPageBreak/>
        <w:t xml:space="preserve">Fourth, Sheriff Woody </w:t>
      </w:r>
      <w:r w:rsidR="007E4E53" w:rsidRPr="000F1974">
        <w:t xml:space="preserve">admits that he did not grant </w:t>
      </w:r>
      <w:r w:rsidRPr="000F1974">
        <w:t>Ms. Hall</w:t>
      </w:r>
      <w:r w:rsidR="00CA16FA" w:rsidRPr="000F1974">
        <w:t xml:space="preserve"> the only reasonable accommodation that would have allowed her to remain employed by him</w:t>
      </w:r>
      <w:r w:rsidR="00ED0C1F" w:rsidRPr="000F1974">
        <w:t xml:space="preserve">, </w:t>
      </w:r>
      <w:r w:rsidR="00CA16FA" w:rsidRPr="000F1974">
        <w:t>reassignment</w:t>
      </w:r>
      <w:r w:rsidR="00ED0C1F" w:rsidRPr="000F1974">
        <w:t xml:space="preserve">.  </w:t>
      </w:r>
      <w:r w:rsidR="00513161" w:rsidRPr="000F1974">
        <w:rPr>
          <w:i/>
        </w:rPr>
        <w:t xml:space="preserve">See </w:t>
      </w:r>
      <w:r w:rsidR="00513161" w:rsidRPr="000F1974">
        <w:t xml:space="preserve">Ex. 10, 30(b)(6) </w:t>
      </w:r>
      <w:r w:rsidR="00102E0E" w:rsidRPr="000F1974">
        <w:t>Dep</w:t>
      </w:r>
      <w:r w:rsidR="00513161" w:rsidRPr="000F1974">
        <w:t xml:space="preserve">. Tr. 113:13−16 (“The only way Emily Hall could return to work would be to return to full capacity in a sworn position or apply for a different position.”).  </w:t>
      </w:r>
      <w:r w:rsidR="00ED0C1F" w:rsidRPr="000F1974">
        <w:t xml:space="preserve">He also admits that he </w:t>
      </w:r>
      <w:r w:rsidR="007E4E53" w:rsidRPr="000F1974">
        <w:t>terminated her employment</w:t>
      </w:r>
      <w:r w:rsidR="00ED0C1F" w:rsidRPr="000F1974">
        <w:t xml:space="preserve"> because she could no longer perform the essential functions of her job as Deputy Sheriff due to her disability</w:t>
      </w:r>
      <w:r w:rsidR="007E4E53" w:rsidRPr="000F1974">
        <w:t xml:space="preserve">.  </w:t>
      </w:r>
      <w:r w:rsidR="00796FE9" w:rsidRPr="000F1974">
        <w:t xml:space="preserve">Ex. 2, </w:t>
      </w:r>
      <w:r w:rsidR="002B6884" w:rsidRPr="000F1974">
        <w:t xml:space="preserve">Def.’s Answer ¶ </w:t>
      </w:r>
      <w:r w:rsidR="00833905" w:rsidRPr="000F1974">
        <w:t>27;</w:t>
      </w:r>
      <w:r w:rsidR="00513161" w:rsidRPr="000F1974">
        <w:t xml:space="preserve"> </w:t>
      </w:r>
      <w:r w:rsidR="002B6884" w:rsidRPr="000F1974">
        <w:t xml:space="preserve">Ex. 9, </w:t>
      </w:r>
      <w:r w:rsidR="00513161" w:rsidRPr="000F1974">
        <w:t>Def.’s Inter</w:t>
      </w:r>
      <w:r w:rsidR="002B6884" w:rsidRPr="000F1974">
        <w:t>r</w:t>
      </w:r>
      <w:r w:rsidR="00513161" w:rsidRPr="000F1974">
        <w:t>og. Answer 14</w:t>
      </w:r>
      <w:r w:rsidR="00833905" w:rsidRPr="000F1974">
        <w:t>.</w:t>
      </w:r>
    </w:p>
    <w:p w:rsidR="00EF2C50" w:rsidRPr="000F1974" w:rsidRDefault="00833905" w:rsidP="00B27B51">
      <w:pPr>
        <w:spacing w:line="480" w:lineRule="auto"/>
        <w:ind w:firstLine="720"/>
        <w:rPr>
          <w:b/>
        </w:rPr>
      </w:pPr>
      <w:r w:rsidRPr="000F1974">
        <w:t xml:space="preserve">In sum, there is no material </w:t>
      </w:r>
      <w:r w:rsidR="00513161" w:rsidRPr="000F1974">
        <w:t xml:space="preserve">factual </w:t>
      </w:r>
      <w:r w:rsidRPr="000F1974">
        <w:t xml:space="preserve">dispute </w:t>
      </w:r>
      <w:r w:rsidR="007E2D3C" w:rsidRPr="000F1974">
        <w:t>about</w:t>
      </w:r>
      <w:r w:rsidRPr="000F1974">
        <w:t xml:space="preserve"> what happened between Ms. Hall and the Sheriff’s Office.  </w:t>
      </w:r>
      <w:r w:rsidR="007E4E53" w:rsidRPr="000F1974">
        <w:t>The</w:t>
      </w:r>
      <w:r w:rsidR="00B27B51" w:rsidRPr="000F1974">
        <w:t xml:space="preserve"> only dispute is </w:t>
      </w:r>
      <w:r w:rsidR="00BC4C25" w:rsidRPr="000F1974">
        <w:t xml:space="preserve">the legal question of </w:t>
      </w:r>
      <w:r w:rsidR="00B27B51" w:rsidRPr="000F1974">
        <w:t>whether</w:t>
      </w:r>
      <w:r w:rsidR="007E4E53" w:rsidRPr="000F1974">
        <w:t xml:space="preserve"> Sheriff Woody’s actions violated the ADA</w:t>
      </w:r>
      <w:r w:rsidR="00B27B51" w:rsidRPr="000F1974">
        <w:t xml:space="preserve">.  As the majority of circuits have held, the plain language of the </w:t>
      </w:r>
      <w:r w:rsidRPr="000F1974">
        <w:t>ADA</w:t>
      </w:r>
      <w:r w:rsidR="00B27B51" w:rsidRPr="000F1974">
        <w:t xml:space="preserve"> required Sheriff Woody to reassign Ms. Hall to a vacant position for which she was qualified.</w:t>
      </w:r>
    </w:p>
    <w:p w:rsidR="00EF2C50" w:rsidRPr="000F1974" w:rsidRDefault="00EF2C50" w:rsidP="00E83863">
      <w:pPr>
        <w:pStyle w:val="ListParagraph"/>
        <w:numPr>
          <w:ilvl w:val="0"/>
          <w:numId w:val="29"/>
        </w:numPr>
        <w:ind w:left="0" w:firstLine="720"/>
        <w:rPr>
          <w:b/>
        </w:rPr>
      </w:pPr>
      <w:r w:rsidRPr="000F1974">
        <w:rPr>
          <w:b/>
        </w:rPr>
        <w:t xml:space="preserve">The plain language of the </w:t>
      </w:r>
      <w:r w:rsidR="00971C2B" w:rsidRPr="000F1974">
        <w:rPr>
          <w:b/>
        </w:rPr>
        <w:t>ADA</w:t>
      </w:r>
      <w:r w:rsidRPr="000F1974">
        <w:rPr>
          <w:b/>
        </w:rPr>
        <w:t xml:space="preserve"> required Sheriff Woody to reassign Emily Hall</w:t>
      </w:r>
    </w:p>
    <w:p w:rsidR="00483C35" w:rsidRPr="000F1974" w:rsidRDefault="00483C35" w:rsidP="00483C35">
      <w:pPr>
        <w:spacing w:line="480" w:lineRule="auto"/>
        <w:ind w:firstLine="720"/>
      </w:pPr>
      <w:r w:rsidRPr="000F1974">
        <w:t xml:space="preserve">As most </w:t>
      </w:r>
      <w:r w:rsidR="00ED0C1F" w:rsidRPr="000F1974">
        <w:t>courts</w:t>
      </w:r>
      <w:r w:rsidRPr="000F1974">
        <w:t xml:space="preserve"> </w:t>
      </w:r>
      <w:r w:rsidR="00ED0C1F" w:rsidRPr="000F1974">
        <w:t>agree</w:t>
      </w:r>
      <w:r w:rsidRPr="000F1974">
        <w:t>, t</w:t>
      </w:r>
      <w:r w:rsidR="003F5AF4" w:rsidRPr="000F1974">
        <w:t xml:space="preserve">he plain language of the ADA requires an employer to </w:t>
      </w:r>
      <w:r w:rsidR="001042F9" w:rsidRPr="000F1974">
        <w:t>reassign a qualified</w:t>
      </w:r>
      <w:r w:rsidR="008729EC" w:rsidRPr="000F1974">
        <w:t xml:space="preserve"> employee with a disability to a vacant position when the employee needs the reassignment to stay employed, unless the employer can show that the reassignment would cause </w:t>
      </w:r>
      <w:r w:rsidR="001042F9" w:rsidRPr="000F1974">
        <w:t>an undue hardship.  42 U.S.C. § </w:t>
      </w:r>
      <w:r w:rsidR="008729EC" w:rsidRPr="000F1974">
        <w:t xml:space="preserve">12112(b)(5)(A); </w:t>
      </w:r>
      <w:r w:rsidR="001042F9" w:rsidRPr="000F1974">
        <w:rPr>
          <w:i/>
        </w:rPr>
        <w:t xml:space="preserve">see also </w:t>
      </w:r>
      <w:r w:rsidRPr="000F1974">
        <w:t xml:space="preserve">29 C.F.R. § 1630.2(o); </w:t>
      </w:r>
      <w:r w:rsidRPr="000F1974">
        <w:rPr>
          <w:i/>
        </w:rPr>
        <w:t>EEOC v. United Airlines, Inc.</w:t>
      </w:r>
      <w:r w:rsidRPr="000F1974">
        <w:t xml:space="preserve">, 693 F.3d 760, 765 (7th Cir. 2012) (en banc), </w:t>
      </w:r>
      <w:r w:rsidRPr="000F1974">
        <w:rPr>
          <w:i/>
        </w:rPr>
        <w:t>cert. denied</w:t>
      </w:r>
      <w:r w:rsidRPr="000F1974">
        <w:t xml:space="preserve">,133 S. Ct. 2734 (2013); </w:t>
      </w:r>
      <w:r w:rsidRPr="000F1974">
        <w:rPr>
          <w:i/>
        </w:rPr>
        <w:t>Smith v. Midland Brake, Inc., a Div. of Echlin, Inc</w:t>
      </w:r>
      <w:r w:rsidRPr="000F1974">
        <w:t xml:space="preserve">., 180 F.3d 1154, 1179 (10th Cir. 1999) (en banc); </w:t>
      </w:r>
      <w:r w:rsidRPr="000F1974">
        <w:rPr>
          <w:i/>
        </w:rPr>
        <w:t>Aka v. Washington Hosp. Ctr.</w:t>
      </w:r>
      <w:r w:rsidRPr="000F1974">
        <w:t>, 156 F.3d 1284, 1305 (D.C. Cir. 1998) (en banc).</w:t>
      </w:r>
      <w:r w:rsidR="00D1660F" w:rsidRPr="000F1974">
        <w:t xml:space="preserve">  </w:t>
      </w:r>
    </w:p>
    <w:p w:rsidR="003F5AF4" w:rsidRPr="000F1974" w:rsidRDefault="00971C2B" w:rsidP="00483C35">
      <w:pPr>
        <w:spacing w:line="480" w:lineRule="auto"/>
        <w:ind w:firstLine="720"/>
      </w:pPr>
      <w:r w:rsidRPr="000F1974">
        <w:t xml:space="preserve">Two provisions </w:t>
      </w:r>
      <w:r w:rsidR="001042F9" w:rsidRPr="000F1974">
        <w:t xml:space="preserve">of the statute </w:t>
      </w:r>
      <w:r w:rsidRPr="000F1974">
        <w:t xml:space="preserve">establish this requirement.  </w:t>
      </w:r>
      <w:r w:rsidR="00D1660F" w:rsidRPr="000F1974">
        <w:t>First,</w:t>
      </w:r>
      <w:r w:rsidR="004258F2" w:rsidRPr="000F1974">
        <w:t xml:space="preserve"> unless </w:t>
      </w:r>
      <w:r w:rsidR="00F63102" w:rsidRPr="000F1974">
        <w:t>an employer can show</w:t>
      </w:r>
      <w:r w:rsidR="004258F2" w:rsidRPr="000F1974">
        <w:t xml:space="preserve"> undue hardship,</w:t>
      </w:r>
      <w:r w:rsidR="00D1660F" w:rsidRPr="000F1974">
        <w:t xml:space="preserve"> t</w:t>
      </w:r>
      <w:r w:rsidR="003F5AF4" w:rsidRPr="000F1974">
        <w:t xml:space="preserve">he ADA requires </w:t>
      </w:r>
      <w:r w:rsidR="004258F2" w:rsidRPr="000F1974">
        <w:t>the</w:t>
      </w:r>
      <w:r w:rsidR="003F5AF4" w:rsidRPr="000F1974">
        <w:t xml:space="preserve"> employer to provide</w:t>
      </w:r>
      <w:r w:rsidR="00F63102" w:rsidRPr="000F1974">
        <w:t xml:space="preserve"> needed</w:t>
      </w:r>
      <w:r w:rsidR="003F5AF4" w:rsidRPr="000F1974">
        <w:t xml:space="preserve"> reasonable accommodations to an employee with a disability</w:t>
      </w:r>
      <w:r w:rsidR="00D1660F" w:rsidRPr="000F1974">
        <w:t>.  42 U.S.C. § </w:t>
      </w:r>
      <w:r w:rsidR="003F5AF4" w:rsidRPr="000F1974">
        <w:t>12112(b)(5)(A).</w:t>
      </w:r>
      <w:r w:rsidR="00D1660F" w:rsidRPr="000F1974">
        <w:t xml:space="preserve">  Second, t</w:t>
      </w:r>
      <w:r w:rsidR="008729EC" w:rsidRPr="000F1974">
        <w:t xml:space="preserve">he ADA </w:t>
      </w:r>
      <w:r w:rsidR="008729EC" w:rsidRPr="000F1974">
        <w:rPr>
          <w:i/>
        </w:rPr>
        <w:t>define</w:t>
      </w:r>
      <w:r w:rsidR="00FA3706" w:rsidRPr="000F1974">
        <w:rPr>
          <w:i/>
        </w:rPr>
        <w:t>s</w:t>
      </w:r>
      <w:r w:rsidR="008729EC" w:rsidRPr="000F1974">
        <w:t xml:space="preserve"> reasonable accommodations to include “reassignment to a vacant position.”  </w:t>
      </w:r>
      <w:r w:rsidR="001E0F0B">
        <w:rPr>
          <w:i/>
        </w:rPr>
        <w:t xml:space="preserve">Id. </w:t>
      </w:r>
      <w:r w:rsidR="001E542B" w:rsidRPr="000F1974">
        <w:lastRenderedPageBreak/>
        <w:t>§ </w:t>
      </w:r>
      <w:r w:rsidR="003F5AF4" w:rsidRPr="000F1974">
        <w:t>12111(9)(B).</w:t>
      </w:r>
      <w:r w:rsidR="00593B86" w:rsidRPr="000F1974">
        <w:rPr>
          <w:rStyle w:val="FootnoteReference"/>
        </w:rPr>
        <w:footnoteReference w:id="4"/>
      </w:r>
      <w:r w:rsidR="003F5AF4" w:rsidRPr="000F1974">
        <w:t xml:space="preserve">  </w:t>
      </w:r>
      <w:r w:rsidR="008729EC" w:rsidRPr="000F1974">
        <w:t xml:space="preserve">Thus, </w:t>
      </w:r>
      <w:r w:rsidR="00ED0C1F" w:rsidRPr="000F1974">
        <w:t xml:space="preserve">reassignment is ordinarily </w:t>
      </w:r>
      <w:r w:rsidR="00483958" w:rsidRPr="000F1974">
        <w:t xml:space="preserve">a </w:t>
      </w:r>
      <w:r w:rsidR="00ED0C1F" w:rsidRPr="000F1974">
        <w:t xml:space="preserve">reasonable accommodation, and </w:t>
      </w:r>
      <w:r w:rsidR="008729EC" w:rsidRPr="000F1974">
        <w:t xml:space="preserve">when reassignment to a vacant position is the </w:t>
      </w:r>
      <w:r w:rsidR="008729EC" w:rsidRPr="000F1974">
        <w:rPr>
          <w:i/>
        </w:rPr>
        <w:t>only</w:t>
      </w:r>
      <w:r w:rsidR="008729EC" w:rsidRPr="000F1974">
        <w:t xml:space="preserve"> accommodation that would accommodate an employee’s disability, the employer </w:t>
      </w:r>
      <w:r w:rsidR="008729EC" w:rsidRPr="000F1974">
        <w:rPr>
          <w:i/>
        </w:rPr>
        <w:t>must</w:t>
      </w:r>
      <w:r w:rsidR="008729EC" w:rsidRPr="000F1974">
        <w:t xml:space="preserve"> provide that accommodation, unless it would impose an undue hardship.</w:t>
      </w:r>
      <w:r w:rsidR="00BF0279" w:rsidRPr="000F1974">
        <w:t xml:space="preserve">  </w:t>
      </w:r>
      <w:r w:rsidR="00BF0279" w:rsidRPr="000F1974">
        <w:rPr>
          <w:i/>
        </w:rPr>
        <w:t xml:space="preserve">See </w:t>
      </w:r>
      <w:r w:rsidR="001E0F0B">
        <w:rPr>
          <w:i/>
        </w:rPr>
        <w:t xml:space="preserve">id. </w:t>
      </w:r>
      <w:r w:rsidR="00BF0279" w:rsidRPr="000F1974">
        <w:t>§ 12112(a), (b)(5)(A).</w:t>
      </w:r>
      <w:r w:rsidR="00593B86" w:rsidRPr="000F1974">
        <w:t xml:space="preserve">   </w:t>
      </w:r>
    </w:p>
    <w:p w:rsidR="001E542B" w:rsidRPr="000F1974" w:rsidRDefault="00077FB2" w:rsidP="00287947">
      <w:pPr>
        <w:spacing w:line="480" w:lineRule="auto"/>
        <w:ind w:firstLine="720"/>
      </w:pPr>
      <w:r w:rsidRPr="000F1974">
        <w:t xml:space="preserve">Sheriff Woody has argued that the ADA </w:t>
      </w:r>
      <w:r w:rsidR="00236871" w:rsidRPr="000F1974">
        <w:t xml:space="preserve">always </w:t>
      </w:r>
      <w:r w:rsidRPr="000F1974">
        <w:t xml:space="preserve">permits, but </w:t>
      </w:r>
      <w:r w:rsidR="00470F36" w:rsidRPr="000F1974">
        <w:t xml:space="preserve">never </w:t>
      </w:r>
      <w:r w:rsidRPr="000F1974">
        <w:t>require</w:t>
      </w:r>
      <w:r w:rsidR="00470F36" w:rsidRPr="000F1974">
        <w:t>s</w:t>
      </w:r>
      <w:r w:rsidRPr="000F1974">
        <w:t>, reassignment.  Ex. 9, Def.’s Answers to Interrog. 17.  But that reading</w:t>
      </w:r>
      <w:r w:rsidR="00236871" w:rsidRPr="000F1974">
        <w:t xml:space="preserve"> of the statute</w:t>
      </w:r>
      <w:r w:rsidRPr="000F1974">
        <w:t xml:space="preserve"> renders the reassignment provision superfluous</w:t>
      </w:r>
      <w:r w:rsidR="001E542B" w:rsidRPr="000F1974">
        <w:t xml:space="preserve">.  </w:t>
      </w:r>
      <w:r w:rsidR="001E40F6" w:rsidRPr="000F1974">
        <w:rPr>
          <w:i/>
        </w:rPr>
        <w:t xml:space="preserve">See </w:t>
      </w:r>
      <w:r w:rsidR="00364DBD" w:rsidRPr="000F1974">
        <w:rPr>
          <w:i/>
        </w:rPr>
        <w:t>Smith</w:t>
      </w:r>
      <w:r w:rsidR="00364DBD" w:rsidRPr="000F1974">
        <w:t xml:space="preserve">, 180 F.3d at 1164−65; </w:t>
      </w:r>
      <w:r w:rsidR="001E40F6" w:rsidRPr="000F1974">
        <w:rPr>
          <w:i/>
        </w:rPr>
        <w:t>Aka</w:t>
      </w:r>
      <w:r w:rsidR="00364DBD" w:rsidRPr="000F1974">
        <w:t>, 156 F.3d at 1304</w:t>
      </w:r>
      <w:r w:rsidR="001E40F6" w:rsidRPr="000F1974">
        <w:t xml:space="preserve">.  “A statute should be constructed so that effect is given to all of its provisions, so that no part will be inoperative or superfluous, void or insignificant.” </w:t>
      </w:r>
      <w:r w:rsidR="001E542B" w:rsidRPr="000F1974">
        <w:rPr>
          <w:i/>
        </w:rPr>
        <w:t xml:space="preserve"> Reardon v. Herring</w:t>
      </w:r>
      <w:r w:rsidR="001E542B" w:rsidRPr="000F1974">
        <w:t xml:space="preserve">, No. 3:16-CV-34, 2016 WL 3181138, at *12 (E.D. Va. June 3, 2016) </w:t>
      </w:r>
      <w:r w:rsidR="007B5F9C" w:rsidRPr="000F1974">
        <w:t xml:space="preserve">(Payne, J.) </w:t>
      </w:r>
      <w:r w:rsidR="001E542B" w:rsidRPr="000F1974">
        <w:t xml:space="preserve">(quoting </w:t>
      </w:r>
      <w:r w:rsidR="001E542B" w:rsidRPr="000F1974">
        <w:rPr>
          <w:i/>
        </w:rPr>
        <w:t>Corley v. United States</w:t>
      </w:r>
      <w:r w:rsidR="001E542B" w:rsidRPr="000F1974">
        <w:t>, 556 U.S. 303, 31</w:t>
      </w:r>
      <w:r w:rsidR="004258F2" w:rsidRPr="000F1974">
        <w:t>4 (2009)</w:t>
      </w:r>
      <w:r w:rsidR="00E81231" w:rsidRPr="000F1974">
        <w:t>)</w:t>
      </w:r>
      <w:r w:rsidR="007B5F9C" w:rsidRPr="007B5F9C">
        <w:t xml:space="preserve"> </w:t>
      </w:r>
      <w:r w:rsidR="007B5F9C" w:rsidRPr="000F1974">
        <w:t>(internal alterations)</w:t>
      </w:r>
      <w:r w:rsidR="004258F2" w:rsidRPr="000F1974">
        <w:t xml:space="preserve">.  If the reassignment </w:t>
      </w:r>
      <w:r w:rsidR="00BE2502" w:rsidRPr="000F1974">
        <w:t>provision</w:t>
      </w:r>
      <w:r w:rsidR="004258F2" w:rsidRPr="000F1974">
        <w:t xml:space="preserve"> meant only that a</w:t>
      </w:r>
      <w:r w:rsidR="002529C0" w:rsidRPr="000F1974">
        <w:t xml:space="preserve">n </w:t>
      </w:r>
      <w:r w:rsidR="004258F2" w:rsidRPr="000F1974">
        <w:t>employee</w:t>
      </w:r>
      <w:r w:rsidR="002529C0" w:rsidRPr="000F1974">
        <w:t xml:space="preserve"> with a disability</w:t>
      </w:r>
      <w:r w:rsidR="004258F2" w:rsidRPr="000F1974">
        <w:t xml:space="preserve"> could apply </w:t>
      </w:r>
      <w:r w:rsidR="00D727EE" w:rsidRPr="000F1974">
        <w:t>and compete</w:t>
      </w:r>
      <w:r w:rsidR="004258F2" w:rsidRPr="000F1974">
        <w:t xml:space="preserve"> for a vacant position just like any other </w:t>
      </w:r>
      <w:r w:rsidR="00ED0C1F" w:rsidRPr="000F1974">
        <w:t>applicant</w:t>
      </w:r>
      <w:r w:rsidR="004258F2" w:rsidRPr="000F1974">
        <w:t xml:space="preserve">, </w:t>
      </w:r>
      <w:r w:rsidR="001042F9" w:rsidRPr="000F1974">
        <w:t xml:space="preserve">the </w:t>
      </w:r>
      <w:r w:rsidR="00BE2502" w:rsidRPr="000F1974">
        <w:t>term</w:t>
      </w:r>
      <w:r w:rsidR="00D727EE" w:rsidRPr="000F1974">
        <w:t xml:space="preserve"> would add nothing to the employment protections of the statute.  </w:t>
      </w:r>
      <w:r w:rsidR="00364DBD" w:rsidRPr="000F1974">
        <w:t>That is because a separate part of the statute protects</w:t>
      </w:r>
      <w:r w:rsidR="001E40F6" w:rsidRPr="000F1974">
        <w:t xml:space="preserve"> </w:t>
      </w:r>
      <w:r w:rsidR="00D727EE" w:rsidRPr="000F1974">
        <w:t xml:space="preserve">against discrimination in application and hiring processes, </w:t>
      </w:r>
      <w:r w:rsidR="00D727EE" w:rsidRPr="000F1974">
        <w:rPr>
          <w:i/>
        </w:rPr>
        <w:t xml:space="preserve">see </w:t>
      </w:r>
      <w:r w:rsidR="00D727EE" w:rsidRPr="000F1974">
        <w:t>42 U.S.C. §</w:t>
      </w:r>
      <w:r w:rsidR="00470F36" w:rsidRPr="000F1974">
        <w:t> </w:t>
      </w:r>
      <w:r w:rsidR="00D727EE" w:rsidRPr="000F1974">
        <w:t xml:space="preserve">12112(a) (“No covered entity shall discriminate against a qualified individual on the basis of disability in regard to job application procedures [or] hiring . . . .”), so the statute </w:t>
      </w:r>
      <w:r w:rsidR="00D727EE" w:rsidRPr="000F1974">
        <w:rPr>
          <w:i/>
        </w:rPr>
        <w:t>already</w:t>
      </w:r>
      <w:r w:rsidR="00D727EE" w:rsidRPr="000F1974">
        <w:t xml:space="preserve"> compels employers to allow employees with disabilities to apply and compete for vacant positions like any other person.  </w:t>
      </w:r>
      <w:r w:rsidR="00733E59" w:rsidRPr="000F1974">
        <w:t xml:space="preserve">As the Tenth Circuit, sitting </w:t>
      </w:r>
      <w:r w:rsidR="00733E59" w:rsidRPr="00C81C24">
        <w:t>en banc</w:t>
      </w:r>
      <w:r w:rsidR="00733E59" w:rsidRPr="000F1974">
        <w:t xml:space="preserve">, held, </w:t>
      </w:r>
      <w:r w:rsidR="004B466A" w:rsidRPr="000F1974">
        <w:t>“</w:t>
      </w:r>
      <w:r w:rsidR="00733E59" w:rsidRPr="000F1974">
        <w:t>i</w:t>
      </w:r>
      <w:r w:rsidR="00287947" w:rsidRPr="000F1974">
        <w:t xml:space="preserve">f the reassignment language merely requires employers to consider on an equal basis with all other applicants an otherwise qualified existing employee with a disability for reassignment to a vacant position, that language would add nothing to the obligation not to discriminate, and would thereby be redundant.”  </w:t>
      </w:r>
      <w:r w:rsidR="00287947" w:rsidRPr="000F1974">
        <w:rPr>
          <w:i/>
        </w:rPr>
        <w:t>Smith</w:t>
      </w:r>
      <w:r w:rsidR="00287947" w:rsidRPr="000F1974">
        <w:t xml:space="preserve">, 180 F.3d </w:t>
      </w:r>
      <w:r w:rsidR="00BE2502" w:rsidRPr="000F1974">
        <w:t xml:space="preserve">at </w:t>
      </w:r>
      <w:r w:rsidR="00287947" w:rsidRPr="000F1974">
        <w:t>1164–65</w:t>
      </w:r>
      <w:r w:rsidR="00BE2502" w:rsidRPr="000F1974">
        <w:t>.</w:t>
      </w:r>
      <w:r w:rsidR="00733E59" w:rsidRPr="000F1974">
        <w:t xml:space="preserve">  And “then this promise [of reassignment] within the ADA would be empty.</w:t>
      </w:r>
      <w:r w:rsidR="002B559A" w:rsidRPr="000F1974">
        <w:t>”</w:t>
      </w:r>
      <w:r w:rsidR="00733E59" w:rsidRPr="000F1974">
        <w:t xml:space="preserve">  </w:t>
      </w:r>
      <w:r w:rsidR="00733E59" w:rsidRPr="000F1974">
        <w:rPr>
          <w:i/>
        </w:rPr>
        <w:t>Id.</w:t>
      </w:r>
      <w:r w:rsidR="00733E59" w:rsidRPr="000F1974">
        <w:t xml:space="preserve"> at </w:t>
      </w:r>
      <w:r w:rsidR="00733E59" w:rsidRPr="000F1974">
        <w:lastRenderedPageBreak/>
        <w:t xml:space="preserve">1167.  Likewise, the D.C. Circuit, also sitting </w:t>
      </w:r>
      <w:r w:rsidR="00733E59" w:rsidRPr="00C81C24">
        <w:t>en banc</w:t>
      </w:r>
      <w:r w:rsidR="00733E59" w:rsidRPr="000F1974">
        <w:t xml:space="preserve">, held that “the word ‘reassign’ </w:t>
      </w:r>
      <w:r w:rsidR="00733E59" w:rsidRPr="000F1974">
        <w:rPr>
          <w:i/>
        </w:rPr>
        <w:t>must</w:t>
      </w:r>
      <w:r w:rsidR="00733E59" w:rsidRPr="000F1974">
        <w:t xml:space="preserve"> mean more than allowing an employee to apply for a job on the same basis as anyone else</w:t>
      </w:r>
      <w:r w:rsidR="002B559A" w:rsidRPr="000F1974">
        <w:t>,</w:t>
      </w:r>
      <w:r w:rsidR="00733E59" w:rsidRPr="000F1974">
        <w:t>”</w:t>
      </w:r>
      <w:r w:rsidR="002B559A" w:rsidRPr="000F1974">
        <w:t xml:space="preserve"> and that</w:t>
      </w:r>
      <w:r w:rsidR="00903215" w:rsidRPr="000F1974">
        <w:t>,</w:t>
      </w:r>
      <w:r w:rsidR="002B559A" w:rsidRPr="000F1974">
        <w:t xml:space="preserve"> accordingly, </w:t>
      </w:r>
      <w:r w:rsidR="0018137C" w:rsidRPr="000F1974">
        <w:t>t</w:t>
      </w:r>
      <w:r w:rsidR="00903215" w:rsidRPr="000F1974">
        <w:t xml:space="preserve">he ADA requires </w:t>
      </w:r>
      <w:r w:rsidR="0018137C" w:rsidRPr="000F1974">
        <w:t xml:space="preserve">employers to provide </w:t>
      </w:r>
      <w:r w:rsidR="00903215" w:rsidRPr="000F1974">
        <w:t>reassignment when necessary</w:t>
      </w:r>
      <w:r w:rsidR="0018137C" w:rsidRPr="000F1974">
        <w:t xml:space="preserve">.  </w:t>
      </w:r>
      <w:r w:rsidR="00733E59" w:rsidRPr="000F1974">
        <w:rPr>
          <w:i/>
        </w:rPr>
        <w:t>Aka</w:t>
      </w:r>
      <w:r w:rsidR="00733E59" w:rsidRPr="000F1974">
        <w:t xml:space="preserve">, 156 F.3d at 1304 (emphasis added).  </w:t>
      </w:r>
    </w:p>
    <w:p w:rsidR="0018137C" w:rsidRPr="000F1974" w:rsidRDefault="00287947" w:rsidP="00287947">
      <w:pPr>
        <w:spacing w:line="480" w:lineRule="auto"/>
        <w:ind w:firstLine="720"/>
      </w:pPr>
      <w:r w:rsidRPr="000F1974">
        <w:t xml:space="preserve">Additionally, the </w:t>
      </w:r>
      <w:r w:rsidR="00DF4443" w:rsidRPr="000F1974">
        <w:t xml:space="preserve">plain and ordinary meaning of the </w:t>
      </w:r>
      <w:r w:rsidRPr="000F1974">
        <w:t xml:space="preserve">word “reassignment” </w:t>
      </w:r>
      <w:r w:rsidR="00DF4443" w:rsidRPr="000F1974">
        <w:t>entails</w:t>
      </w:r>
      <w:r w:rsidRPr="000F1974">
        <w:t xml:space="preserve"> action and initiative on the part of the employer.  </w:t>
      </w:r>
      <w:r w:rsidRPr="000F1974">
        <w:rPr>
          <w:i/>
        </w:rPr>
        <w:t>See</w:t>
      </w:r>
      <w:r w:rsidRPr="000F1974">
        <w:t xml:space="preserve"> </w:t>
      </w:r>
      <w:r w:rsidR="00CB667B" w:rsidRPr="000F1974">
        <w:rPr>
          <w:i/>
        </w:rPr>
        <w:t>Reassignment</w:t>
      </w:r>
      <w:r w:rsidR="00CB667B" w:rsidRPr="000F1974">
        <w:t xml:space="preserve">, </w:t>
      </w:r>
      <w:r w:rsidRPr="000F1974">
        <w:rPr>
          <w:i/>
        </w:rPr>
        <w:t xml:space="preserve">Cambridge </w:t>
      </w:r>
      <w:r w:rsidR="00364DBD" w:rsidRPr="000F1974">
        <w:rPr>
          <w:i/>
        </w:rPr>
        <w:t xml:space="preserve">Essential Am. </w:t>
      </w:r>
      <w:r w:rsidRPr="000F1974">
        <w:rPr>
          <w:i/>
        </w:rPr>
        <w:t>English Dictionary</w:t>
      </w:r>
      <w:r w:rsidRPr="000F1974">
        <w:t xml:space="preserve"> </w:t>
      </w:r>
      <w:r w:rsidR="00CB667B" w:rsidRPr="000F1974">
        <w:t>(</w:t>
      </w:r>
      <w:r w:rsidR="00364DBD" w:rsidRPr="000F1974">
        <w:t>2016</w:t>
      </w:r>
      <w:r w:rsidR="00CB667B" w:rsidRPr="000F1974">
        <w:t xml:space="preserve">) </w:t>
      </w:r>
      <w:r w:rsidRPr="000F1974">
        <w:t>(defining “reassign</w:t>
      </w:r>
      <w:r w:rsidR="00552837" w:rsidRPr="000F1974">
        <w:t>ment</w:t>
      </w:r>
      <w:r w:rsidRPr="000F1974">
        <w:t>” as</w:t>
      </w:r>
      <w:r w:rsidR="00552837" w:rsidRPr="000F1974">
        <w:t xml:space="preserve"> “the process of </w:t>
      </w:r>
      <w:r w:rsidR="00552837" w:rsidRPr="000F1974">
        <w:rPr>
          <w:i/>
        </w:rPr>
        <w:t>giving</w:t>
      </w:r>
      <w:r w:rsidR="00552837" w:rsidRPr="000F1974">
        <w:t xml:space="preserve"> an employee a different job, or </w:t>
      </w:r>
      <w:r w:rsidR="00552837" w:rsidRPr="000F1974">
        <w:rPr>
          <w:i/>
        </w:rPr>
        <w:t>arranging for</w:t>
      </w:r>
      <w:r w:rsidR="00552837" w:rsidRPr="000F1974">
        <w:t xml:space="preserve"> an employee to work in a different place</w:t>
      </w:r>
      <w:r w:rsidR="00E81231" w:rsidRPr="000F1974">
        <w:t>”</w:t>
      </w:r>
      <w:r w:rsidRPr="000F1974">
        <w:t xml:space="preserve"> (emphasis added)); </w:t>
      </w:r>
      <w:r w:rsidR="00CB667B" w:rsidRPr="000F1974">
        <w:rPr>
          <w:i/>
        </w:rPr>
        <w:t>Reassignment</w:t>
      </w:r>
      <w:r w:rsidR="00CB667B" w:rsidRPr="000F1974">
        <w:t xml:space="preserve">, </w:t>
      </w:r>
      <w:r w:rsidRPr="000F1974">
        <w:rPr>
          <w:i/>
        </w:rPr>
        <w:t>Oxford</w:t>
      </w:r>
      <w:r w:rsidRPr="000F1974">
        <w:t xml:space="preserve"> </w:t>
      </w:r>
      <w:r w:rsidRPr="000F1974">
        <w:rPr>
          <w:i/>
        </w:rPr>
        <w:t>English Dictionary</w:t>
      </w:r>
      <w:r w:rsidR="00CB667B" w:rsidRPr="000F1974">
        <w:t xml:space="preserve"> (</w:t>
      </w:r>
      <w:r w:rsidR="00364DBD" w:rsidRPr="000F1974">
        <w:t>2016</w:t>
      </w:r>
      <w:r w:rsidR="00CB667B" w:rsidRPr="000F1974">
        <w:t xml:space="preserve">) </w:t>
      </w:r>
      <w:r w:rsidRPr="000F1974">
        <w:t>(defining “reassign</w:t>
      </w:r>
      <w:r w:rsidR="00552837" w:rsidRPr="000F1974">
        <w:t>ment</w:t>
      </w:r>
      <w:r w:rsidRPr="000F1974">
        <w:t>” as “</w:t>
      </w:r>
      <w:r w:rsidR="0022421D" w:rsidRPr="000F1974">
        <w:rPr>
          <w:i/>
        </w:rPr>
        <w:t>[a]</w:t>
      </w:r>
      <w:r w:rsidR="00552837" w:rsidRPr="000F1974">
        <w:rPr>
          <w:i/>
        </w:rPr>
        <w:t>ppointment</w:t>
      </w:r>
      <w:r w:rsidR="00552837" w:rsidRPr="000F1974">
        <w:t xml:space="preserve"> to a different post or role</w:t>
      </w:r>
      <w:r w:rsidRPr="000F1974">
        <w:t>”</w:t>
      </w:r>
      <w:r w:rsidR="00F63102" w:rsidRPr="000F1974">
        <w:t xml:space="preserve"> (emphasis added)</w:t>
      </w:r>
      <w:r w:rsidRPr="000F1974">
        <w:t xml:space="preserve">).  </w:t>
      </w:r>
      <w:r w:rsidR="00DA1D23" w:rsidRPr="000F1974">
        <w:t>P</w:t>
      </w:r>
      <w:r w:rsidRPr="000F1974">
        <w:t xml:space="preserve">er “standard principles of statutory interpretation, ‘absent explicit legislative intent to the contrary,’ [a] term . . . is to be given its ‘plain and ordinary meaning.’” </w:t>
      </w:r>
      <w:r w:rsidR="007C643C" w:rsidRPr="000F1974">
        <w:rPr>
          <w:i/>
        </w:rPr>
        <w:t>Reardon</w:t>
      </w:r>
      <w:r w:rsidR="007C643C" w:rsidRPr="000F1974">
        <w:t xml:space="preserve">, 2016 WL 3181138, at *5 </w:t>
      </w:r>
      <w:r w:rsidRPr="000F1974">
        <w:t xml:space="preserve">(quoting </w:t>
      </w:r>
      <w:r w:rsidRPr="000F1974">
        <w:rPr>
          <w:i/>
        </w:rPr>
        <w:t>Broughman v. Carver</w:t>
      </w:r>
      <w:r w:rsidRPr="000F1974">
        <w:t>, 624 F.3d 670, 675 (4th Cir. 2010)).</w:t>
      </w:r>
      <w:r w:rsidR="00F63102" w:rsidRPr="000F1974">
        <w:t xml:space="preserve">  </w:t>
      </w:r>
      <w:r w:rsidR="00DA1D23" w:rsidRPr="000F1974">
        <w:t xml:space="preserve">Thus, “reassignment” under the ADA does not mean passive consideration of an employee’s self-initiated job application.  </w:t>
      </w:r>
      <w:r w:rsidR="002573CD" w:rsidRPr="000F1974">
        <w:t>It</w:t>
      </w:r>
      <w:r w:rsidR="00DA1D23" w:rsidRPr="000F1974">
        <w:t xml:space="preserve"> means affirmative placement in a different position.  </w:t>
      </w:r>
    </w:p>
    <w:p w:rsidR="008729EC" w:rsidRPr="000F1974" w:rsidRDefault="004B466A" w:rsidP="00287947">
      <w:pPr>
        <w:spacing w:line="480" w:lineRule="auto"/>
        <w:ind w:firstLine="720"/>
      </w:pPr>
      <w:r w:rsidRPr="000F1974">
        <w:t>Interpretive</w:t>
      </w:r>
      <w:r w:rsidR="00D1660F" w:rsidRPr="000F1974">
        <w:t xml:space="preserve"> guidance from</w:t>
      </w:r>
      <w:r w:rsidR="008729EC" w:rsidRPr="000F1974">
        <w:t xml:space="preserve"> the Equal Employment Opportunity Commission (EEOC)</w:t>
      </w:r>
      <w:r w:rsidR="00D1660F" w:rsidRPr="000F1974">
        <w:t xml:space="preserve"> </w:t>
      </w:r>
      <w:r w:rsidRPr="000F1974">
        <w:t>supports this reading of the statute</w:t>
      </w:r>
      <w:r w:rsidR="00D1660F" w:rsidRPr="000F1974">
        <w:t>:</w:t>
      </w:r>
    </w:p>
    <w:p w:rsidR="00D1660F" w:rsidRPr="000F1974" w:rsidRDefault="00D1660F" w:rsidP="00D1660F">
      <w:pPr>
        <w:ind w:left="720" w:right="940"/>
        <w:jc w:val="both"/>
      </w:pPr>
      <w:r w:rsidRPr="000F1974">
        <w:t xml:space="preserve">The ADA specifically lists “reassignment to a vacant position” as a form of reasonable accommodation.  This type of reasonable accommodation </w:t>
      </w:r>
      <w:r w:rsidRPr="000F1974">
        <w:rPr>
          <w:i/>
        </w:rPr>
        <w:t>must be provided</w:t>
      </w:r>
      <w:r w:rsidRPr="000F1974">
        <w:t xml:space="preserve"> to an employee who, because of a disability, can no longer perform the essential functions of his/her current position, with or without reasonable accommodation, unless the employer can show that it would be an undue hardship.</w:t>
      </w:r>
      <w:r w:rsidRPr="000F1974">
        <w:rPr>
          <w:rStyle w:val="FootnoteReference"/>
        </w:rPr>
        <w:footnoteReference w:id="5"/>
      </w:r>
    </w:p>
    <w:p w:rsidR="00D1660F" w:rsidRPr="000F1974" w:rsidRDefault="00D1660F" w:rsidP="00D1660F">
      <w:pPr>
        <w:ind w:left="720" w:right="940"/>
        <w:jc w:val="both"/>
      </w:pPr>
    </w:p>
    <w:p w:rsidR="00BF0279" w:rsidRPr="000F1974" w:rsidRDefault="004B466A" w:rsidP="00BF0279">
      <w:pPr>
        <w:spacing w:line="480" w:lineRule="auto"/>
      </w:pPr>
      <w:r w:rsidRPr="000F1974">
        <w:lastRenderedPageBreak/>
        <w:t>In other words</w:t>
      </w:r>
      <w:r w:rsidR="00B27B51" w:rsidRPr="000F1974">
        <w:t>,</w:t>
      </w:r>
      <w:r w:rsidR="00F63102" w:rsidRPr="000F1974">
        <w:t xml:space="preserve"> “reassignment” does not mean that the employee merely “is permitted to compete for a vacant position.”  </w:t>
      </w:r>
      <w:r w:rsidR="00F63102" w:rsidRPr="000F1974">
        <w:rPr>
          <w:i/>
        </w:rPr>
        <w:t>Id.</w:t>
      </w:r>
      <w:r w:rsidR="00F63102" w:rsidRPr="000F1974">
        <w:t xml:space="preserve">  Rather, “[r]eassignment means that the employee gets the vacant position </w:t>
      </w:r>
      <w:r w:rsidR="00F63102" w:rsidRPr="000F1974">
        <w:rPr>
          <w:i/>
        </w:rPr>
        <w:t>if s/he is qualified for it</w:t>
      </w:r>
      <w:r w:rsidR="00F63102" w:rsidRPr="000F1974">
        <w:t xml:space="preserve">.  Otherwise, reassignment would be of little value and would not be implemented as Congress intended.”  </w:t>
      </w:r>
      <w:r w:rsidR="00F63102" w:rsidRPr="000F1974">
        <w:rPr>
          <w:i/>
        </w:rPr>
        <w:t>Id.</w:t>
      </w:r>
      <w:r w:rsidR="0022421D" w:rsidRPr="000F1974">
        <w:rPr>
          <w:i/>
        </w:rPr>
        <w:t xml:space="preserve"> </w:t>
      </w:r>
      <w:r w:rsidR="0022421D" w:rsidRPr="000F1974">
        <w:t>(emphasis added).</w:t>
      </w:r>
      <w:r w:rsidR="00BF0279" w:rsidRPr="000F1974">
        <w:t xml:space="preserve">  </w:t>
      </w:r>
    </w:p>
    <w:p w:rsidR="004B466A" w:rsidRPr="000F1974" w:rsidRDefault="004B466A" w:rsidP="00D1660F">
      <w:pPr>
        <w:spacing w:line="480" w:lineRule="auto"/>
      </w:pPr>
      <w:r w:rsidRPr="000F1974">
        <w:tab/>
      </w:r>
      <w:r w:rsidR="00F46B4C" w:rsidRPr="000F1974">
        <w:t>R</w:t>
      </w:r>
      <w:r w:rsidRPr="000F1974">
        <w:t>eass</w:t>
      </w:r>
      <w:r w:rsidR="00BE2502" w:rsidRPr="000F1974">
        <w:t>ignment is not always mandatory under the ADA.</w:t>
      </w:r>
      <w:r w:rsidRPr="000F1974">
        <w:t xml:space="preserve">  As the EEOC has explained, reassignment is the “reasonable accommodation of last resort.”  </w:t>
      </w:r>
      <w:r w:rsidRPr="000F1974">
        <w:rPr>
          <w:i/>
        </w:rPr>
        <w:t>Id.</w:t>
      </w:r>
      <w:r w:rsidRPr="000F1974">
        <w:t xml:space="preserve">  Only when</w:t>
      </w:r>
      <w:r w:rsidR="00364DBD" w:rsidRPr="000F1974">
        <w:t xml:space="preserve"> </w:t>
      </w:r>
      <w:r w:rsidRPr="000F1974">
        <w:t>an employee cannot be accommodated by any other means</w:t>
      </w:r>
      <w:r w:rsidR="00F63102" w:rsidRPr="000F1974">
        <w:t xml:space="preserve"> does the ADA require reassignment</w:t>
      </w:r>
      <w:r w:rsidRPr="000F1974">
        <w:t xml:space="preserve">.  Additionally, the ADA mandates reassignment only to a vacant position for which the employee is qualified.  </w:t>
      </w:r>
      <w:r w:rsidR="0093314D" w:rsidRPr="000F1974">
        <w:rPr>
          <w:i/>
        </w:rPr>
        <w:t xml:space="preserve">Id.  </w:t>
      </w:r>
      <w:r w:rsidRPr="000F1974">
        <w:t>An employer has no obligation to (1)</w:t>
      </w:r>
      <w:r w:rsidR="00BE2502" w:rsidRPr="000F1974">
        <w:t xml:space="preserve"> reassign an employee to a position for which she </w:t>
      </w:r>
      <w:r w:rsidR="0022421D" w:rsidRPr="000F1974">
        <w:t>is unqualified</w:t>
      </w:r>
      <w:r w:rsidR="00BE2502" w:rsidRPr="000F1974">
        <w:t>; (2) create a vacancy; or (</w:t>
      </w:r>
      <w:r w:rsidR="00364DBD" w:rsidRPr="000F1974">
        <w:t>3</w:t>
      </w:r>
      <w:r w:rsidRPr="000F1974">
        <w:t xml:space="preserve">) </w:t>
      </w:r>
      <w:r w:rsidR="002529C0" w:rsidRPr="000F1974">
        <w:t xml:space="preserve">provide extra training to </w:t>
      </w:r>
      <w:r w:rsidRPr="000F1974">
        <w:t xml:space="preserve">an employee so that she can meet the minimum qualifications for a vacant position.  </w:t>
      </w:r>
      <w:r w:rsidRPr="000F1974">
        <w:rPr>
          <w:i/>
        </w:rPr>
        <w:t xml:space="preserve">Id.  </w:t>
      </w:r>
      <w:r w:rsidRPr="000F1974">
        <w:t>But where, as here, an employee cannot be ac</w:t>
      </w:r>
      <w:r w:rsidR="00DF4443" w:rsidRPr="000F1974">
        <w:t xml:space="preserve">commodated by any other measure, </w:t>
      </w:r>
      <w:r w:rsidRPr="000F1974">
        <w:t>and the employee is qualified for a position that i</w:t>
      </w:r>
      <w:r w:rsidR="0022421D" w:rsidRPr="000F1974">
        <w:t>s vacant or will become vacant</w:t>
      </w:r>
      <w:r w:rsidRPr="000F1974">
        <w:t xml:space="preserve">, the ADA requires that the </w:t>
      </w:r>
      <w:r w:rsidR="00BE2502" w:rsidRPr="000F1974">
        <w:t>employer reassign the employee</w:t>
      </w:r>
      <w:r w:rsidRPr="000F1974">
        <w:t>.</w:t>
      </w:r>
      <w:r w:rsidR="00F63102" w:rsidRPr="000F1974">
        <w:t xml:space="preserve">  </w:t>
      </w:r>
      <w:r w:rsidR="0022421D" w:rsidRPr="000F1974">
        <w:rPr>
          <w:i/>
        </w:rPr>
        <w:t>See id.</w:t>
      </w:r>
      <w:r w:rsidR="0022421D" w:rsidRPr="000F1974">
        <w:t xml:space="preserve"> (“‘Vacant’ means that the position is available when the employee asks for reasonable accommodation, or that the employer knows that it will become available within a reasonable amount of time.”).  </w:t>
      </w:r>
      <w:r w:rsidR="00F63102" w:rsidRPr="000F1974">
        <w:t xml:space="preserve">This is true even if the employee seeking the accommodation is merely qualified, and not the best qualified, for the vacant position.  </w:t>
      </w:r>
      <w:r w:rsidR="00F63102" w:rsidRPr="000F1974">
        <w:rPr>
          <w:i/>
        </w:rPr>
        <w:t xml:space="preserve">See id. </w:t>
      </w:r>
      <w:r w:rsidR="00F63102" w:rsidRPr="000F1974">
        <w:t xml:space="preserve">(“The employee </w:t>
      </w:r>
      <w:r w:rsidR="00F63102" w:rsidRPr="000F1974">
        <w:rPr>
          <w:i/>
        </w:rPr>
        <w:t>does not need to be the best qualified individual</w:t>
      </w:r>
      <w:r w:rsidR="00F63102" w:rsidRPr="000F1974">
        <w:t xml:space="preserve"> for the position in order to obtain it as a reassignment.”</w:t>
      </w:r>
      <w:r w:rsidR="00C81C24">
        <w:t xml:space="preserve"> (emphasis added)</w:t>
      </w:r>
      <w:r w:rsidR="00F63102" w:rsidRPr="000F1974">
        <w:t>).</w:t>
      </w:r>
    </w:p>
    <w:p w:rsidR="00EF2C50" w:rsidRPr="000F1974" w:rsidRDefault="00EF2C50" w:rsidP="00E83863">
      <w:pPr>
        <w:pStyle w:val="ListParagraph"/>
        <w:numPr>
          <w:ilvl w:val="0"/>
          <w:numId w:val="29"/>
        </w:numPr>
        <w:ind w:left="0" w:firstLine="720"/>
        <w:rPr>
          <w:b/>
        </w:rPr>
      </w:pPr>
      <w:r w:rsidRPr="000F1974">
        <w:rPr>
          <w:b/>
        </w:rPr>
        <w:t xml:space="preserve">Fourth Circuit </w:t>
      </w:r>
      <w:r w:rsidR="0075667D">
        <w:rPr>
          <w:b/>
        </w:rPr>
        <w:t>p</w:t>
      </w:r>
      <w:r w:rsidRPr="000F1974">
        <w:rPr>
          <w:b/>
        </w:rPr>
        <w:t xml:space="preserve">recedent </w:t>
      </w:r>
      <w:r w:rsidR="0075667D">
        <w:rPr>
          <w:b/>
        </w:rPr>
        <w:t>r</w:t>
      </w:r>
      <w:r w:rsidR="0041407F" w:rsidRPr="000F1974">
        <w:rPr>
          <w:b/>
        </w:rPr>
        <w:t xml:space="preserve">ecognizes the </w:t>
      </w:r>
      <w:r w:rsidR="0075667D">
        <w:rPr>
          <w:b/>
        </w:rPr>
        <w:t>r</w:t>
      </w:r>
      <w:r w:rsidR="0041407F" w:rsidRPr="000F1974">
        <w:rPr>
          <w:b/>
        </w:rPr>
        <w:t xml:space="preserve">eassignment </w:t>
      </w:r>
      <w:r w:rsidR="0075667D">
        <w:rPr>
          <w:b/>
        </w:rPr>
        <w:t>o</w:t>
      </w:r>
      <w:r w:rsidR="0041407F" w:rsidRPr="000F1974">
        <w:rPr>
          <w:b/>
        </w:rPr>
        <w:t>bligation</w:t>
      </w:r>
    </w:p>
    <w:p w:rsidR="007302C0" w:rsidRPr="000F1974" w:rsidRDefault="0084563B" w:rsidP="007302C0">
      <w:pPr>
        <w:spacing w:line="480" w:lineRule="auto"/>
        <w:ind w:firstLine="720"/>
      </w:pPr>
      <w:r w:rsidRPr="000F1974">
        <w:t xml:space="preserve">The Fourth Circuit has not </w:t>
      </w:r>
      <w:r w:rsidR="0093314D" w:rsidRPr="000F1974">
        <w:t>answered</w:t>
      </w:r>
      <w:r w:rsidRPr="000F1974">
        <w:t xml:space="preserve"> the question </w:t>
      </w:r>
      <w:r w:rsidR="00A110A5" w:rsidRPr="000F1974">
        <w:t xml:space="preserve">of </w:t>
      </w:r>
      <w:r w:rsidR="00BF73E0" w:rsidRPr="000F1974">
        <w:t>when</w:t>
      </w:r>
      <w:r w:rsidRPr="000F1974">
        <w:t xml:space="preserve"> the ADA</w:t>
      </w:r>
      <w:r w:rsidR="00D95B65" w:rsidRPr="000F1974">
        <w:t xml:space="preserve"> </w:t>
      </w:r>
      <w:r w:rsidR="00BF73E0" w:rsidRPr="000F1974">
        <w:t>requires</w:t>
      </w:r>
      <w:r w:rsidRPr="000F1974">
        <w:t xml:space="preserve"> reassig</w:t>
      </w:r>
      <w:r w:rsidR="00D95B65" w:rsidRPr="000F1974">
        <w:t>nment</w:t>
      </w:r>
      <w:r w:rsidR="00A110A5" w:rsidRPr="000F1974">
        <w:t>, but the court has</w:t>
      </w:r>
      <w:r w:rsidR="002529C0" w:rsidRPr="000F1974">
        <w:t xml:space="preserve"> repeatedly</w:t>
      </w:r>
      <w:r w:rsidR="00A110A5" w:rsidRPr="000F1974">
        <w:t xml:space="preserve"> </w:t>
      </w:r>
      <w:r w:rsidR="001E40F6" w:rsidRPr="000F1974">
        <w:t xml:space="preserve">recognized the reassignment obligation.  In </w:t>
      </w:r>
      <w:r w:rsidR="004C6039">
        <w:rPr>
          <w:i/>
        </w:rPr>
        <w:t>EEOC</w:t>
      </w:r>
      <w:r w:rsidR="00A110A5" w:rsidRPr="000F1974">
        <w:rPr>
          <w:i/>
        </w:rPr>
        <w:t xml:space="preserve"> v. Stowe-Pharr Mills, Inc.</w:t>
      </w:r>
      <w:r w:rsidR="00A110A5" w:rsidRPr="000F1974">
        <w:t>, 216 F.3d 373 (4th Cir. 2000)</w:t>
      </w:r>
      <w:r w:rsidR="001E40F6" w:rsidRPr="000F1974">
        <w:t xml:space="preserve">, the court reversed a district court’s grant of </w:t>
      </w:r>
      <w:r w:rsidR="00A110A5" w:rsidRPr="000F1974">
        <w:t xml:space="preserve">summary judgment to </w:t>
      </w:r>
      <w:r w:rsidR="001E40F6" w:rsidRPr="000F1974">
        <w:t xml:space="preserve">an </w:t>
      </w:r>
      <w:r w:rsidR="00A110A5" w:rsidRPr="000F1974">
        <w:t xml:space="preserve">employer </w:t>
      </w:r>
      <w:r w:rsidR="001E40F6" w:rsidRPr="000F1974">
        <w:t>on the grounds</w:t>
      </w:r>
      <w:r w:rsidR="002529C0" w:rsidRPr="000F1974">
        <w:t xml:space="preserve"> that</w:t>
      </w:r>
      <w:r w:rsidR="001E40F6" w:rsidRPr="000F1974">
        <w:t xml:space="preserve"> the</w:t>
      </w:r>
      <w:r w:rsidR="00A110A5" w:rsidRPr="000F1974">
        <w:t xml:space="preserve"> EEOC </w:t>
      </w:r>
      <w:r w:rsidR="001E40F6" w:rsidRPr="000F1974">
        <w:t xml:space="preserve">had </w:t>
      </w:r>
      <w:r w:rsidR="00A110A5" w:rsidRPr="000F1974">
        <w:t xml:space="preserve">presented “evidence . . . that [the </w:t>
      </w:r>
      <w:r w:rsidR="00A110A5" w:rsidRPr="000F1974">
        <w:lastRenderedPageBreak/>
        <w:t>plaintiff] was able to work with reasonable accommodation, that is, [via a transfer from a concrete-floored plant to] a wooden-floored plant</w:t>
      </w:r>
      <w:r w:rsidR="001E40F6" w:rsidRPr="000F1974">
        <w:t>.</w:t>
      </w:r>
      <w:r w:rsidR="00A110A5" w:rsidRPr="000F1974">
        <w:t>”</w:t>
      </w:r>
      <w:r w:rsidR="002529C0" w:rsidRPr="000F1974">
        <w:t xml:space="preserve">  </w:t>
      </w:r>
      <w:r w:rsidR="002529C0" w:rsidRPr="000F1974">
        <w:rPr>
          <w:i/>
        </w:rPr>
        <w:t>Id.</w:t>
      </w:r>
      <w:r w:rsidR="002529C0" w:rsidRPr="000F1974">
        <w:t xml:space="preserve"> at 380.</w:t>
      </w:r>
      <w:r w:rsidR="001E40F6" w:rsidRPr="000F1974">
        <w:rPr>
          <w:rStyle w:val="FootnoteReference"/>
        </w:rPr>
        <w:footnoteReference w:id="6"/>
      </w:r>
      <w:r w:rsidR="001E40F6" w:rsidRPr="000F1974">
        <w:t xml:space="preserve">  </w:t>
      </w:r>
      <w:r w:rsidR="002529C0" w:rsidRPr="000F1974">
        <w:t xml:space="preserve">In </w:t>
      </w:r>
      <w:r w:rsidR="00A110A5" w:rsidRPr="000F1974">
        <w:rPr>
          <w:i/>
        </w:rPr>
        <w:t>Craddock v. Lincoln Nat</w:t>
      </w:r>
      <w:r w:rsidR="002529C0" w:rsidRPr="000F1974">
        <w:rPr>
          <w:i/>
        </w:rPr>
        <w:t>ional Life Insurance</w:t>
      </w:r>
      <w:r w:rsidR="00A110A5" w:rsidRPr="000F1974">
        <w:rPr>
          <w:i/>
        </w:rPr>
        <w:t xml:space="preserve"> Co.</w:t>
      </w:r>
      <w:r w:rsidR="00A110A5" w:rsidRPr="000F1974">
        <w:t>, 533 F. App’x 333 (4th Cir. 2013)</w:t>
      </w:r>
      <w:r w:rsidR="00364DBD" w:rsidRPr="000F1974">
        <w:t xml:space="preserve"> (unpublished),</w:t>
      </w:r>
      <w:r w:rsidR="002529C0" w:rsidRPr="000F1974">
        <w:t xml:space="preserve"> the court reversed the dismissal of a complaint in which the employee alleged </w:t>
      </w:r>
      <w:r w:rsidR="00E81231" w:rsidRPr="000F1974">
        <w:t xml:space="preserve">that </w:t>
      </w:r>
      <w:r w:rsidR="002529C0" w:rsidRPr="000F1974">
        <w:t xml:space="preserve">she was qualified for vacant </w:t>
      </w:r>
      <w:r w:rsidR="00364DBD" w:rsidRPr="000F1974">
        <w:t>positions</w:t>
      </w:r>
      <w:r w:rsidR="002529C0" w:rsidRPr="000F1974">
        <w:t>.</w:t>
      </w:r>
      <w:r w:rsidR="0084451B">
        <w:t xml:space="preserve"> </w:t>
      </w:r>
      <w:r w:rsidR="002529C0" w:rsidRPr="000F1974">
        <w:t xml:space="preserve"> The court noted that “[t]</w:t>
      </w:r>
      <w:r w:rsidR="00A110A5" w:rsidRPr="000F1974">
        <w:t>he ADA expressly recognizes ‘re</w:t>
      </w:r>
      <w:r w:rsidR="004C304F" w:rsidRPr="000F1974">
        <w:t>assignment to a vacant position’</w:t>
      </w:r>
      <w:r w:rsidR="00A110A5" w:rsidRPr="000F1974">
        <w:t xml:space="preserve"> as a reasonable accommodation.’”</w:t>
      </w:r>
      <w:r w:rsidR="002529C0" w:rsidRPr="000F1974">
        <w:t xml:space="preserve">  </w:t>
      </w:r>
      <w:r w:rsidR="002529C0" w:rsidRPr="000F1974">
        <w:rPr>
          <w:i/>
        </w:rPr>
        <w:t>Id.</w:t>
      </w:r>
      <w:r w:rsidR="002529C0" w:rsidRPr="000F1974">
        <w:t xml:space="preserve"> at 337.</w:t>
      </w:r>
    </w:p>
    <w:p w:rsidR="00A110A5" w:rsidRPr="000F1974" w:rsidRDefault="00BF73E0" w:rsidP="007302C0">
      <w:pPr>
        <w:spacing w:line="480" w:lineRule="auto"/>
        <w:ind w:firstLine="720"/>
      </w:pPr>
      <w:r w:rsidRPr="000F1974">
        <w:t>Although</w:t>
      </w:r>
      <w:r w:rsidR="007302C0" w:rsidRPr="000F1974">
        <w:t xml:space="preserve"> </w:t>
      </w:r>
      <w:r w:rsidR="00C16596" w:rsidRPr="000F1974">
        <w:t xml:space="preserve">the Fourth Circuit </w:t>
      </w:r>
      <w:r w:rsidRPr="000F1974">
        <w:t>once</w:t>
      </w:r>
      <w:r w:rsidR="00C16596" w:rsidRPr="000F1974">
        <w:t xml:space="preserve">, in dicta, suggested that “the duty of reasonable accommodation does not encompass a responsibility to provide a disabled employee with alternative employment when the employee is unable to meet the </w:t>
      </w:r>
      <w:r w:rsidR="00A110A5" w:rsidRPr="000F1974">
        <w:t>demands of his present position,</w:t>
      </w:r>
      <w:r w:rsidR="00364DBD" w:rsidRPr="000F1974">
        <w:t xml:space="preserve">” </w:t>
      </w:r>
      <w:r w:rsidR="00C16596" w:rsidRPr="000F1974">
        <w:rPr>
          <w:i/>
        </w:rPr>
        <w:t>Myers v. Hose</w:t>
      </w:r>
      <w:r w:rsidR="00C16596" w:rsidRPr="000F1974">
        <w:t>, 50 F.3d 278, 284 (4th Cir. 1995)</w:t>
      </w:r>
      <w:r w:rsidR="00C16596" w:rsidRPr="000F1974">
        <w:rPr>
          <w:i/>
        </w:rPr>
        <w:t xml:space="preserve"> </w:t>
      </w:r>
      <w:r w:rsidR="00C16596" w:rsidRPr="000F1974">
        <w:t xml:space="preserve">(citing </w:t>
      </w:r>
      <w:r w:rsidR="00C16596" w:rsidRPr="000F1974">
        <w:rPr>
          <w:i/>
        </w:rPr>
        <w:t>Guillot v. Garrett</w:t>
      </w:r>
      <w:r w:rsidR="00C16596" w:rsidRPr="000F1974">
        <w:t>, 970 F</w:t>
      </w:r>
      <w:r w:rsidR="00A110A5" w:rsidRPr="000F1974">
        <w:t>.2d 1320, 1326 (4th Cir. 1992))</w:t>
      </w:r>
      <w:r w:rsidRPr="000F1974">
        <w:t xml:space="preserve">, </w:t>
      </w:r>
      <w:r w:rsidR="00A110A5" w:rsidRPr="000F1974">
        <w:t xml:space="preserve">the </w:t>
      </w:r>
      <w:r w:rsidR="00F46B4C" w:rsidRPr="000F1974">
        <w:t>court</w:t>
      </w:r>
      <w:r w:rsidR="00A110A5" w:rsidRPr="000F1974">
        <w:t xml:space="preserve"> </w:t>
      </w:r>
      <w:r w:rsidR="00AD0904" w:rsidRPr="000F1974">
        <w:t>later</w:t>
      </w:r>
      <w:r w:rsidR="00A110A5" w:rsidRPr="000F1974">
        <w:t xml:space="preserve"> </w:t>
      </w:r>
      <w:r w:rsidR="00AD0904" w:rsidRPr="000F1974">
        <w:t>explicitly</w:t>
      </w:r>
      <w:r w:rsidR="00A110A5" w:rsidRPr="000F1974">
        <w:t xml:space="preserve"> advised district courts to reject</w:t>
      </w:r>
      <w:r w:rsidR="00F46B4C" w:rsidRPr="000F1974">
        <w:t xml:space="preserve"> this non-precedential language, as discussed below. </w:t>
      </w:r>
      <w:r w:rsidRPr="000F1974">
        <w:t xml:space="preserve"> </w:t>
      </w:r>
      <w:r w:rsidR="00F46B4C" w:rsidRPr="000F1974">
        <w:rPr>
          <w:i/>
        </w:rPr>
        <w:t>See</w:t>
      </w:r>
      <w:r w:rsidR="0055726D" w:rsidRPr="000F1974">
        <w:rPr>
          <w:i/>
        </w:rPr>
        <w:t xml:space="preserve"> Williams v. Channel Master Satellite Sys., Inc.</w:t>
      </w:r>
      <w:r w:rsidR="0055726D" w:rsidRPr="000F1974">
        <w:t>, 101 F.3d 346, 350 &amp; n.4 (4th Cir. 1996),</w:t>
      </w:r>
      <w:r w:rsidR="0055726D" w:rsidRPr="000F1974">
        <w:rPr>
          <w:i/>
        </w:rPr>
        <w:t xml:space="preserve"> abrogation on other grounds recognized by Young v. United Parcel Serv., Inc.</w:t>
      </w:r>
      <w:r w:rsidR="0055726D" w:rsidRPr="000F1974">
        <w:t>, 784 F.3d 192, 350 &amp; n.4 (4th Cir. 2013)</w:t>
      </w:r>
      <w:r w:rsidR="006617F7" w:rsidRPr="000F1974">
        <w:t>;</w:t>
      </w:r>
      <w:r w:rsidR="00F1742D" w:rsidRPr="000F1974">
        <w:t xml:space="preserve"> </w:t>
      </w:r>
      <w:r w:rsidR="00F1742D" w:rsidRPr="000F1974">
        <w:rPr>
          <w:i/>
        </w:rPr>
        <w:t>Petty v. Freightliner Corp.</w:t>
      </w:r>
      <w:r w:rsidR="00F1742D" w:rsidRPr="000F1974">
        <w:t xml:space="preserve">, 123 F. Supp. 2d 979, 984 (W.D.N.C. 2000) (“[A]lthough the Circuit has not expressly overruled </w:t>
      </w:r>
      <w:r w:rsidR="00F1742D" w:rsidRPr="000F1974">
        <w:rPr>
          <w:i/>
        </w:rPr>
        <w:t>Myers</w:t>
      </w:r>
      <w:r w:rsidR="00F1742D" w:rsidRPr="000F1974">
        <w:t xml:space="preserve">, it has </w:t>
      </w:r>
      <w:r w:rsidR="00F46B4C" w:rsidRPr="000F1974">
        <w:t>[]</w:t>
      </w:r>
      <w:r w:rsidR="00F1742D" w:rsidRPr="000F1974">
        <w:t xml:space="preserve"> recognized the preference for reassignment as a reasonable accommodation found in 29 C.F.R. § 1630.2(o)(2)(ii).”</w:t>
      </w:r>
      <w:r w:rsidR="007250F7" w:rsidRPr="000F1974">
        <w:t xml:space="preserve"> (citing </w:t>
      </w:r>
      <w:r w:rsidR="007250F7" w:rsidRPr="000F1974">
        <w:rPr>
          <w:i/>
        </w:rPr>
        <w:t>Stowe–Pharr Mills, Inc.</w:t>
      </w:r>
      <w:r w:rsidR="007250F7" w:rsidRPr="000F1974">
        <w:t>, 216 F.3d at 377)</w:t>
      </w:r>
      <w:r w:rsidR="00F1742D" w:rsidRPr="000F1974">
        <w:t>)</w:t>
      </w:r>
      <w:r w:rsidR="00AD0904" w:rsidRPr="000F1974">
        <w:t xml:space="preserve">.  Additionally, intervening Supreme Court precedent requires this Court to reject </w:t>
      </w:r>
      <w:r w:rsidR="00F46B4C" w:rsidRPr="000F1974">
        <w:rPr>
          <w:i/>
        </w:rPr>
        <w:t>Myers</w:t>
      </w:r>
      <w:r w:rsidR="00F46B4C" w:rsidRPr="000F1974">
        <w:t xml:space="preserve">, most circuits have rejected </w:t>
      </w:r>
      <w:r w:rsidR="00F46B4C" w:rsidRPr="000F1974">
        <w:rPr>
          <w:i/>
        </w:rPr>
        <w:t>Myers</w:t>
      </w:r>
      <w:r w:rsidR="00F46B4C" w:rsidRPr="000F1974">
        <w:t>’ approach</w:t>
      </w:r>
      <w:r w:rsidR="00AD0904" w:rsidRPr="000F1974">
        <w:t xml:space="preserve">, and </w:t>
      </w:r>
      <w:r w:rsidR="00F46B4C" w:rsidRPr="000F1974">
        <w:rPr>
          <w:i/>
        </w:rPr>
        <w:t>Myers</w:t>
      </w:r>
      <w:r w:rsidR="00AD0904" w:rsidRPr="000F1974">
        <w:t xml:space="preserve"> reflects a legal error.</w:t>
      </w:r>
    </w:p>
    <w:p w:rsidR="00F1742D" w:rsidRPr="000F1974" w:rsidRDefault="00D12CD6" w:rsidP="007302C0">
      <w:pPr>
        <w:spacing w:line="480" w:lineRule="auto"/>
        <w:ind w:firstLine="720"/>
      </w:pPr>
      <w:r w:rsidRPr="000F1974">
        <w:t xml:space="preserve">While Defendant may argue otherwise, </w:t>
      </w:r>
      <w:r w:rsidR="00C16596" w:rsidRPr="000F1974">
        <w:rPr>
          <w:i/>
        </w:rPr>
        <w:t>Myers</w:t>
      </w:r>
      <w:r w:rsidR="00641FC4" w:rsidRPr="000F1974">
        <w:t xml:space="preserve"> was not about reassignment.  Rather, </w:t>
      </w:r>
      <w:r w:rsidR="007302C0" w:rsidRPr="000F1974">
        <w:t>the plaintiff</w:t>
      </w:r>
      <w:r w:rsidR="00641FC4" w:rsidRPr="000F1974">
        <w:t xml:space="preserve"> in that case</w:t>
      </w:r>
      <w:r w:rsidR="007302C0" w:rsidRPr="000F1974">
        <w:t xml:space="preserve">, whose disabilities prevented him from continuing to work as a bus driver, sought </w:t>
      </w:r>
      <w:r w:rsidR="00641FC4" w:rsidRPr="000F1974">
        <w:t>indefinite leave as an accommodation under the ADA</w:t>
      </w:r>
      <w:r w:rsidR="007302C0" w:rsidRPr="000F1974">
        <w:t xml:space="preserve">.  </w:t>
      </w:r>
      <w:r w:rsidR="00081E53" w:rsidRPr="000F1974">
        <w:rPr>
          <w:i/>
        </w:rPr>
        <w:t>Myers</w:t>
      </w:r>
      <w:r w:rsidR="00081E53" w:rsidRPr="000F1974">
        <w:t xml:space="preserve">, 50 F.3d at </w:t>
      </w:r>
      <w:r w:rsidR="007302C0" w:rsidRPr="000F1974">
        <w:t xml:space="preserve">280−81.  The </w:t>
      </w:r>
      <w:r w:rsidR="007302C0" w:rsidRPr="000F1974">
        <w:lastRenderedPageBreak/>
        <w:t xml:space="preserve">Fourth Circuit held that “reasonable accommodation does not require [an employer] to wait indefinitely for [a plaintiff’s] medical conditions to be corrected, especially in light of the uncertainty of cure.”  </w:t>
      </w:r>
      <w:r w:rsidR="007302C0" w:rsidRPr="000F1974">
        <w:rPr>
          <w:i/>
        </w:rPr>
        <w:t>Id.</w:t>
      </w:r>
      <w:r w:rsidR="007302C0" w:rsidRPr="000F1974">
        <w:t xml:space="preserve"> at 283.  </w:t>
      </w:r>
      <w:r w:rsidR="00F1742D" w:rsidRPr="000F1974">
        <w:t>T</w:t>
      </w:r>
      <w:r w:rsidR="00C16596" w:rsidRPr="000F1974">
        <w:t>he c</w:t>
      </w:r>
      <w:r w:rsidR="007302C0" w:rsidRPr="000F1974">
        <w:t>ourt rejected the plaintiff’s argumen</w:t>
      </w:r>
      <w:r w:rsidR="00951A16" w:rsidRPr="000F1974">
        <w:t>t that he was entitled to indefinite leave</w:t>
      </w:r>
      <w:r w:rsidR="007302C0" w:rsidRPr="000F1974">
        <w:t xml:space="preserve"> under the ADA because his employer’s</w:t>
      </w:r>
      <w:r w:rsidR="00951A16" w:rsidRPr="000F1974">
        <w:t xml:space="preserve"> policies allowed for unlimited leave</w:t>
      </w:r>
      <w:r w:rsidR="007302C0" w:rsidRPr="000F1974">
        <w:t xml:space="preserve">.  The </w:t>
      </w:r>
      <w:r w:rsidR="00F46B4C" w:rsidRPr="000F1974">
        <w:t>c</w:t>
      </w:r>
      <w:r w:rsidR="007302C0" w:rsidRPr="000F1974">
        <w:t xml:space="preserve">ourt explained that “[a] particular accommodation is not necessarily reasonable, and thus federally mandated, simply because the [employer] elects to establish it as a matter of policy.”  </w:t>
      </w:r>
      <w:r w:rsidR="007302C0" w:rsidRPr="000F1974">
        <w:rPr>
          <w:i/>
        </w:rPr>
        <w:t>Id.</w:t>
      </w:r>
      <w:r w:rsidR="007302C0" w:rsidRPr="000F1974">
        <w:t xml:space="preserve"> at 284.  </w:t>
      </w:r>
    </w:p>
    <w:p w:rsidR="00641FC4" w:rsidRPr="000F1974" w:rsidRDefault="007302C0" w:rsidP="00F1742D">
      <w:pPr>
        <w:spacing w:line="480" w:lineRule="auto"/>
        <w:ind w:firstLine="720"/>
      </w:pPr>
      <w:r w:rsidRPr="000F1974">
        <w:t xml:space="preserve">To “illustrate” that point, the </w:t>
      </w:r>
      <w:r w:rsidR="00F46B4C" w:rsidRPr="000F1974">
        <w:t>c</w:t>
      </w:r>
      <w:r w:rsidRPr="000F1974">
        <w:t xml:space="preserve">ourt </w:t>
      </w:r>
      <w:r w:rsidR="00641FC4" w:rsidRPr="000F1974">
        <w:t>observed</w:t>
      </w:r>
      <w:r w:rsidRPr="000F1974">
        <w:t xml:space="preserve"> that the employer’s policies “also require</w:t>
      </w:r>
      <w:r w:rsidR="00641FC4" w:rsidRPr="000F1974">
        <w:t>[d]</w:t>
      </w:r>
      <w:r w:rsidRPr="000F1974">
        <w:t xml:space="preserve"> a disabled employee’s supervisor to ‘attempt to place the employee in another po</w:t>
      </w:r>
      <w:r w:rsidR="00C16596" w:rsidRPr="000F1974">
        <w:t>sition which he/she can perform,</w:t>
      </w:r>
      <w:r w:rsidRPr="000F1974">
        <w:t xml:space="preserve">’” </w:t>
      </w:r>
      <w:r w:rsidR="00641FC4" w:rsidRPr="000F1974">
        <w:rPr>
          <w:i/>
        </w:rPr>
        <w:t>i</w:t>
      </w:r>
      <w:r w:rsidRPr="000F1974">
        <w:rPr>
          <w:i/>
        </w:rPr>
        <w:t>d.</w:t>
      </w:r>
      <w:r w:rsidR="00C16596" w:rsidRPr="000F1974">
        <w:t xml:space="preserve">, </w:t>
      </w:r>
      <w:r w:rsidR="00641FC4" w:rsidRPr="000F1974">
        <w:t>even though</w:t>
      </w:r>
      <w:r w:rsidR="00C16596" w:rsidRPr="000F1974">
        <w:t xml:space="preserve"> the Fourth Circuit had held, in a Rehabilitation Act case, that “the duty of reasonable accommodation does not encompass a responsibility to provide a disabled employee with alternative employment when the employee is unable to meet the demands of his present position.”  </w:t>
      </w:r>
      <w:r w:rsidR="00C16596" w:rsidRPr="000F1974">
        <w:rPr>
          <w:i/>
        </w:rPr>
        <w:t>Id.</w:t>
      </w:r>
      <w:r w:rsidR="00543644" w:rsidRPr="000F1974">
        <w:rPr>
          <w:rStyle w:val="FootnoteReference"/>
        </w:rPr>
        <w:footnoteReference w:id="7"/>
      </w:r>
      <w:r w:rsidR="00F1742D" w:rsidRPr="000F1974">
        <w:t xml:space="preserve">  </w:t>
      </w:r>
      <w:r w:rsidR="00C16596" w:rsidRPr="000F1974">
        <w:t>Th</w:t>
      </w:r>
      <w:r w:rsidR="00BF73E0" w:rsidRPr="000F1974">
        <w:t>e reassignment</w:t>
      </w:r>
      <w:r w:rsidR="00C16596" w:rsidRPr="000F1974">
        <w:t xml:space="preserve"> </w:t>
      </w:r>
      <w:r w:rsidR="00641FC4" w:rsidRPr="000F1974">
        <w:t>language</w:t>
      </w:r>
      <w:r w:rsidR="00BF73E0" w:rsidRPr="000F1974">
        <w:t xml:space="preserve"> from </w:t>
      </w:r>
      <w:r w:rsidR="00BF73E0" w:rsidRPr="000F1974">
        <w:rPr>
          <w:i/>
        </w:rPr>
        <w:t>Myers</w:t>
      </w:r>
      <w:r w:rsidR="00C16596" w:rsidRPr="000F1974">
        <w:t xml:space="preserve"> </w:t>
      </w:r>
      <w:r w:rsidR="00641FC4" w:rsidRPr="000F1974">
        <w:t>is non-precedential dicta</w:t>
      </w:r>
      <w:r w:rsidR="00C16596" w:rsidRPr="000F1974">
        <w:t xml:space="preserve">, because the Court used the reassignment example merely to “illustrate” the uncontroversial point that an employer’s internal policies do not create federal employment law obligations.  </w:t>
      </w:r>
      <w:r w:rsidR="00C16596" w:rsidRPr="000F1974">
        <w:rPr>
          <w:i/>
        </w:rPr>
        <w:t>See Hernandez v. Caldwell</w:t>
      </w:r>
      <w:r w:rsidR="00C16596" w:rsidRPr="000F1974">
        <w:t xml:space="preserve">, 225 F.3d 435, 439 (4th Cir. 2000) (passage “best characterized as an </w:t>
      </w:r>
      <w:r w:rsidR="00C16596" w:rsidRPr="000F1974">
        <w:rPr>
          <w:i/>
        </w:rPr>
        <w:t>illustration</w:t>
      </w:r>
      <w:r w:rsidR="00C16596" w:rsidRPr="000F1974">
        <w:t xml:space="preserve"> of [a] rule rather than a statement of the rule itself” is “dictum and does not control the outcome” of a case) (emphasis added) (citing </w:t>
      </w:r>
      <w:r w:rsidR="00C16596" w:rsidRPr="00953F44">
        <w:rPr>
          <w:i/>
        </w:rPr>
        <w:t>Black’s Law Dictionary</w:t>
      </w:r>
      <w:r w:rsidR="00C16596" w:rsidRPr="000F1974">
        <w:t xml:space="preserve"> 465 (7th ed. 1999)).</w:t>
      </w:r>
    </w:p>
    <w:p w:rsidR="00246F8C" w:rsidRPr="000F1974" w:rsidRDefault="004019C2" w:rsidP="00246F8C">
      <w:pPr>
        <w:spacing w:line="480" w:lineRule="auto"/>
        <w:ind w:firstLine="720"/>
      </w:pPr>
      <w:r w:rsidRPr="000F1974">
        <w:lastRenderedPageBreak/>
        <w:t xml:space="preserve">The Fourth Circuit has </w:t>
      </w:r>
      <w:r w:rsidR="00DF4443" w:rsidRPr="000F1974">
        <w:t xml:space="preserve">expressly </w:t>
      </w:r>
      <w:r w:rsidRPr="000F1974">
        <w:t xml:space="preserve">instructed district courts to </w:t>
      </w:r>
      <w:r w:rsidR="00F1742D" w:rsidRPr="000F1974">
        <w:t>reject</w:t>
      </w:r>
      <w:r w:rsidRPr="000F1974">
        <w:t xml:space="preserve"> </w:t>
      </w:r>
      <w:r w:rsidR="00F46B4C" w:rsidRPr="000F1974">
        <w:rPr>
          <w:i/>
        </w:rPr>
        <w:t>Myers</w:t>
      </w:r>
      <w:r w:rsidR="00F46B4C" w:rsidRPr="000F1974">
        <w:t>’ reassignment</w:t>
      </w:r>
      <w:r w:rsidR="008B0867" w:rsidRPr="000F1974">
        <w:t xml:space="preserve"> dicta</w:t>
      </w:r>
      <w:r w:rsidRPr="000F1974">
        <w:t xml:space="preserve">.  </w:t>
      </w:r>
      <w:r w:rsidR="00243331" w:rsidRPr="000F1974">
        <w:t xml:space="preserve">In </w:t>
      </w:r>
      <w:r w:rsidR="00243331" w:rsidRPr="000F1974">
        <w:rPr>
          <w:i/>
        </w:rPr>
        <w:t>Williams</w:t>
      </w:r>
      <w:r w:rsidR="00243331" w:rsidRPr="000F1974">
        <w:t>, t</w:t>
      </w:r>
      <w:r w:rsidRPr="000F1974">
        <w:t xml:space="preserve">he Fourth Circuit rejected </w:t>
      </w:r>
      <w:r w:rsidR="00F1742D" w:rsidRPr="000F1974">
        <w:t>the district court’s</w:t>
      </w:r>
      <w:r w:rsidRPr="000F1974">
        <w:t xml:space="preserve"> </w:t>
      </w:r>
      <w:r w:rsidR="00F1742D" w:rsidRPr="000F1974">
        <w:t xml:space="preserve">reliance on </w:t>
      </w:r>
      <w:r w:rsidR="00F1742D" w:rsidRPr="000F1974">
        <w:rPr>
          <w:i/>
        </w:rPr>
        <w:t>Myers</w:t>
      </w:r>
      <w:r w:rsidRPr="000F1974">
        <w:t>,</w:t>
      </w:r>
      <w:r w:rsidR="008B0867" w:rsidRPr="000F1974">
        <w:t xml:space="preserve"> explaining that “the district court [] erred in suggesting that a qualified ADA plaintiff can never rely on reassignment to a vacant position as a reasonable accommodation.”  </w:t>
      </w:r>
      <w:r w:rsidR="00953F44" w:rsidRPr="000F1974">
        <w:t xml:space="preserve">101 F.3d </w:t>
      </w:r>
      <w:r w:rsidR="001F2247" w:rsidRPr="000F1974">
        <w:t>at</w:t>
      </w:r>
      <w:r w:rsidR="008B0867" w:rsidRPr="000F1974">
        <w:t xml:space="preserve"> 350</w:t>
      </w:r>
      <w:r w:rsidR="00B204BD" w:rsidRPr="000F1974">
        <w:t xml:space="preserve"> (emphasis removed)</w:t>
      </w:r>
      <w:r w:rsidR="001F2247" w:rsidRPr="000F1974">
        <w:t>.</w:t>
      </w:r>
      <w:r w:rsidR="00B204BD" w:rsidRPr="000F1974">
        <w:t xml:space="preserve">  </w:t>
      </w:r>
      <w:r w:rsidR="008B0867" w:rsidRPr="000F1974">
        <w:t xml:space="preserve">The </w:t>
      </w:r>
      <w:r w:rsidR="00AD0904" w:rsidRPr="000F1974">
        <w:t>court went on to explain</w:t>
      </w:r>
      <w:r w:rsidR="008B0867" w:rsidRPr="000F1974">
        <w:t xml:space="preserve"> that the ADA specifically lists “reassignment to a vacant position” as a f</w:t>
      </w:r>
      <w:r w:rsidR="00C953B5" w:rsidRPr="000F1974">
        <w:t>orm of reasonable accommodation</w:t>
      </w:r>
      <w:r w:rsidR="00F1742D" w:rsidRPr="000F1974">
        <w:t>, so</w:t>
      </w:r>
      <w:r w:rsidR="008B0867" w:rsidRPr="000F1974">
        <w:t xml:space="preserve"> “obviously Congress considered these types of accommodations to be reasonable.”  </w:t>
      </w:r>
      <w:r w:rsidR="008B0867" w:rsidRPr="000F1974">
        <w:rPr>
          <w:i/>
        </w:rPr>
        <w:t>Id.</w:t>
      </w:r>
      <w:r w:rsidR="008B0867" w:rsidRPr="000F1974">
        <w:t xml:space="preserve">  </w:t>
      </w:r>
      <w:r w:rsidR="00F1742D" w:rsidRPr="000F1974">
        <w:t>Th</w:t>
      </w:r>
      <w:r w:rsidR="008B0867" w:rsidRPr="000F1974">
        <w:t xml:space="preserve">e court </w:t>
      </w:r>
      <w:r w:rsidR="00AD0904" w:rsidRPr="000F1974">
        <w:t>reasoned</w:t>
      </w:r>
      <w:r w:rsidR="007302C0" w:rsidRPr="000F1974">
        <w:t xml:space="preserve"> that </w:t>
      </w:r>
      <w:r w:rsidR="00BE2502" w:rsidRPr="000F1974">
        <w:rPr>
          <w:i/>
        </w:rPr>
        <w:t>Myers</w:t>
      </w:r>
      <w:r w:rsidR="00BE2502" w:rsidRPr="000F1974">
        <w:t>’</w:t>
      </w:r>
      <w:r w:rsidR="00641FC4" w:rsidRPr="000F1974">
        <w:t xml:space="preserve"> discussion of reassignment</w:t>
      </w:r>
      <w:r w:rsidR="007302C0" w:rsidRPr="000F1974">
        <w:t xml:space="preserve"> </w:t>
      </w:r>
      <w:r w:rsidR="00441928" w:rsidRPr="000F1974">
        <w:t>establishes</w:t>
      </w:r>
      <w:r w:rsidR="007302C0" w:rsidRPr="000F1974">
        <w:t xml:space="preserve"> “</w:t>
      </w:r>
      <w:r w:rsidR="007302C0" w:rsidRPr="000F1974">
        <w:rPr>
          <w:i/>
        </w:rPr>
        <w:t>only</w:t>
      </w:r>
      <w:r w:rsidR="007302C0" w:rsidRPr="000F1974">
        <w:t xml:space="preserve"> that a particular accommodation does not become federally mandated merely because an employer ‘elects to establ</w:t>
      </w:r>
      <w:r w:rsidRPr="000F1974">
        <w:t>ish it as a matter of policy.’</w:t>
      </w:r>
      <w:r w:rsidR="007302C0" w:rsidRPr="000F1974">
        <w:t xml:space="preserve">” </w:t>
      </w:r>
      <w:r w:rsidR="00F1742D" w:rsidRPr="000F1974">
        <w:rPr>
          <w:i/>
        </w:rPr>
        <w:t>Id.</w:t>
      </w:r>
      <w:r w:rsidR="00F1742D" w:rsidRPr="000F1974">
        <w:t xml:space="preserve"> at</w:t>
      </w:r>
      <w:r w:rsidRPr="000F1974">
        <w:t xml:space="preserve"> 350 n.4</w:t>
      </w:r>
      <w:r w:rsidR="00AD0904" w:rsidRPr="000F1974">
        <w:t xml:space="preserve"> (emphasis added)</w:t>
      </w:r>
      <w:r w:rsidRPr="000F1974">
        <w:t xml:space="preserve">.  The </w:t>
      </w:r>
      <w:r w:rsidR="008B0867" w:rsidRPr="000F1974">
        <w:t xml:space="preserve">suggestion that </w:t>
      </w:r>
      <w:r w:rsidR="007302C0" w:rsidRPr="000F1974">
        <w:t>“</w:t>
      </w:r>
      <w:r w:rsidR="00EE4563" w:rsidRPr="000F1974">
        <w:t>reassignment to a vacant position can never be a reasonable accommodation</w:t>
      </w:r>
      <w:r w:rsidR="008B0867" w:rsidRPr="000F1974">
        <w:t xml:space="preserve"> . . .</w:t>
      </w:r>
      <w:r w:rsidR="007302C0" w:rsidRPr="000F1974">
        <w:t xml:space="preserve"> is contrary to congressional direction and is in no way required by our </w:t>
      </w:r>
      <w:r w:rsidR="007302C0" w:rsidRPr="000F1974">
        <w:rPr>
          <w:i/>
        </w:rPr>
        <w:t>Myers</w:t>
      </w:r>
      <w:r w:rsidR="007302C0" w:rsidRPr="000F1974">
        <w:t xml:space="preserve"> decision.”  </w:t>
      </w:r>
      <w:r w:rsidR="007302C0" w:rsidRPr="000F1974">
        <w:rPr>
          <w:i/>
        </w:rPr>
        <w:t>Id.</w:t>
      </w:r>
      <w:r w:rsidR="00AD0904" w:rsidRPr="000F1974">
        <w:t xml:space="preserve"> (emphasis </w:t>
      </w:r>
      <w:r w:rsidR="00EE4563" w:rsidRPr="000F1974">
        <w:t>omitted</w:t>
      </w:r>
      <w:r w:rsidR="00AD0904" w:rsidRPr="000F1974">
        <w:t>).</w:t>
      </w:r>
      <w:r w:rsidR="007302C0" w:rsidRPr="000F1974">
        <w:t xml:space="preserve"> </w:t>
      </w:r>
      <w:r w:rsidR="00F1742D" w:rsidRPr="000F1974">
        <w:t xml:space="preserve"> </w:t>
      </w:r>
      <w:r w:rsidR="00F46B4C" w:rsidRPr="000F1974">
        <w:t>T</w:t>
      </w:r>
      <w:r w:rsidR="007302C0" w:rsidRPr="000F1974">
        <w:t>he Fourth Circuit has never favorably cited th</w:t>
      </w:r>
      <w:r w:rsidR="00F46B4C" w:rsidRPr="000F1974">
        <w:t>e reassignment</w:t>
      </w:r>
      <w:r w:rsidR="007302C0" w:rsidRPr="000F1974">
        <w:t xml:space="preserve"> passage from </w:t>
      </w:r>
      <w:r w:rsidR="007302C0" w:rsidRPr="000F1974">
        <w:rPr>
          <w:i/>
        </w:rPr>
        <w:t>Myers</w:t>
      </w:r>
      <w:r w:rsidR="007302C0" w:rsidRPr="000F1974">
        <w:t xml:space="preserve"> in a published case.</w:t>
      </w:r>
      <w:r w:rsidR="00246F8C" w:rsidRPr="000F1974">
        <w:t xml:space="preserve">  </w:t>
      </w:r>
      <w:r w:rsidR="00246F8C" w:rsidRPr="000F1974">
        <w:rPr>
          <w:i/>
        </w:rPr>
        <w:t>See Bratten v. SSI Servs., Inc.</w:t>
      </w:r>
      <w:r w:rsidR="00246F8C" w:rsidRPr="000F1974">
        <w:t xml:space="preserve">, 185 F.3d 625, 634 (6th Cir. 1999) (“[T]he Fourth Circuit itself has [] acknowledged its mistake . . . in </w:t>
      </w:r>
      <w:r w:rsidR="00246F8C" w:rsidRPr="000F1974">
        <w:rPr>
          <w:i/>
        </w:rPr>
        <w:t>Myers</w:t>
      </w:r>
      <w:r w:rsidR="00953F44">
        <w:t>.”</w:t>
      </w:r>
      <w:r w:rsidR="00246F8C" w:rsidRPr="000F1974">
        <w:t xml:space="preserve">) (citing </w:t>
      </w:r>
      <w:r w:rsidR="00246F8C" w:rsidRPr="000F1974">
        <w:rPr>
          <w:i/>
        </w:rPr>
        <w:t>Williams</w:t>
      </w:r>
      <w:r w:rsidR="00246F8C" w:rsidRPr="000F1974">
        <w:t>, 1</w:t>
      </w:r>
      <w:r w:rsidR="00953F44">
        <w:t>01 F.3d at 350 n.</w:t>
      </w:r>
      <w:r w:rsidR="00246F8C" w:rsidRPr="000F1974">
        <w:t>4).</w:t>
      </w:r>
    </w:p>
    <w:p w:rsidR="00AD0904" w:rsidRPr="000F1974" w:rsidRDefault="00AD0904" w:rsidP="00AD0904">
      <w:pPr>
        <w:spacing w:line="480" w:lineRule="auto"/>
        <w:ind w:firstLine="720"/>
      </w:pPr>
      <w:r w:rsidRPr="000F1974">
        <w:t xml:space="preserve">Six years later, the Supreme Court confirmed the </w:t>
      </w:r>
      <w:r w:rsidR="00DF4443" w:rsidRPr="000F1974">
        <w:t>conclusion</w:t>
      </w:r>
      <w:r w:rsidRPr="000F1974">
        <w:t xml:space="preserve"> in </w:t>
      </w:r>
      <w:r w:rsidRPr="000F1974">
        <w:rPr>
          <w:i/>
        </w:rPr>
        <w:t xml:space="preserve">Williams </w:t>
      </w:r>
      <w:r w:rsidRPr="000F1974">
        <w:t xml:space="preserve">that reassignment is ordinarily a reasonable accommodation.  In </w:t>
      </w:r>
      <w:r w:rsidRPr="000F1974">
        <w:rPr>
          <w:i/>
        </w:rPr>
        <w:t>U.S. Airways, Inc. v. Barnett</w:t>
      </w:r>
      <w:r w:rsidR="00F46B4C" w:rsidRPr="000F1974">
        <w:t xml:space="preserve">, 535 U.S. 391 (2002), </w:t>
      </w:r>
      <w:r w:rsidRPr="000F1974">
        <w:t xml:space="preserve">the Supreme Court considered whether the ADA required an employer to grant an employee’s reassignment request when the reassignment would have required the employer to depart from a well-established seniority system.  The Court concluded that an employer ordinarily would not have to depart from its seniority system to provide reassignment as an accommodation, because such a departure </w:t>
      </w:r>
      <w:r w:rsidR="00F46B4C" w:rsidRPr="000F1974">
        <w:t>generally</w:t>
      </w:r>
      <w:r w:rsidRPr="000F1974">
        <w:t xml:space="preserve"> would not be “reasonable.”  </w:t>
      </w:r>
      <w:r w:rsidRPr="000F1974">
        <w:rPr>
          <w:i/>
        </w:rPr>
        <w:t>Id.</w:t>
      </w:r>
      <w:r w:rsidRPr="000F1974">
        <w:t xml:space="preserve"> at 402−03.  The Court explained, however, that “[t]he simple fact that an accommodation [like reassignment] would provide a </w:t>
      </w:r>
      <w:r w:rsidRPr="000F1974">
        <w:lastRenderedPageBreak/>
        <w:t xml:space="preserve">‘preference’—in the sense that it would permit the worker with a disability to violate a rule that others must obey—cannot in and of itself, automatically show that the accommodation is not ‘reasonable,’” </w:t>
      </w:r>
      <w:r w:rsidRPr="000F1974">
        <w:rPr>
          <w:i/>
        </w:rPr>
        <w:t>id.</w:t>
      </w:r>
      <w:r w:rsidRPr="000F1974">
        <w:t xml:space="preserve"> at 398</w:t>
      </w:r>
      <w:r w:rsidR="00EE4563" w:rsidRPr="000F1974">
        <w:t xml:space="preserve"> (emphasis omitted)</w:t>
      </w:r>
      <w:r w:rsidRPr="000F1974">
        <w:t xml:space="preserve">, because “preferences will sometimes prove necessary to achieve the [ADA]’s basic equal opportunity goal,” </w:t>
      </w:r>
      <w:r w:rsidRPr="000F1974">
        <w:rPr>
          <w:i/>
        </w:rPr>
        <w:t>id.</w:t>
      </w:r>
      <w:r w:rsidRPr="000F1974">
        <w:t xml:space="preserve"> at 397.  </w:t>
      </w:r>
    </w:p>
    <w:p w:rsidR="008B0867" w:rsidRPr="000F1974" w:rsidRDefault="00AD0904" w:rsidP="0013020F">
      <w:pPr>
        <w:spacing w:line="480" w:lineRule="auto"/>
        <w:ind w:firstLine="720"/>
      </w:pPr>
      <w:r w:rsidRPr="000F1974">
        <w:t xml:space="preserve">The </w:t>
      </w:r>
      <w:r w:rsidR="00243331" w:rsidRPr="000F1974">
        <w:t xml:space="preserve">Supreme </w:t>
      </w:r>
      <w:r w:rsidRPr="000F1974">
        <w:t>Court introduced a two-step process for determining whether an accommodation request, including a reassignment request, is reasonable as a matter of law:  First, the plaintiff must show that her reassignment request “seems reasonable on its face,</w:t>
      </w:r>
      <w:r w:rsidRPr="000F1974">
        <w:rPr>
          <w:i/>
        </w:rPr>
        <w:t xml:space="preserve"> i.e.</w:t>
      </w:r>
      <w:r w:rsidRPr="000F1974">
        <w:t xml:space="preserve">, ordinarily or in the run of cases.”  </w:t>
      </w:r>
      <w:r w:rsidRPr="000F1974">
        <w:rPr>
          <w:i/>
        </w:rPr>
        <w:t xml:space="preserve">Id. </w:t>
      </w:r>
      <w:r w:rsidRPr="000F1974">
        <w:t xml:space="preserve">at 401.  As the Fourth Circuit noted in </w:t>
      </w:r>
      <w:r w:rsidRPr="000F1974">
        <w:rPr>
          <w:i/>
        </w:rPr>
        <w:t>Williams</w:t>
      </w:r>
      <w:r w:rsidRPr="000F1974">
        <w:t xml:space="preserve">, Congress’s inclusion of “reassignment to a vacant position” as a reasonable accommodation in the statute indicates </w:t>
      </w:r>
      <w:r w:rsidR="007D6273" w:rsidRPr="000F1974">
        <w:t xml:space="preserve">that </w:t>
      </w:r>
      <w:r w:rsidRPr="000F1974">
        <w:t xml:space="preserve">it is ordinarily reasonable.  </w:t>
      </w:r>
      <w:r w:rsidR="0013020F" w:rsidRPr="000F1974">
        <w:rPr>
          <w:i/>
        </w:rPr>
        <w:t>Williams</w:t>
      </w:r>
      <w:r w:rsidR="0013020F" w:rsidRPr="000F1974">
        <w:t>, 101 F.3d at 350.  If the plaintiff shows that her request is reasonable</w:t>
      </w:r>
      <w:r w:rsidRPr="000F1974">
        <w:t xml:space="preserve">, the burden shifts to her employer to show “special (typically case-specific) circumstances that demonstrate undue hardship in the particular circumstances” and justify a refusal to reassign.  </w:t>
      </w:r>
      <w:r w:rsidR="0013020F" w:rsidRPr="000F1974">
        <w:rPr>
          <w:i/>
        </w:rPr>
        <w:t>Barnett</w:t>
      </w:r>
      <w:r w:rsidR="0013020F" w:rsidRPr="000F1974">
        <w:t xml:space="preserve">, 535 U.S. </w:t>
      </w:r>
      <w:r w:rsidRPr="000F1974">
        <w:t xml:space="preserve">at 402.  If the employer is unable to show special circumstances, such as a seniority policy, that make reassignment unusually difficult, the plaintiff must prevail.  </w:t>
      </w:r>
      <w:r w:rsidRPr="000F1974">
        <w:rPr>
          <w:i/>
        </w:rPr>
        <w:t xml:space="preserve">See id.  </w:t>
      </w:r>
      <w:r w:rsidR="00D12CD6" w:rsidRPr="000F1974">
        <w:t>Thus, t</w:t>
      </w:r>
      <w:r w:rsidR="00243331" w:rsidRPr="000F1974">
        <w:t xml:space="preserve">he reassignment dicta in Myers is </w:t>
      </w:r>
      <w:r w:rsidRPr="000F1974">
        <w:t>irreconcilable with Supreme Court precedent.</w:t>
      </w:r>
      <w:r w:rsidR="0013020F" w:rsidRPr="000F1974">
        <w:t xml:space="preserve">  </w:t>
      </w:r>
    </w:p>
    <w:p w:rsidR="0041407F" w:rsidRPr="000F1974" w:rsidRDefault="004A7DF4" w:rsidP="004A7DF4">
      <w:pPr>
        <w:spacing w:line="480" w:lineRule="auto"/>
        <w:ind w:firstLine="720"/>
      </w:pPr>
      <w:r w:rsidRPr="000F1974">
        <w:t xml:space="preserve">Fortunately, in </w:t>
      </w:r>
      <w:r w:rsidRPr="000F1974">
        <w:rPr>
          <w:i/>
        </w:rPr>
        <w:t>Williams</w:t>
      </w:r>
      <w:r w:rsidRPr="000F1974">
        <w:t>,</w:t>
      </w:r>
      <w:r w:rsidRPr="000F1974">
        <w:rPr>
          <w:i/>
        </w:rPr>
        <w:t xml:space="preserve"> </w:t>
      </w:r>
      <w:r w:rsidRPr="000F1974">
        <w:t xml:space="preserve">“the Fourth Circuit </w:t>
      </w:r>
      <w:r w:rsidR="000521CA" w:rsidRPr="000F1974">
        <w:t xml:space="preserve">. . . </w:t>
      </w:r>
      <w:r w:rsidRPr="000F1974">
        <w:t>acknowledged its mistake”</w:t>
      </w:r>
      <w:r w:rsidR="000521CA" w:rsidRPr="000F1974">
        <w:t xml:space="preserve"> in </w:t>
      </w:r>
      <w:r w:rsidR="000521CA" w:rsidRPr="000F1974">
        <w:rPr>
          <w:i/>
        </w:rPr>
        <w:t>Myers</w:t>
      </w:r>
      <w:r w:rsidR="000521CA" w:rsidRPr="000F1974">
        <w:t>.</w:t>
      </w:r>
      <w:r w:rsidRPr="000F1974">
        <w:t xml:space="preserve">  </w:t>
      </w:r>
      <w:r w:rsidRPr="000F1974">
        <w:rPr>
          <w:i/>
        </w:rPr>
        <w:t>Bratten</w:t>
      </w:r>
      <w:r w:rsidRPr="000F1974">
        <w:t xml:space="preserve">, 185 F.3d at 634.  </w:t>
      </w:r>
      <w:r w:rsidR="00604C6D" w:rsidRPr="000F1974">
        <w:t>This Court should</w:t>
      </w:r>
      <w:r w:rsidR="00352E1A" w:rsidRPr="000F1974">
        <w:t xml:space="preserve"> follow the Fourth Circuit’s </w:t>
      </w:r>
      <w:r w:rsidR="00352E1A" w:rsidRPr="000F1974">
        <w:rPr>
          <w:i/>
        </w:rPr>
        <w:t>Williams</w:t>
      </w:r>
      <w:r w:rsidR="00352E1A" w:rsidRPr="000F1974">
        <w:t xml:space="preserve"> </w:t>
      </w:r>
      <w:r w:rsidR="000521CA" w:rsidRPr="000F1974">
        <w:t xml:space="preserve">directive </w:t>
      </w:r>
      <w:r w:rsidR="00352E1A" w:rsidRPr="000F1974">
        <w:t>and</w:t>
      </w:r>
      <w:r w:rsidR="00604C6D" w:rsidRPr="000F1974">
        <w:t xml:space="preserve"> join the other district courts in the Fourth Circuit that have </w:t>
      </w:r>
      <w:r w:rsidR="0013020F" w:rsidRPr="000F1974">
        <w:t xml:space="preserve">properly rejected or disregarded </w:t>
      </w:r>
      <w:r w:rsidR="0013020F" w:rsidRPr="000F1974">
        <w:rPr>
          <w:i/>
        </w:rPr>
        <w:t xml:space="preserve">Myers </w:t>
      </w:r>
      <w:r w:rsidR="0013020F" w:rsidRPr="000F1974">
        <w:t>to conclude</w:t>
      </w:r>
      <w:r w:rsidR="0084563B" w:rsidRPr="000F1974">
        <w:t xml:space="preserve"> that the ADA requires reassignment of </w:t>
      </w:r>
      <w:r w:rsidR="00F46B4C" w:rsidRPr="000F1974">
        <w:t xml:space="preserve">a </w:t>
      </w:r>
      <w:r w:rsidR="0084563B" w:rsidRPr="000F1974">
        <w:t>qualified employee to</w:t>
      </w:r>
      <w:r w:rsidR="00F46B4C" w:rsidRPr="000F1974">
        <w:t xml:space="preserve"> a</w:t>
      </w:r>
      <w:r w:rsidR="0084563B" w:rsidRPr="000F1974">
        <w:t xml:space="preserve"> vacant position unless the employer can show an undue hardship.  </w:t>
      </w:r>
      <w:r w:rsidR="0084563B" w:rsidRPr="000F1974">
        <w:rPr>
          <w:i/>
        </w:rPr>
        <w:t>See, e.g., Petty</w:t>
      </w:r>
      <w:r w:rsidR="0084563B" w:rsidRPr="000F1974">
        <w:t>, 123 F. Su</w:t>
      </w:r>
      <w:r w:rsidR="004A3C6D">
        <w:t>pp. 2d at 984 (“[T]he Circuit . </w:t>
      </w:r>
      <w:r w:rsidR="0084563B" w:rsidRPr="000F1974">
        <w:t xml:space="preserve">. . has recently recognized the preference for reassignment as a reasonable accommodation . . . .  [U]nder this more accommodating standard the Plaintiff has the burden of showing that reasonable </w:t>
      </w:r>
      <w:r w:rsidR="0084563B" w:rsidRPr="000F1974">
        <w:lastRenderedPageBreak/>
        <w:t xml:space="preserve">accommodations are available and that he is qualified for the position to </w:t>
      </w:r>
      <w:r w:rsidR="0041407F" w:rsidRPr="000F1974">
        <w:t>which he seeks reassignment.”)</w:t>
      </w:r>
      <w:r w:rsidR="0055726D" w:rsidRPr="000F1974">
        <w:t>.</w:t>
      </w:r>
    </w:p>
    <w:p w:rsidR="00E83863" w:rsidRPr="000F1974" w:rsidRDefault="00EF2C50" w:rsidP="00E83863">
      <w:pPr>
        <w:pStyle w:val="ListParagraph"/>
        <w:numPr>
          <w:ilvl w:val="0"/>
          <w:numId w:val="29"/>
        </w:numPr>
        <w:spacing w:line="240" w:lineRule="auto"/>
        <w:rPr>
          <w:b/>
        </w:rPr>
        <w:sectPr w:rsidR="00E83863" w:rsidRPr="000F1974" w:rsidSect="008B55A6">
          <w:footerReference w:type="default" r:id="rId9"/>
          <w:type w:val="continuous"/>
          <w:pgSz w:w="12240" w:h="15840"/>
          <w:pgMar w:top="1500" w:right="1240" w:bottom="1160" w:left="1420" w:header="0" w:footer="963" w:gutter="0"/>
          <w:pgNumType w:start="1"/>
          <w:cols w:space="720"/>
          <w:docGrid w:linePitch="326"/>
        </w:sectPr>
      </w:pPr>
      <w:r w:rsidRPr="000F1974">
        <w:rPr>
          <w:b/>
        </w:rPr>
        <w:t xml:space="preserve">Most </w:t>
      </w:r>
      <w:r w:rsidR="0075667D">
        <w:rPr>
          <w:b/>
        </w:rPr>
        <w:t>c</w:t>
      </w:r>
      <w:r w:rsidRPr="000F1974">
        <w:rPr>
          <w:b/>
        </w:rPr>
        <w:t xml:space="preserve">ircuits </w:t>
      </w:r>
      <w:r w:rsidR="0075667D">
        <w:rPr>
          <w:b/>
        </w:rPr>
        <w:t>h</w:t>
      </w:r>
      <w:r w:rsidRPr="000F1974">
        <w:rPr>
          <w:b/>
        </w:rPr>
        <w:t xml:space="preserve">ave </w:t>
      </w:r>
      <w:r w:rsidR="0075667D">
        <w:rPr>
          <w:b/>
        </w:rPr>
        <w:t>h</w:t>
      </w:r>
      <w:r w:rsidRPr="000F1974">
        <w:rPr>
          <w:b/>
        </w:rPr>
        <w:t xml:space="preserve">eld that the ADA </w:t>
      </w:r>
      <w:r w:rsidR="0075667D">
        <w:rPr>
          <w:b/>
        </w:rPr>
        <w:t>r</w:t>
      </w:r>
      <w:r w:rsidRPr="000F1974">
        <w:rPr>
          <w:b/>
        </w:rPr>
        <w:t xml:space="preserve">equires </w:t>
      </w:r>
      <w:r w:rsidR="0075667D">
        <w:rPr>
          <w:b/>
        </w:rPr>
        <w:t>r</w:t>
      </w:r>
      <w:r w:rsidRPr="000F1974">
        <w:rPr>
          <w:b/>
        </w:rPr>
        <w:t xml:space="preserve">eassignment to a </w:t>
      </w:r>
      <w:r w:rsidR="0075667D">
        <w:rPr>
          <w:b/>
        </w:rPr>
        <w:t>v</w:t>
      </w:r>
      <w:r w:rsidRPr="000F1974">
        <w:rPr>
          <w:b/>
        </w:rPr>
        <w:t xml:space="preserve">acant </w:t>
      </w:r>
      <w:r w:rsidR="0075667D">
        <w:rPr>
          <w:b/>
        </w:rPr>
        <w:t>p</w:t>
      </w:r>
      <w:r w:rsidRPr="000F1974">
        <w:rPr>
          <w:b/>
        </w:rPr>
        <w:t>osition for a</w:t>
      </w:r>
      <w:r w:rsidR="0075667D">
        <w:rPr>
          <w:b/>
        </w:rPr>
        <w:t xml:space="preserve"> q</w:t>
      </w:r>
      <w:r w:rsidRPr="000F1974">
        <w:rPr>
          <w:b/>
        </w:rPr>
        <w:t xml:space="preserve">ualified </w:t>
      </w:r>
      <w:r w:rsidR="0075667D">
        <w:rPr>
          <w:b/>
        </w:rPr>
        <w:t>e</w:t>
      </w:r>
      <w:r w:rsidRPr="000F1974">
        <w:rPr>
          <w:b/>
        </w:rPr>
        <w:t xml:space="preserve">mployee when </w:t>
      </w:r>
      <w:r w:rsidR="0075667D">
        <w:rPr>
          <w:b/>
        </w:rPr>
        <w:t>n</w:t>
      </w:r>
      <w:r w:rsidRPr="000F1974">
        <w:rPr>
          <w:b/>
        </w:rPr>
        <w:t>ecessar</w:t>
      </w:r>
      <w:r w:rsidR="003B5B60" w:rsidRPr="000F1974">
        <w:rPr>
          <w:b/>
        </w:rPr>
        <w:t>y</w:t>
      </w:r>
      <w:r w:rsidR="00986D6C" w:rsidRPr="000F1974">
        <w:rPr>
          <w:b/>
        </w:rPr>
        <w:t xml:space="preserve"> </w:t>
      </w:r>
      <w:r w:rsidR="00554EB9" w:rsidRPr="000F1974">
        <w:rPr>
          <w:b/>
        </w:rPr>
        <w:t>as an</w:t>
      </w:r>
      <w:r w:rsidR="00986D6C" w:rsidRPr="000F1974">
        <w:rPr>
          <w:b/>
        </w:rPr>
        <w:t xml:space="preserve"> </w:t>
      </w:r>
      <w:r w:rsidR="0075667D">
        <w:rPr>
          <w:b/>
        </w:rPr>
        <w:t>a</w:t>
      </w:r>
      <w:r w:rsidR="00986D6C" w:rsidRPr="000F1974">
        <w:rPr>
          <w:b/>
        </w:rPr>
        <w:t>ccommodat</w:t>
      </w:r>
      <w:r w:rsidR="00554EB9" w:rsidRPr="000F1974">
        <w:rPr>
          <w:b/>
        </w:rPr>
        <w:t>ion</w:t>
      </w:r>
    </w:p>
    <w:p w:rsidR="003B5B60" w:rsidRPr="000F1974" w:rsidRDefault="003B5B60" w:rsidP="003B5B60"/>
    <w:p w:rsidR="00483C35" w:rsidRPr="000F1974" w:rsidRDefault="000521CA" w:rsidP="00B84905">
      <w:pPr>
        <w:spacing w:line="480" w:lineRule="auto"/>
        <w:ind w:firstLine="720"/>
      </w:pPr>
      <w:r w:rsidRPr="000F1974">
        <w:t xml:space="preserve">Almost every </w:t>
      </w:r>
      <w:r w:rsidR="003B5B60" w:rsidRPr="000F1974">
        <w:t>circuit</w:t>
      </w:r>
      <w:r w:rsidR="00FB2212" w:rsidRPr="000F1974">
        <w:t xml:space="preserve"> </w:t>
      </w:r>
      <w:r w:rsidR="003B5B60" w:rsidRPr="000F1974">
        <w:t>that ha</w:t>
      </w:r>
      <w:r w:rsidRPr="000F1974">
        <w:t>s</w:t>
      </w:r>
      <w:r w:rsidR="003B5B60" w:rsidRPr="000F1974">
        <w:t xml:space="preserve"> considered the question</w:t>
      </w:r>
      <w:r w:rsidR="00543644" w:rsidRPr="000F1974">
        <w:t>—</w:t>
      </w:r>
      <w:r w:rsidR="00DD17F9" w:rsidRPr="000F1974">
        <w:t>including</w:t>
      </w:r>
      <w:r w:rsidR="00543644" w:rsidRPr="000F1974">
        <w:t xml:space="preserve"> </w:t>
      </w:r>
      <w:r w:rsidR="00DD17F9" w:rsidRPr="000F1974">
        <w:t>the D.C., Tenth, and Seventh Circuits</w:t>
      </w:r>
      <w:r w:rsidR="003724BA" w:rsidRPr="000F1974">
        <w:t>—</w:t>
      </w:r>
      <w:r w:rsidR="003B5B60" w:rsidRPr="000F1974">
        <w:t>ha</w:t>
      </w:r>
      <w:r w:rsidRPr="000F1974">
        <w:t xml:space="preserve">s </w:t>
      </w:r>
      <w:r w:rsidR="0041407F" w:rsidRPr="000F1974">
        <w:t>held</w:t>
      </w:r>
      <w:r w:rsidR="003B5B60" w:rsidRPr="000F1974">
        <w:t xml:space="preserve"> that the ADA</w:t>
      </w:r>
      <w:r w:rsidRPr="000F1974">
        <w:t xml:space="preserve"> compels </w:t>
      </w:r>
      <w:r w:rsidR="003B5B60" w:rsidRPr="000F1974">
        <w:t>employers to reassign a qualified employee with a disability to a vacant position when reassignment is the only modification that wo</w:t>
      </w:r>
      <w:r w:rsidR="00B84905" w:rsidRPr="000F1974">
        <w:t xml:space="preserve">uld accommodate the employee.  As discussed in Section IV.B, </w:t>
      </w:r>
      <w:r w:rsidR="00B84905" w:rsidRPr="000F1974">
        <w:rPr>
          <w:i/>
        </w:rPr>
        <w:t>supra</w:t>
      </w:r>
      <w:r w:rsidR="00B84905" w:rsidRPr="000F1974">
        <w:t>, t</w:t>
      </w:r>
      <w:r w:rsidR="003B5B60" w:rsidRPr="000F1974">
        <w:t>hese decisions have relied</w:t>
      </w:r>
      <w:r w:rsidR="004002BA" w:rsidRPr="000F1974">
        <w:t xml:space="preserve"> </w:t>
      </w:r>
      <w:r w:rsidR="003B5B60" w:rsidRPr="000F1974">
        <w:t>on the plain language of the statute.</w:t>
      </w:r>
      <w:r w:rsidR="00B84905" w:rsidRPr="000F1974">
        <w:t xml:space="preserve">  </w:t>
      </w:r>
      <w:r w:rsidR="00B84905" w:rsidRPr="000F1974">
        <w:rPr>
          <w:i/>
        </w:rPr>
        <w:t>See</w:t>
      </w:r>
      <w:r w:rsidR="0018137C" w:rsidRPr="000F1974">
        <w:rPr>
          <w:i/>
        </w:rPr>
        <w:t>, e.g.</w:t>
      </w:r>
      <w:r w:rsidR="0018137C" w:rsidRPr="000F1974">
        <w:t>,</w:t>
      </w:r>
      <w:r w:rsidR="00B84905" w:rsidRPr="000F1974">
        <w:rPr>
          <w:i/>
        </w:rPr>
        <w:t xml:space="preserve"> </w:t>
      </w:r>
      <w:r w:rsidR="003B5B60" w:rsidRPr="000F1974">
        <w:rPr>
          <w:i/>
        </w:rPr>
        <w:t>Aka</w:t>
      </w:r>
      <w:r w:rsidR="003B5B60" w:rsidRPr="000F1974">
        <w:t xml:space="preserve">, 156 F.3d </w:t>
      </w:r>
      <w:r w:rsidR="00F46B4C" w:rsidRPr="000F1974">
        <w:t xml:space="preserve">at </w:t>
      </w:r>
      <w:r w:rsidR="003B5B60" w:rsidRPr="000F1974">
        <w:t>130</w:t>
      </w:r>
      <w:r w:rsidR="00B84905" w:rsidRPr="000F1974">
        <w:t>3−0</w:t>
      </w:r>
      <w:r w:rsidR="003B5B60" w:rsidRPr="000F1974">
        <w:t>4</w:t>
      </w:r>
      <w:r w:rsidR="00B84905" w:rsidRPr="000F1974">
        <w:t xml:space="preserve">; </w:t>
      </w:r>
      <w:r w:rsidR="003B5B60" w:rsidRPr="000F1974">
        <w:rPr>
          <w:i/>
        </w:rPr>
        <w:t>Smith</w:t>
      </w:r>
      <w:r w:rsidR="003B5B60" w:rsidRPr="000F1974">
        <w:t xml:space="preserve">, 180 F.3d </w:t>
      </w:r>
      <w:r w:rsidR="00F46B4C" w:rsidRPr="000F1974">
        <w:t xml:space="preserve">at </w:t>
      </w:r>
      <w:r w:rsidR="00B84905" w:rsidRPr="000F1974">
        <w:t>11</w:t>
      </w:r>
      <w:r w:rsidR="003B5B60" w:rsidRPr="000F1974">
        <w:t>65</w:t>
      </w:r>
      <w:r w:rsidR="00B84905" w:rsidRPr="000F1974">
        <w:t>−67.</w:t>
      </w:r>
    </w:p>
    <w:p w:rsidR="00505AC0" w:rsidRPr="000F1974" w:rsidRDefault="00B84905" w:rsidP="00B92328">
      <w:pPr>
        <w:spacing w:line="480" w:lineRule="auto"/>
        <w:ind w:firstLine="720"/>
      </w:pPr>
      <w:r w:rsidRPr="000F1974">
        <w:t>Additionally and most recently</w:t>
      </w:r>
      <w:r w:rsidR="003B5B60" w:rsidRPr="000F1974">
        <w:t xml:space="preserve">, the Seventh Circuit held that, absent a showing of undue hardship, the ADA requires employers to reassign </w:t>
      </w:r>
      <w:r w:rsidR="001144C3" w:rsidRPr="000F1974">
        <w:t xml:space="preserve">qualified </w:t>
      </w:r>
      <w:r w:rsidR="003B5B60" w:rsidRPr="000F1974">
        <w:t xml:space="preserve">disabled employees to vacant positions </w:t>
      </w:r>
      <w:r w:rsidR="001144C3" w:rsidRPr="000F1974">
        <w:t>when necessary</w:t>
      </w:r>
      <w:r w:rsidR="003B5B60" w:rsidRPr="000F1974">
        <w:t xml:space="preserve">, even if better qualified individuals apply for those positions.  </w:t>
      </w:r>
      <w:r w:rsidR="003B5B60" w:rsidRPr="000F1974">
        <w:rPr>
          <w:i/>
        </w:rPr>
        <w:t>See United Airlines</w:t>
      </w:r>
      <w:r w:rsidR="007938C9" w:rsidRPr="000F1974">
        <w:t xml:space="preserve">, </w:t>
      </w:r>
      <w:r w:rsidR="003B5B60" w:rsidRPr="000F1974">
        <w:t xml:space="preserve">693 F.3d </w:t>
      </w:r>
      <w:r w:rsidR="007938C9" w:rsidRPr="000F1974">
        <w:t xml:space="preserve">at </w:t>
      </w:r>
      <w:r w:rsidR="003B5B60" w:rsidRPr="000F1974">
        <w:t>765.  In reaching that conclusion, the court overruled its own older precedent</w:t>
      </w:r>
      <w:r w:rsidR="00505AC0" w:rsidRPr="000F1974">
        <w:t>,</w:t>
      </w:r>
      <w:r w:rsidR="003B5B60" w:rsidRPr="000F1974">
        <w:t xml:space="preserve"> </w:t>
      </w:r>
      <w:r w:rsidR="003B5B60" w:rsidRPr="000F1974">
        <w:rPr>
          <w:i/>
        </w:rPr>
        <w:t>EEOC v. Humiston-Keeling</w:t>
      </w:r>
      <w:r w:rsidR="00505AC0" w:rsidRPr="000F1974">
        <w:t xml:space="preserve">, 227 F.3d 1024 </w:t>
      </w:r>
      <w:r w:rsidR="00483C35" w:rsidRPr="000F1974">
        <w:t>(7th Cir. 2000)</w:t>
      </w:r>
      <w:r w:rsidR="00AC0DB7" w:rsidRPr="000F1974">
        <w:t>.</w:t>
      </w:r>
      <w:r w:rsidR="00391AB7" w:rsidRPr="000F1974">
        <w:t xml:space="preserve">  “[E]very member of the [Seventh Circuit] in active service approved overruling </w:t>
      </w:r>
      <w:r w:rsidR="00391AB7" w:rsidRPr="000F1974">
        <w:rPr>
          <w:i/>
        </w:rPr>
        <w:t>Humiston–Keeling</w:t>
      </w:r>
      <w:r w:rsidR="00391AB7" w:rsidRPr="000F1974">
        <w:t xml:space="preserve">” on the ground that decision “did not survive </w:t>
      </w:r>
      <w:r w:rsidR="00391AB7" w:rsidRPr="000F1974">
        <w:rPr>
          <w:i/>
        </w:rPr>
        <w:t>Barnett</w:t>
      </w:r>
      <w:r w:rsidR="00391AB7" w:rsidRPr="000F1974">
        <w:t xml:space="preserve">.”  </w:t>
      </w:r>
      <w:r w:rsidR="002245B7" w:rsidRPr="000F1974">
        <w:rPr>
          <w:i/>
        </w:rPr>
        <w:t>United Airlines</w:t>
      </w:r>
      <w:r w:rsidR="002245B7" w:rsidRPr="000F1974">
        <w:t xml:space="preserve">, 693 F.3d at </w:t>
      </w:r>
      <w:r w:rsidR="00391AB7" w:rsidRPr="000F1974">
        <w:t>761.</w:t>
      </w:r>
    </w:p>
    <w:p w:rsidR="00505AC0" w:rsidRPr="000F1974" w:rsidRDefault="00391AB7" w:rsidP="00505AC0">
      <w:pPr>
        <w:spacing w:line="480" w:lineRule="auto"/>
        <w:ind w:firstLine="720"/>
      </w:pPr>
      <w:r w:rsidRPr="000F1974">
        <w:t xml:space="preserve">United Airlines, like Sheriff Woody, </w:t>
      </w:r>
      <w:r w:rsidR="00B925D5" w:rsidRPr="000F1974">
        <w:t>claimed</w:t>
      </w:r>
      <w:r w:rsidRPr="000F1974">
        <w:t xml:space="preserve"> </w:t>
      </w:r>
      <w:r w:rsidR="00E3011B" w:rsidRPr="000F1974">
        <w:t xml:space="preserve">to use </w:t>
      </w:r>
      <w:r w:rsidRPr="000F1974">
        <w:t xml:space="preserve">a “best qualified” system and did not provide employees with disabilities the right to be reassigned to a vacant position as an ADA accommodation.  </w:t>
      </w:r>
      <w:r w:rsidR="00081E53" w:rsidRPr="000F1974">
        <w:rPr>
          <w:i/>
        </w:rPr>
        <w:t>Id.</w:t>
      </w:r>
      <w:r w:rsidRPr="000F1974">
        <w:t xml:space="preserve">  Unlike Sheriff Woody, United granted employees with </w:t>
      </w:r>
      <w:r w:rsidR="00505AC0" w:rsidRPr="000F1974">
        <w:t xml:space="preserve">disabilities needing accommodation preferential treatment, in that </w:t>
      </w:r>
      <w:r w:rsidRPr="000F1974">
        <w:t>the employees</w:t>
      </w:r>
      <w:r w:rsidR="00505AC0" w:rsidRPr="000F1974">
        <w:t xml:space="preserve"> could submit an unlimited number of transfer applications, be guaranteed an interview, and receive priority consideration over a similarly qualified applicant, but they were not </w:t>
      </w:r>
      <w:r w:rsidR="006B4B0D">
        <w:rPr>
          <w:i/>
        </w:rPr>
        <w:t>appointed</w:t>
      </w:r>
      <w:r w:rsidR="00505AC0" w:rsidRPr="000F1974">
        <w:t xml:space="preserve"> to a vacant position for which they were qualified.  </w:t>
      </w:r>
      <w:r w:rsidR="00505AC0" w:rsidRPr="000F1974">
        <w:rPr>
          <w:i/>
        </w:rPr>
        <w:t xml:space="preserve">Id.  </w:t>
      </w:r>
    </w:p>
    <w:p w:rsidR="003B5B60" w:rsidRPr="000F1974" w:rsidRDefault="00505AC0" w:rsidP="00505AC0">
      <w:pPr>
        <w:spacing w:line="480" w:lineRule="auto"/>
        <w:ind w:firstLine="720"/>
      </w:pPr>
      <w:r w:rsidRPr="000F1974">
        <w:lastRenderedPageBreak/>
        <w:t xml:space="preserve">The </w:t>
      </w:r>
      <w:r w:rsidR="00483C35" w:rsidRPr="000F1974">
        <w:t>Seventh Circuit</w:t>
      </w:r>
      <w:r w:rsidRPr="000F1974">
        <w:t xml:space="preserve"> held that this preferential </w:t>
      </w:r>
      <w:r w:rsidR="00483C35" w:rsidRPr="000F1974">
        <w:t>“</w:t>
      </w:r>
      <w:r w:rsidRPr="000F1974">
        <w:t>reassignment</w:t>
      </w:r>
      <w:r w:rsidR="00483C35" w:rsidRPr="000F1974">
        <w:t>”</w:t>
      </w:r>
      <w:r w:rsidRPr="000F1974">
        <w:t xml:space="preserve"> process was insufficient under the ADA, because the Supreme Court in </w:t>
      </w:r>
      <w:r w:rsidRPr="000F1974">
        <w:rPr>
          <w:i/>
        </w:rPr>
        <w:t xml:space="preserve">Barnett </w:t>
      </w:r>
      <w:r w:rsidRPr="000F1974">
        <w:t xml:space="preserve">established that, as a general matter, “accommodation through appointment to a vacant position is reasonable.”  </w:t>
      </w:r>
      <w:r w:rsidRPr="000F1974">
        <w:rPr>
          <w:i/>
        </w:rPr>
        <w:t xml:space="preserve">Id. </w:t>
      </w:r>
      <w:r w:rsidRPr="000F1974">
        <w:t xml:space="preserve">at 764.  Thus, without a showing of undue hardship, such as the disruption of a well-established seniority system, “an employer </w:t>
      </w:r>
      <w:r w:rsidRPr="000F1974">
        <w:rPr>
          <w:i/>
        </w:rPr>
        <w:t>must</w:t>
      </w:r>
      <w:r w:rsidRPr="000F1974">
        <w:t xml:space="preserve"> implement such a reassignment policy.”  </w:t>
      </w:r>
      <w:r w:rsidRPr="000F1974">
        <w:rPr>
          <w:i/>
        </w:rPr>
        <w:t>Id.</w:t>
      </w:r>
      <w:r w:rsidR="00483C35" w:rsidRPr="000F1974">
        <w:t xml:space="preserve"> (emphasis added).  The c</w:t>
      </w:r>
      <w:r w:rsidRPr="000F1974">
        <w:t>ourt rejected the argument that the hardship imposed upon an employer forced to abandon its “best qualified” system was comparable to the hardship imposed upon an employer forced to disrupt its established seniority s</w:t>
      </w:r>
      <w:r w:rsidR="00483C35" w:rsidRPr="000F1974">
        <w:t>ystem.  Such a conclusion, the c</w:t>
      </w:r>
      <w:r w:rsidRPr="000F1974">
        <w:t xml:space="preserve">ourt reasoned, would “so enlarge[] the narrow, fact-specific exception set out in </w:t>
      </w:r>
      <w:r w:rsidRPr="000F1974">
        <w:rPr>
          <w:i/>
        </w:rPr>
        <w:t>Barnett</w:t>
      </w:r>
      <w:r w:rsidRPr="000F1974">
        <w:t xml:space="preserve"> as to swallow the rule.”  </w:t>
      </w:r>
      <w:r w:rsidRPr="000F1974">
        <w:rPr>
          <w:i/>
        </w:rPr>
        <w:t xml:space="preserve">Id.  </w:t>
      </w:r>
      <w:r w:rsidR="00483C35" w:rsidRPr="000F1974">
        <w:t>The c</w:t>
      </w:r>
      <w:r w:rsidRPr="000F1974">
        <w:t xml:space="preserve">ourt remanded the case for the district court to determine whether there were any other fact-specific considerations particular to United’s employment system, such as a seniority system, that would create an undue hardship.  </w:t>
      </w:r>
      <w:r w:rsidRPr="000F1974">
        <w:rPr>
          <w:i/>
        </w:rPr>
        <w:t>Id.</w:t>
      </w:r>
      <w:r w:rsidR="00B234D1" w:rsidRPr="000F1974">
        <w:t xml:space="preserve"> at 764−65.</w:t>
      </w:r>
    </w:p>
    <w:p w:rsidR="003B5B60" w:rsidRPr="000F1974" w:rsidRDefault="003B5B60" w:rsidP="00391AB7">
      <w:pPr>
        <w:spacing w:line="480" w:lineRule="auto"/>
        <w:ind w:firstLine="720"/>
      </w:pPr>
      <w:r w:rsidRPr="000F1974">
        <w:t xml:space="preserve">The Supreme Court denied </w:t>
      </w:r>
      <w:r w:rsidRPr="000F1974">
        <w:rPr>
          <w:i/>
        </w:rPr>
        <w:t>certiorari</w:t>
      </w:r>
      <w:r w:rsidRPr="000F1974">
        <w:t xml:space="preserve"> in </w:t>
      </w:r>
      <w:r w:rsidRPr="000F1974">
        <w:rPr>
          <w:i/>
        </w:rPr>
        <w:t>United Airlines</w:t>
      </w:r>
      <w:r w:rsidRPr="000F1974">
        <w:t xml:space="preserve">, leaving undisturbed the Seventh Circuit’s ruling that a “best qualified” policy cannot trump the </w:t>
      </w:r>
      <w:r w:rsidR="00391AB7" w:rsidRPr="000F1974">
        <w:t xml:space="preserve">ADA’s reassignment obligation.  </w:t>
      </w:r>
      <w:r w:rsidR="00B925D5" w:rsidRPr="000F1974">
        <w:rPr>
          <w:i/>
        </w:rPr>
        <w:t>See United Airlines</w:t>
      </w:r>
      <w:r w:rsidR="0085749A">
        <w:rPr>
          <w:i/>
        </w:rPr>
        <w:t>, Inc.</w:t>
      </w:r>
      <w:r w:rsidR="00B234D1" w:rsidRPr="000F1974">
        <w:rPr>
          <w:i/>
        </w:rPr>
        <w:t xml:space="preserve"> v. EEOC</w:t>
      </w:r>
      <w:r w:rsidR="00B925D5" w:rsidRPr="000F1974">
        <w:t>, 133 S. Ct. 2734</w:t>
      </w:r>
      <w:r w:rsidR="00B234D1" w:rsidRPr="000F1974">
        <w:t xml:space="preserve"> (2013)</w:t>
      </w:r>
      <w:r w:rsidR="00B925D5" w:rsidRPr="000F1974">
        <w:t xml:space="preserve">.  </w:t>
      </w:r>
      <w:r w:rsidR="00391AB7" w:rsidRPr="000F1974">
        <w:t xml:space="preserve">This denial is unsurprising, because the circuit “split” on reassignment is a shallow one.  The only circuit to have held that the ADA </w:t>
      </w:r>
      <w:r w:rsidR="00505AC0" w:rsidRPr="000F1974">
        <w:t>“</w:t>
      </w:r>
      <w:r w:rsidRPr="000F1974">
        <w:t>does not require an employer to reassign a qualified disabled employee to a vacant position when such a reassignment would violate a legitimate nondiscrimination policy of the employer to hi</w:t>
      </w:r>
      <w:r w:rsidR="00391AB7" w:rsidRPr="000F1974">
        <w:t>re the most qualified candidate</w:t>
      </w:r>
      <w:r w:rsidRPr="000F1974">
        <w:t>”</w:t>
      </w:r>
      <w:r w:rsidR="00391AB7" w:rsidRPr="000F1974">
        <w:t xml:space="preserve"> relied </w:t>
      </w:r>
      <w:r w:rsidR="00B234D1" w:rsidRPr="000F1974">
        <w:t>heavily</w:t>
      </w:r>
      <w:r w:rsidR="00391AB7" w:rsidRPr="000F1974">
        <w:t xml:space="preserve"> on the now-overruled </w:t>
      </w:r>
      <w:r w:rsidR="00391AB7" w:rsidRPr="000F1974">
        <w:rPr>
          <w:i/>
        </w:rPr>
        <w:t xml:space="preserve">Humiston-Keeling </w:t>
      </w:r>
      <w:r w:rsidR="00391AB7" w:rsidRPr="000F1974">
        <w:t>case.</w:t>
      </w:r>
      <w:r w:rsidR="00B234D1" w:rsidRPr="000F1974">
        <w:t xml:space="preserve"> </w:t>
      </w:r>
      <w:r w:rsidR="00391AB7" w:rsidRPr="000F1974">
        <w:t xml:space="preserve"> </w:t>
      </w:r>
      <w:r w:rsidR="00B234D1" w:rsidRPr="000F1974">
        <w:rPr>
          <w:i/>
        </w:rPr>
        <w:t>See Huber v. Wal-Mart Stores, Inc.</w:t>
      </w:r>
      <w:r w:rsidR="00B234D1" w:rsidRPr="000F1974">
        <w:t xml:space="preserve">, 486 F.3d 480, 483 (8th Cir. 2007).  </w:t>
      </w:r>
      <w:r w:rsidR="00505AC0" w:rsidRPr="000F1974">
        <w:t xml:space="preserve">The overruling of </w:t>
      </w:r>
      <w:r w:rsidR="00505AC0" w:rsidRPr="000F1974">
        <w:rPr>
          <w:i/>
        </w:rPr>
        <w:t>Humiston-Keeling</w:t>
      </w:r>
      <w:r w:rsidR="00505AC0" w:rsidRPr="000F1974">
        <w:t xml:space="preserve"> </w:t>
      </w:r>
      <w:r w:rsidR="00391AB7" w:rsidRPr="000F1974">
        <w:t xml:space="preserve">in light of </w:t>
      </w:r>
      <w:r w:rsidR="00391AB7" w:rsidRPr="000F1974">
        <w:rPr>
          <w:i/>
        </w:rPr>
        <w:t>Barnett</w:t>
      </w:r>
      <w:r w:rsidR="00391AB7" w:rsidRPr="000F1974">
        <w:t xml:space="preserve"> </w:t>
      </w:r>
      <w:r w:rsidR="00505AC0" w:rsidRPr="000F1974">
        <w:t xml:space="preserve">calls </w:t>
      </w:r>
      <w:r w:rsidR="00505AC0" w:rsidRPr="000F1974">
        <w:rPr>
          <w:i/>
        </w:rPr>
        <w:t>Huber</w:t>
      </w:r>
      <w:r w:rsidR="00505AC0" w:rsidRPr="000F1974">
        <w:t xml:space="preserve">’s continuing vitality into question.  </w:t>
      </w:r>
      <w:r w:rsidR="00505AC0" w:rsidRPr="000F1974">
        <w:rPr>
          <w:i/>
        </w:rPr>
        <w:t>See United Airlines</w:t>
      </w:r>
      <w:r w:rsidR="00505AC0" w:rsidRPr="000F1974">
        <w:t>, 693 F.3d at 764 &amp; n.4 (“[</w:t>
      </w:r>
      <w:r w:rsidR="00505AC0" w:rsidRPr="000F1974">
        <w:rPr>
          <w:i/>
        </w:rPr>
        <w:t>Huber</w:t>
      </w:r>
      <w:r w:rsidR="00505AC0" w:rsidRPr="000F1974">
        <w:t xml:space="preserve">] adopts </w:t>
      </w:r>
      <w:r w:rsidR="00505AC0" w:rsidRPr="000F1974">
        <w:rPr>
          <w:i/>
        </w:rPr>
        <w:t>Humiston–Keeling</w:t>
      </w:r>
      <w:r w:rsidR="00505AC0" w:rsidRPr="000F1974">
        <w:t xml:space="preserve"> without analysis, much less an analysis of </w:t>
      </w:r>
      <w:r w:rsidR="00505AC0" w:rsidRPr="000F1974">
        <w:rPr>
          <w:i/>
        </w:rPr>
        <w:t>Humiston–Keeling</w:t>
      </w:r>
      <w:r w:rsidR="00505AC0" w:rsidRPr="000F1974">
        <w:t xml:space="preserve"> in the context of </w:t>
      </w:r>
      <w:r w:rsidR="00505AC0" w:rsidRPr="000F1974">
        <w:rPr>
          <w:i/>
        </w:rPr>
        <w:t>Barnett</w:t>
      </w:r>
      <w:r w:rsidR="00505AC0" w:rsidRPr="000F1974">
        <w:t xml:space="preserve">.”).  </w:t>
      </w:r>
      <w:r w:rsidR="00E3011B" w:rsidRPr="000F1974">
        <w:t>And</w:t>
      </w:r>
      <w:r w:rsidR="00505AC0" w:rsidRPr="000F1974">
        <w:t xml:space="preserve"> “[i]t is also worth noting that </w:t>
      </w:r>
      <w:r w:rsidR="00505AC0" w:rsidRPr="000F1974">
        <w:lastRenderedPageBreak/>
        <w:t xml:space="preserve">the Supreme Court granted </w:t>
      </w:r>
      <w:r w:rsidR="00505AC0" w:rsidRPr="000F1974">
        <w:rPr>
          <w:i/>
        </w:rPr>
        <w:t>certiorari</w:t>
      </w:r>
      <w:r w:rsidR="00505AC0" w:rsidRPr="000F1974">
        <w:t xml:space="preserve"> in </w:t>
      </w:r>
      <w:r w:rsidR="00505AC0" w:rsidRPr="000F1974">
        <w:rPr>
          <w:i/>
        </w:rPr>
        <w:t>Huber</w:t>
      </w:r>
      <w:r w:rsidR="00505AC0" w:rsidRPr="000F1974">
        <w:t xml:space="preserve">, but the parties settled and the Supreme Court dismissed the case.”  </w:t>
      </w:r>
      <w:r w:rsidR="00505AC0" w:rsidRPr="000F1974">
        <w:rPr>
          <w:i/>
        </w:rPr>
        <w:t>Id.</w:t>
      </w:r>
      <w:r w:rsidR="00505AC0" w:rsidRPr="000F1974">
        <w:t xml:space="preserve">  </w:t>
      </w:r>
      <w:r w:rsidRPr="000F1974">
        <w:t xml:space="preserve">The </w:t>
      </w:r>
      <w:r w:rsidR="00F658F5" w:rsidRPr="000F1974">
        <w:t xml:space="preserve">only other circuit to apparently agree with the minority position of the Eighth Circuit is the </w:t>
      </w:r>
      <w:r w:rsidRPr="000F1974">
        <w:t>Fifth Circui</w:t>
      </w:r>
      <w:r w:rsidR="00F658F5" w:rsidRPr="000F1974">
        <w:t xml:space="preserve">t, </w:t>
      </w:r>
      <w:r w:rsidR="00505AC0" w:rsidRPr="000F1974">
        <w:t>but only in pre-</w:t>
      </w:r>
      <w:r w:rsidR="00505AC0" w:rsidRPr="000F1974">
        <w:rPr>
          <w:i/>
        </w:rPr>
        <w:t>Barnett</w:t>
      </w:r>
      <w:r w:rsidR="00505AC0" w:rsidRPr="000F1974">
        <w:t xml:space="preserve"> dicta.  </w:t>
      </w:r>
      <w:r w:rsidR="00B234D1" w:rsidRPr="000F1974">
        <w:rPr>
          <w:i/>
        </w:rPr>
        <w:t>See Daughert</w:t>
      </w:r>
      <w:r w:rsidRPr="000F1974">
        <w:rPr>
          <w:i/>
        </w:rPr>
        <w:t>y v. City of El Paso</w:t>
      </w:r>
      <w:r w:rsidRPr="000F1974">
        <w:t>, 56 F.3d 695, 700 (5th Cir. 1995)</w:t>
      </w:r>
      <w:r w:rsidR="00B234D1" w:rsidRPr="000F1974">
        <w:t>.</w:t>
      </w:r>
    </w:p>
    <w:p w:rsidR="00F86E73" w:rsidRPr="000F1974" w:rsidRDefault="000521CA" w:rsidP="00DA69CB">
      <w:pPr>
        <w:spacing w:line="480" w:lineRule="auto"/>
        <w:ind w:firstLine="720"/>
      </w:pPr>
      <w:r w:rsidRPr="000F1974">
        <w:t>D</w:t>
      </w:r>
      <w:r w:rsidR="00F86E73" w:rsidRPr="000F1974">
        <w:t xml:space="preserve">istrict courts around the country have </w:t>
      </w:r>
      <w:r w:rsidR="00F773E3" w:rsidRPr="000F1974">
        <w:t xml:space="preserve">also </w:t>
      </w:r>
      <w:r w:rsidR="00F86E73" w:rsidRPr="000F1974">
        <w:t>recognized the reassignment obligation</w:t>
      </w:r>
      <w:r w:rsidRPr="000F1974">
        <w:t xml:space="preserve"> and the policy rationales underlying Congress’s judgment</w:t>
      </w:r>
      <w:r w:rsidR="00F86E73" w:rsidRPr="000F1974">
        <w:t xml:space="preserve">.  </w:t>
      </w:r>
      <w:r w:rsidR="00F86E73" w:rsidRPr="000F1974">
        <w:rPr>
          <w:i/>
        </w:rPr>
        <w:t>See, e.g.</w:t>
      </w:r>
      <w:r w:rsidR="00F86E73" w:rsidRPr="000F1974">
        <w:t xml:space="preserve">, </w:t>
      </w:r>
      <w:r w:rsidR="00F86E73" w:rsidRPr="000F1974">
        <w:rPr>
          <w:i/>
        </w:rPr>
        <w:t xml:space="preserve">United States v. City &amp; </w:t>
      </w:r>
      <w:r w:rsidR="00654A7F" w:rsidRPr="000F1974">
        <w:rPr>
          <w:i/>
        </w:rPr>
        <w:t>Cnty</w:t>
      </w:r>
      <w:r w:rsidR="00F86E73" w:rsidRPr="000F1974">
        <w:rPr>
          <w:i/>
        </w:rPr>
        <w:t>. of Denver</w:t>
      </w:r>
      <w:r w:rsidR="00F86E73" w:rsidRPr="000F1974">
        <w:t xml:space="preserve">, 943 F. Supp. 1304, 1310–11 (D. Colo. 1996), </w:t>
      </w:r>
      <w:r w:rsidR="00654A7F" w:rsidRPr="000F1974">
        <w:rPr>
          <w:i/>
        </w:rPr>
        <w:t>aff’</w:t>
      </w:r>
      <w:r w:rsidR="00F86E73" w:rsidRPr="000F1974">
        <w:rPr>
          <w:i/>
        </w:rPr>
        <w:t>d sub nom. Davoll v. Webb</w:t>
      </w:r>
      <w:r w:rsidR="00F86E73" w:rsidRPr="000F1974">
        <w:t xml:space="preserve">, 194 F.3d 1116 (10th Cir. 1999) (“[T]he ADA requires employers to move beyond the traditional analysis used to appraise non-disabled workers and to consider reassignment to a vacant position as a method of enabling a disabled worker to do the job without creating undue hardship.”); </w:t>
      </w:r>
      <w:r w:rsidR="00F86E73" w:rsidRPr="000F1974">
        <w:rPr>
          <w:i/>
        </w:rPr>
        <w:t>Ransom v. State of Arizona Bd. of Regents</w:t>
      </w:r>
      <w:r w:rsidR="00F86E73" w:rsidRPr="000F1974">
        <w:t>, 983 F. Supp. 895, 901 (D. Ariz. 1997)</w:t>
      </w:r>
      <w:r w:rsidR="00DA69CB" w:rsidRPr="000F1974">
        <w:t xml:space="preserve"> (the reassignment provision “level[s] </w:t>
      </w:r>
      <w:r w:rsidR="00F86E73" w:rsidRPr="000F1974">
        <w:t xml:space="preserve">the playing field between disabled and nondisabled employees, in the sense of enabling a disabled worker to do the job without creating undue hardship on the employer. </w:t>
      </w:r>
      <w:r w:rsidR="00DA69CB" w:rsidRPr="000F1974">
        <w:t xml:space="preserve"> </w:t>
      </w:r>
      <w:r w:rsidR="00F86E73" w:rsidRPr="000F1974">
        <w:t>In addition to providing individuals with disabilities an equal opportunity to pursue employment opportunities, the purpose of the ADA is to reduce societal costs of dependency and nonproduc</w:t>
      </w:r>
      <w:r w:rsidR="00DA69CB" w:rsidRPr="000F1974">
        <w:t>tivity.”).</w:t>
      </w:r>
    </w:p>
    <w:p w:rsidR="00E83863" w:rsidRPr="000F1974" w:rsidRDefault="00F658F5" w:rsidP="00DA69CB">
      <w:pPr>
        <w:pStyle w:val="ListParagraph"/>
        <w:numPr>
          <w:ilvl w:val="0"/>
          <w:numId w:val="29"/>
        </w:numPr>
        <w:spacing w:line="240" w:lineRule="auto"/>
        <w:rPr>
          <w:b/>
        </w:rPr>
      </w:pPr>
      <w:r w:rsidRPr="000F1974">
        <w:rPr>
          <w:b/>
        </w:rPr>
        <w:t xml:space="preserve">Ms. Hall’s </w:t>
      </w:r>
      <w:r w:rsidR="0075667D">
        <w:rPr>
          <w:b/>
        </w:rPr>
        <w:t>r</w:t>
      </w:r>
      <w:r w:rsidRPr="000F1974">
        <w:rPr>
          <w:b/>
        </w:rPr>
        <w:t xml:space="preserve">equested </w:t>
      </w:r>
      <w:r w:rsidR="0075667D">
        <w:rPr>
          <w:b/>
        </w:rPr>
        <w:t>a</w:t>
      </w:r>
      <w:r w:rsidRPr="000F1974">
        <w:rPr>
          <w:b/>
        </w:rPr>
        <w:t xml:space="preserve">ccommodation </w:t>
      </w:r>
      <w:r w:rsidR="0075667D">
        <w:rPr>
          <w:b/>
        </w:rPr>
        <w:t>w</w:t>
      </w:r>
      <w:r w:rsidRPr="000F1974">
        <w:rPr>
          <w:b/>
        </w:rPr>
        <w:t xml:space="preserve">ould not </w:t>
      </w:r>
      <w:r w:rsidR="0075667D">
        <w:rPr>
          <w:b/>
        </w:rPr>
        <w:t>h</w:t>
      </w:r>
      <w:r w:rsidRPr="000F1974">
        <w:rPr>
          <w:b/>
        </w:rPr>
        <w:t xml:space="preserve">ave </w:t>
      </w:r>
      <w:r w:rsidR="0075667D">
        <w:rPr>
          <w:b/>
        </w:rPr>
        <w:t>i</w:t>
      </w:r>
      <w:r w:rsidRPr="000F1974">
        <w:rPr>
          <w:b/>
        </w:rPr>
        <w:t xml:space="preserve">mposed an </w:t>
      </w:r>
      <w:r w:rsidR="0075667D">
        <w:rPr>
          <w:b/>
        </w:rPr>
        <w:t>u</w:t>
      </w:r>
      <w:r w:rsidRPr="000F1974">
        <w:rPr>
          <w:b/>
        </w:rPr>
        <w:t xml:space="preserve">ndue </w:t>
      </w:r>
      <w:r w:rsidR="0075667D">
        <w:rPr>
          <w:b/>
        </w:rPr>
        <w:t>h</w:t>
      </w:r>
      <w:r w:rsidRPr="000F1974">
        <w:rPr>
          <w:b/>
        </w:rPr>
        <w:t>ardship on Sheriff Woody</w:t>
      </w:r>
    </w:p>
    <w:p w:rsidR="00F658F5" w:rsidRPr="000F1974" w:rsidRDefault="00F658F5" w:rsidP="00F658F5">
      <w:pPr>
        <w:rPr>
          <w:b/>
        </w:rPr>
      </w:pPr>
    </w:p>
    <w:p w:rsidR="00DA69CB" w:rsidRPr="000F1974" w:rsidRDefault="0024499E" w:rsidP="0024499E">
      <w:pPr>
        <w:spacing w:line="480" w:lineRule="auto"/>
        <w:ind w:firstLine="720"/>
      </w:pPr>
      <w:r w:rsidRPr="000F1974">
        <w:t xml:space="preserve">Sheriff Woody cannot show </w:t>
      </w:r>
      <w:r w:rsidR="00CB7284" w:rsidRPr="000F1974">
        <w:t>“</w:t>
      </w:r>
      <w:r w:rsidRPr="000F1974">
        <w:t xml:space="preserve">as a matter of law that </w:t>
      </w:r>
      <w:r w:rsidR="00CB7284" w:rsidRPr="000F1974">
        <w:t xml:space="preserve">the proposed accommodation [would have] cause[d] </w:t>
      </w:r>
      <w:r w:rsidRPr="000F1974">
        <w:t xml:space="preserve">undue hardship </w:t>
      </w:r>
      <w:r w:rsidR="00CB7284" w:rsidRPr="000F1974">
        <w:t>in the particular circumstances</w:t>
      </w:r>
      <w:r w:rsidRPr="000F1974">
        <w:t>”</w:t>
      </w:r>
      <w:r w:rsidR="00CB7284" w:rsidRPr="000F1974">
        <w:t xml:space="preserve"> of this case.</w:t>
      </w:r>
      <w:r w:rsidRPr="000F1974">
        <w:t xml:space="preserve">  </w:t>
      </w:r>
      <w:r w:rsidRPr="000F1974">
        <w:rPr>
          <w:i/>
        </w:rPr>
        <w:t>Reyazuddin</w:t>
      </w:r>
      <w:r w:rsidRPr="000F1974">
        <w:t xml:space="preserve">, 789 F.3d </w:t>
      </w:r>
      <w:r w:rsidR="00654A7F" w:rsidRPr="000F1974">
        <w:t xml:space="preserve">at </w:t>
      </w:r>
      <w:r w:rsidRPr="000F1974">
        <w:t>414</w:t>
      </w:r>
      <w:r w:rsidR="00CB7284" w:rsidRPr="000F1974">
        <w:t xml:space="preserve"> (internal quotation marks omitted) (“[A]t the summary judgment stage, the employee ‘need only show that an “accommodation” seems reasonable on its face,’ and then the employer ‘must show special (typically case-specific) circumstances that demonstrate undue hardship.’” (quoting </w:t>
      </w:r>
      <w:r w:rsidR="00CB7284" w:rsidRPr="000F1974">
        <w:rPr>
          <w:i/>
        </w:rPr>
        <w:t>Barnett</w:t>
      </w:r>
      <w:r w:rsidR="00CB7284" w:rsidRPr="000F1974">
        <w:t>, 535 U.S. at 401</w:t>
      </w:r>
      <w:r w:rsidR="008434A5" w:rsidRPr="000F1974">
        <w:t>−</w:t>
      </w:r>
      <w:r w:rsidR="00CB7284" w:rsidRPr="000F1974">
        <w:t xml:space="preserve">02)).  </w:t>
      </w:r>
      <w:r w:rsidR="00DA69CB" w:rsidRPr="000F1974">
        <w:t xml:space="preserve">According to Sheriff Woody, Ms. Hall was a “great </w:t>
      </w:r>
      <w:r w:rsidR="00DA69CB" w:rsidRPr="000F1974">
        <w:lastRenderedPageBreak/>
        <w:t xml:space="preserve">employee,” </w:t>
      </w:r>
      <w:r w:rsidR="00796FE9" w:rsidRPr="000F1974">
        <w:t>Ex. 3,</w:t>
      </w:r>
      <w:r w:rsidR="00DA69CB" w:rsidRPr="000F1974">
        <w:t xml:space="preserve"> </w:t>
      </w:r>
      <w:r w:rsidR="00796FE9" w:rsidRPr="000F1974">
        <w:t xml:space="preserve">Woody </w:t>
      </w:r>
      <w:r w:rsidR="00102E0E" w:rsidRPr="000F1974">
        <w:t>Dep</w:t>
      </w:r>
      <w:r w:rsidR="00796FE9" w:rsidRPr="000F1974">
        <w:t>. Tr. 30:12−18</w:t>
      </w:r>
      <w:r w:rsidR="00DA69CB" w:rsidRPr="000F1974">
        <w:t xml:space="preserve">, who was qualified for at least one vacant position that </w:t>
      </w:r>
      <w:r w:rsidR="00CB7284" w:rsidRPr="000F1974">
        <w:t>his Office needed to</w:t>
      </w:r>
      <w:r w:rsidR="00DA69CB" w:rsidRPr="000F1974">
        <w:t xml:space="preserve"> </w:t>
      </w:r>
      <w:r w:rsidR="00CB7284" w:rsidRPr="000F1974">
        <w:t>fill</w:t>
      </w:r>
      <w:r w:rsidR="00DA69CB" w:rsidRPr="000F1974">
        <w:t xml:space="preserve"> at the time </w:t>
      </w:r>
      <w:r w:rsidR="00364DBD" w:rsidRPr="000F1974">
        <w:t>she</w:t>
      </w:r>
      <w:r w:rsidR="00DA69CB" w:rsidRPr="000F1974">
        <w:t xml:space="preserve"> sought reassignment.  </w:t>
      </w:r>
      <w:r w:rsidR="00796FE9" w:rsidRPr="000F1974">
        <w:t xml:space="preserve">Ex. 6, </w:t>
      </w:r>
      <w:r w:rsidR="008434A5" w:rsidRPr="000F1974">
        <w:t xml:space="preserve">Def.’s </w:t>
      </w:r>
      <w:r w:rsidR="00366191" w:rsidRPr="000F1974">
        <w:t xml:space="preserve">First </w:t>
      </w:r>
      <w:r w:rsidR="008434A5" w:rsidRPr="000F1974">
        <w:t>Admis. 12−</w:t>
      </w:r>
      <w:r w:rsidR="00DB6D06" w:rsidRPr="000F1974">
        <w:t>14.  Sheriff Woody did not need to create a new position</w:t>
      </w:r>
      <w:r w:rsidR="002529C0" w:rsidRPr="000F1974">
        <w:t xml:space="preserve"> or give Ms. Hall</w:t>
      </w:r>
      <w:r w:rsidR="00364DBD" w:rsidRPr="000F1974">
        <w:t xml:space="preserve"> a job she could not do.</w:t>
      </w:r>
    </w:p>
    <w:p w:rsidR="0015012D" w:rsidRPr="000F1974" w:rsidRDefault="00DB6D06" w:rsidP="00DB6D06">
      <w:pPr>
        <w:spacing w:line="480" w:lineRule="auto"/>
        <w:ind w:firstLine="720"/>
      </w:pPr>
      <w:r w:rsidRPr="000F1974">
        <w:t xml:space="preserve">The only undue hardship defense Sheriff Woody has raised </w:t>
      </w:r>
      <w:r w:rsidR="002B6884" w:rsidRPr="000F1974">
        <w:t xml:space="preserve">thus far </w:t>
      </w:r>
      <w:r w:rsidR="00761036" w:rsidRPr="000F1974">
        <w:t>i</w:t>
      </w:r>
      <w:r w:rsidR="007B7BB7" w:rsidRPr="000F1974">
        <w:t>s</w:t>
      </w:r>
      <w:r w:rsidRPr="000F1974">
        <w:t xml:space="preserve"> </w:t>
      </w:r>
      <w:r w:rsidR="00CB7284" w:rsidRPr="000F1974">
        <w:t xml:space="preserve">his claim </w:t>
      </w:r>
      <w:r w:rsidRPr="000F1974">
        <w:t>that reassigning Ms. Hall would have prevented him from making “merit based personnel decisions when hiring civilian staff</w:t>
      </w:r>
      <w:r w:rsidR="00761036" w:rsidRPr="000F1974">
        <w:t>.</w:t>
      </w:r>
      <w:r w:rsidRPr="000F1974">
        <w:t xml:space="preserve">”  </w:t>
      </w:r>
      <w:r w:rsidR="002B6884" w:rsidRPr="000F1974">
        <w:t xml:space="preserve">Ex. 9, </w:t>
      </w:r>
      <w:r w:rsidRPr="000F1974">
        <w:t>Def.’s Interrog.</w:t>
      </w:r>
      <w:r w:rsidR="00796FE9" w:rsidRPr="000F1974">
        <w:t xml:space="preserve"> Answers</w:t>
      </w:r>
      <w:r w:rsidRPr="000F1974">
        <w:t xml:space="preserve"> 17.  </w:t>
      </w:r>
      <w:r w:rsidR="00761036" w:rsidRPr="000F1974">
        <w:t xml:space="preserve">But the ADA does not require employers to place employees who lack merit, or who are unqualified, into positions they cannot do.  Rather, an employer need only reassign a </w:t>
      </w:r>
      <w:r w:rsidR="00761036" w:rsidRPr="000F1974">
        <w:rPr>
          <w:i/>
        </w:rPr>
        <w:t>qualified</w:t>
      </w:r>
      <w:r w:rsidR="00654A7F" w:rsidRPr="000F1974">
        <w:t xml:space="preserve"> employee when the employee needs that accommodation</w:t>
      </w:r>
      <w:r w:rsidR="00411FEE" w:rsidRPr="000F1974">
        <w:t>, and Ms. Hall was qualified for at least one civilian vacancy</w:t>
      </w:r>
      <w:r w:rsidR="00654A7F" w:rsidRPr="000F1974">
        <w:t>.</w:t>
      </w:r>
    </w:p>
    <w:p w:rsidR="007B7BB7" w:rsidRPr="000F1974" w:rsidRDefault="00A815C7" w:rsidP="005C702C">
      <w:pPr>
        <w:spacing w:line="480" w:lineRule="auto"/>
        <w:ind w:firstLine="720"/>
      </w:pPr>
      <w:r w:rsidRPr="000F1974">
        <w:t>Further,</w:t>
      </w:r>
      <w:r w:rsidR="0015012D" w:rsidRPr="000F1974">
        <w:t xml:space="preserve"> </w:t>
      </w:r>
      <w:r w:rsidRPr="000F1974">
        <w:t>Sheriff Woody’s</w:t>
      </w:r>
      <w:r w:rsidR="0015012D" w:rsidRPr="000F1974">
        <w:t xml:space="preserve"> argument that departure from that process would impose an undue burden </w:t>
      </w:r>
      <w:r w:rsidR="00761036" w:rsidRPr="000F1974">
        <w:t>“</w:t>
      </w:r>
      <w:r w:rsidR="0015012D" w:rsidRPr="000F1974">
        <w:t>so enlarge[s</w:t>
      </w:r>
      <w:r w:rsidR="00761036" w:rsidRPr="000F1974">
        <w:t xml:space="preserve">] the narrow, fact-specific [seniority policy] exception set out in </w:t>
      </w:r>
      <w:r w:rsidR="00761036" w:rsidRPr="000F1974">
        <w:rPr>
          <w:i/>
        </w:rPr>
        <w:t xml:space="preserve">Barnett </w:t>
      </w:r>
      <w:r w:rsidR="00761036" w:rsidRPr="000F1974">
        <w:t>as to swallow the rule.</w:t>
      </w:r>
      <w:r w:rsidR="004A300B" w:rsidRPr="000F1974">
        <w:t>”</w:t>
      </w:r>
      <w:r w:rsidR="00761036" w:rsidRPr="000F1974">
        <w:t xml:space="preserve">  </w:t>
      </w:r>
      <w:r w:rsidR="004A300B" w:rsidRPr="000F1974">
        <w:rPr>
          <w:i/>
        </w:rPr>
        <w:t>United Airlines</w:t>
      </w:r>
      <w:r w:rsidR="004A300B" w:rsidRPr="000F1974">
        <w:t>, 693 F.3d at 764.  “</w:t>
      </w:r>
      <w:r w:rsidR="00761036" w:rsidRPr="000F1974">
        <w:t xml:space="preserve">While employers may prefer to hire the best qualified applicant,” departure from a “best-qualified selection policy does not involve the property-rights and administrative concerns (and resulting burdens) presented by the violation of a seniority policy.”  </w:t>
      </w:r>
      <w:r w:rsidR="004A300B" w:rsidRPr="000F1974">
        <w:rPr>
          <w:i/>
        </w:rPr>
        <w:t>Id</w:t>
      </w:r>
      <w:r w:rsidR="004A300B" w:rsidRPr="000F1974">
        <w:t>.</w:t>
      </w:r>
      <w:r w:rsidR="007B7BB7" w:rsidRPr="000F1974">
        <w:t xml:space="preserve">  </w:t>
      </w:r>
      <w:r w:rsidR="005C702C" w:rsidRPr="000F1974">
        <w:t xml:space="preserve">Thus, departing from a best-qualified selection policy in order to reassign an employee with a disability as a necessary accommodation does not impose an undue </w:t>
      </w:r>
      <w:r w:rsidR="004C304F" w:rsidRPr="000F1974">
        <w:t>hardship</w:t>
      </w:r>
      <w:r w:rsidR="005C702C" w:rsidRPr="000F1974">
        <w:t>.</w:t>
      </w:r>
    </w:p>
    <w:p w:rsidR="007B7BB7" w:rsidRPr="000F1974" w:rsidRDefault="007B7BB7" w:rsidP="007B7BB7">
      <w:pPr>
        <w:spacing w:line="480" w:lineRule="auto"/>
        <w:ind w:firstLine="720"/>
      </w:pPr>
      <w:r w:rsidRPr="000F1974">
        <w:t xml:space="preserve">Sheriff Woody has also </w:t>
      </w:r>
      <w:r w:rsidR="00F01A09" w:rsidRPr="000F1974">
        <w:t>asserted</w:t>
      </w:r>
      <w:r w:rsidRPr="000F1974">
        <w:t xml:space="preserve"> </w:t>
      </w:r>
      <w:r w:rsidR="00761036" w:rsidRPr="000F1974">
        <w:t xml:space="preserve">that “the Code of Virginia specifically requires Sheriffs </w:t>
      </w:r>
      <w:r w:rsidR="00B70CD1" w:rsidRPr="000F1974">
        <w:t>. </w:t>
      </w:r>
      <w:r w:rsidR="00E3011B" w:rsidRPr="000F1974">
        <w:t xml:space="preserve">. . </w:t>
      </w:r>
      <w:r w:rsidR="00761036" w:rsidRPr="000F1974">
        <w:t xml:space="preserve">to hire civilian employees through an open and competitive hiring process.”  </w:t>
      </w:r>
      <w:r w:rsidR="00E3011B" w:rsidRPr="000F1974">
        <w:t xml:space="preserve">Ex. 9, </w:t>
      </w:r>
      <w:r w:rsidR="00761036" w:rsidRPr="000F1974">
        <w:t>Def.’s Interrog.</w:t>
      </w:r>
      <w:r w:rsidR="00796FE9" w:rsidRPr="000F1974">
        <w:t xml:space="preserve"> Answers</w:t>
      </w:r>
      <w:r w:rsidR="00761036" w:rsidRPr="000F1974">
        <w:t xml:space="preserve"> 17</w:t>
      </w:r>
      <w:r w:rsidRPr="000F1974">
        <w:t xml:space="preserve">.  </w:t>
      </w:r>
      <w:r w:rsidR="00654A7F" w:rsidRPr="000F1974">
        <w:t xml:space="preserve">As a result, he argues, reassigning Ms. Hall would have required him to violate Virginia law.  Not so.  </w:t>
      </w:r>
      <w:r w:rsidRPr="000F1974">
        <w:t xml:space="preserve">The Virginia Code provision applicable to the hiring of “civilian” employees prohibits discrimination in the hiring, appointment, or treatment of employees on the </w:t>
      </w:r>
      <w:r w:rsidRPr="000F1974">
        <w:lastRenderedPageBreak/>
        <w:t xml:space="preserve">basis of race, color, religion, sex, or national origin.  Va. Code § 15.2-1604(A).  It </w:t>
      </w:r>
      <w:r w:rsidR="00F01A09" w:rsidRPr="000F1974">
        <w:t>also</w:t>
      </w:r>
      <w:r w:rsidRPr="000F1974">
        <w:t xml:space="preserve"> provides:</w:t>
      </w:r>
    </w:p>
    <w:p w:rsidR="007B7BB7" w:rsidRPr="000F1974" w:rsidRDefault="007B7BB7" w:rsidP="004A300B">
      <w:pPr>
        <w:ind w:left="720" w:right="720"/>
        <w:jc w:val="both"/>
      </w:pPr>
      <w:r w:rsidRPr="000F1974">
        <w:t>Every constitutional officer [such as a Sheriff] shall, prior to hiring any employee, advertise such employment position in a newspaper having general circulation or a state or local government job placement service in such constitutional officer’s locality except where the vacancy is to be used . . . as a transfer opportunity or demotion for an incumbent [or] to fill positions to be filled by appointees or employees returning from leave with or without pay . . . .</w:t>
      </w:r>
    </w:p>
    <w:p w:rsidR="004A300B" w:rsidRPr="000F1974" w:rsidRDefault="004A300B" w:rsidP="004A300B">
      <w:pPr>
        <w:ind w:left="720" w:right="720"/>
        <w:jc w:val="both"/>
      </w:pPr>
    </w:p>
    <w:p w:rsidR="00A815C7" w:rsidRPr="000F1974" w:rsidRDefault="007B7BB7" w:rsidP="00654A7F">
      <w:pPr>
        <w:spacing w:line="480" w:lineRule="auto"/>
        <w:ind w:right="720"/>
      </w:pPr>
      <w:r w:rsidRPr="000F1974">
        <w:t xml:space="preserve">Va. Code § 15.2-1604(C).  </w:t>
      </w:r>
      <w:r w:rsidR="00E57F39" w:rsidRPr="000F1974">
        <w:t>In other words, t</w:t>
      </w:r>
      <w:r w:rsidRPr="000F1974">
        <w:t xml:space="preserve">he Code explicitly allows Sheriffs to forgo the advertising process where the vacancy is to be used “as a transfer opportunity . . . for an incumbent” or “to fill positions to be filled by . . . employees returning from leave </w:t>
      </w:r>
      <w:r w:rsidR="00411FEE" w:rsidRPr="000F1974">
        <w:t>with or</w:t>
      </w:r>
      <w:r w:rsidRPr="000F1974">
        <w:t xml:space="preserve"> without pay.”  </w:t>
      </w:r>
      <w:r w:rsidR="00E57F39" w:rsidRPr="000F1974">
        <w:rPr>
          <w:i/>
        </w:rPr>
        <w:t xml:space="preserve">Id.  </w:t>
      </w:r>
      <w:r w:rsidRPr="000F1974">
        <w:t xml:space="preserve">Ms. Hall was both an incumbent seeking a transfer and an employee returning from leave.  </w:t>
      </w:r>
      <w:r w:rsidR="004C079F" w:rsidRPr="000F1974">
        <w:t>Her</w:t>
      </w:r>
      <w:r w:rsidRPr="000F1974">
        <w:t xml:space="preserve"> reassignment would not have required </w:t>
      </w:r>
      <w:r w:rsidR="00E57F39" w:rsidRPr="000F1974">
        <w:t>Sheriff</w:t>
      </w:r>
      <w:r w:rsidRPr="000F1974">
        <w:t xml:space="preserve"> </w:t>
      </w:r>
      <w:r w:rsidR="00E57F39" w:rsidRPr="000F1974">
        <w:t xml:space="preserve">Woody </w:t>
      </w:r>
      <w:r w:rsidRPr="000F1974">
        <w:t xml:space="preserve">to violate </w:t>
      </w:r>
      <w:r w:rsidR="00E57F39" w:rsidRPr="000F1974">
        <w:t>the Code.</w:t>
      </w:r>
    </w:p>
    <w:p w:rsidR="00461B6D" w:rsidRPr="000F1974" w:rsidRDefault="00A815C7" w:rsidP="00A815C7">
      <w:pPr>
        <w:spacing w:line="480" w:lineRule="auto"/>
        <w:ind w:right="720" w:firstLine="720"/>
      </w:pPr>
      <w:r w:rsidRPr="000F1974">
        <w:t xml:space="preserve">Sheriff </w:t>
      </w:r>
      <w:r w:rsidR="00654A7F" w:rsidRPr="000F1974">
        <w:t>Woody</w:t>
      </w:r>
      <w:r w:rsidRPr="000F1974">
        <w:t>’s</w:t>
      </w:r>
      <w:r w:rsidR="00654A7F" w:rsidRPr="000F1974">
        <w:t xml:space="preserve"> </w:t>
      </w:r>
      <w:r w:rsidRPr="000F1974">
        <w:t>admission</w:t>
      </w:r>
      <w:r w:rsidR="00654A7F" w:rsidRPr="000F1974">
        <w:t xml:space="preserve"> that on multiple occasions he </w:t>
      </w:r>
      <w:r w:rsidR="00E3011B" w:rsidRPr="000F1974">
        <w:t>failed to use “</w:t>
      </w:r>
      <w:r w:rsidR="00654A7F" w:rsidRPr="000F1974">
        <w:t>an open and comp</w:t>
      </w:r>
      <w:r w:rsidRPr="000F1974">
        <w:t>etitive hiring process”</w:t>
      </w:r>
      <w:r w:rsidR="004C079F" w:rsidRPr="000F1974">
        <w:t xml:space="preserve"> </w:t>
      </w:r>
      <w:r w:rsidRPr="000F1974">
        <w:t xml:space="preserve">further undermines his undue hardship defense.  </w:t>
      </w:r>
      <w:r w:rsidR="004C079F" w:rsidRPr="000F1974">
        <w:t xml:space="preserve">Sheriff Woody has on multiple occasions rejected HR’s recommended, highest-ranked candidate and instead hired a “less qualified” individual.  </w:t>
      </w:r>
      <w:r w:rsidR="00B70CD1" w:rsidRPr="000F1974">
        <w:t xml:space="preserve">Ex. 10, 30(b)(6) </w:t>
      </w:r>
      <w:r w:rsidR="00102E0E" w:rsidRPr="000F1974">
        <w:t>Dep</w:t>
      </w:r>
      <w:r w:rsidR="00B70CD1" w:rsidRPr="000F1974">
        <w:t>. Tr. 69:4−72:13</w:t>
      </w:r>
      <w:r w:rsidR="004C079F" w:rsidRPr="000F1974">
        <w:t xml:space="preserve">.  </w:t>
      </w:r>
      <w:r w:rsidRPr="000F1974">
        <w:t>Sheriff Woody</w:t>
      </w:r>
      <w:r w:rsidR="004C079F" w:rsidRPr="000F1974">
        <w:t xml:space="preserve"> has also failed to</w:t>
      </w:r>
      <w:r w:rsidRPr="000F1974">
        <w:t xml:space="preserve"> publicly advertise several vacant positions during the relevant period</w:t>
      </w:r>
      <w:r w:rsidR="004C079F" w:rsidRPr="000F1974">
        <w:t xml:space="preserve">.  </w:t>
      </w:r>
      <w:r w:rsidR="00B70CD1" w:rsidRPr="000F1974">
        <w:t xml:space="preserve">Ex. 26, Def.’s Second Admis. 9−12.  </w:t>
      </w:r>
      <w:r w:rsidR="004C079F" w:rsidRPr="000F1974">
        <w:t>These practices</w:t>
      </w:r>
      <w:r w:rsidRPr="000F1974">
        <w:t xml:space="preserve"> cal</w:t>
      </w:r>
      <w:r w:rsidR="004C079F" w:rsidRPr="000F1974">
        <w:t>l</w:t>
      </w:r>
      <w:r w:rsidRPr="000F1974">
        <w:t xml:space="preserve"> into question his </w:t>
      </w:r>
      <w:r w:rsidR="004C079F" w:rsidRPr="000F1974">
        <w:t>claimed “most qualified” policy</w:t>
      </w:r>
      <w:r w:rsidRPr="000F1974">
        <w:t xml:space="preserve"> and </w:t>
      </w:r>
      <w:r w:rsidR="001A4360" w:rsidRPr="000F1974">
        <w:t xml:space="preserve">fatally </w:t>
      </w:r>
      <w:r w:rsidRPr="000F1974">
        <w:t>undercut</w:t>
      </w:r>
      <w:r w:rsidR="004C079F" w:rsidRPr="000F1974">
        <w:t xml:space="preserve"> his purported s</w:t>
      </w:r>
      <w:r w:rsidRPr="000F1974">
        <w:t>tate law defense.</w:t>
      </w:r>
    </w:p>
    <w:p w:rsidR="007B7BB7" w:rsidRPr="000F1974" w:rsidRDefault="007B7BB7" w:rsidP="004A300B">
      <w:pPr>
        <w:spacing w:line="480" w:lineRule="auto"/>
        <w:ind w:right="720"/>
        <w:rPr>
          <w:i/>
        </w:rPr>
      </w:pPr>
      <w:r w:rsidRPr="000F1974">
        <w:tab/>
      </w:r>
      <w:r w:rsidR="001A4360" w:rsidRPr="000F1974">
        <w:t xml:space="preserve">Even if there were a conflict between </w:t>
      </w:r>
      <w:r w:rsidR="00181FED" w:rsidRPr="000F1974">
        <w:t xml:space="preserve">the ADA </w:t>
      </w:r>
      <w:r w:rsidR="001A4360" w:rsidRPr="000F1974">
        <w:t xml:space="preserve">and state law, which there is not, the ADA </w:t>
      </w:r>
      <w:r w:rsidR="00181FED" w:rsidRPr="000F1974">
        <w:t>prevail</w:t>
      </w:r>
      <w:r w:rsidR="004C079F" w:rsidRPr="000F1974">
        <w:t>s</w:t>
      </w:r>
      <w:r w:rsidR="00181FED" w:rsidRPr="000F1974">
        <w:t xml:space="preserve">.  </w:t>
      </w:r>
      <w:r w:rsidR="00181FED" w:rsidRPr="000F1974">
        <w:rPr>
          <w:i/>
        </w:rPr>
        <w:t>See Freightliner Corp. v. Myrick</w:t>
      </w:r>
      <w:r w:rsidR="00181FED" w:rsidRPr="000F1974">
        <w:t xml:space="preserve">, 514 U.S. 280, 287 (1995) (“[A] federal statute implicitly overrides state law . . . where it is ‘impossible for a private party to comply with both state and federal requirements,’ or where state law ‘stands as an obstacle to the accomplishment and execution of the full purposes and objectives of Congress.’” (citations omitted)); </w:t>
      </w:r>
      <w:r w:rsidR="00181FED" w:rsidRPr="000F1974">
        <w:rPr>
          <w:i/>
        </w:rPr>
        <w:t xml:space="preserve">cf. </w:t>
      </w:r>
      <w:r w:rsidR="004A300B" w:rsidRPr="000F1974">
        <w:rPr>
          <w:i/>
        </w:rPr>
        <w:t>Equal Rights Ctr. v. Niles Bolton Assocs</w:t>
      </w:r>
      <w:r w:rsidR="002573CD" w:rsidRPr="000F1974">
        <w:rPr>
          <w:i/>
        </w:rPr>
        <w:t>.</w:t>
      </w:r>
      <w:r w:rsidR="004A300B" w:rsidRPr="000F1974">
        <w:rPr>
          <w:i/>
        </w:rPr>
        <w:t xml:space="preserve">, </w:t>
      </w:r>
      <w:r w:rsidR="004A300B" w:rsidRPr="000F1974">
        <w:t xml:space="preserve">602 F.3d </w:t>
      </w:r>
      <w:r w:rsidR="004A300B" w:rsidRPr="000F1974">
        <w:lastRenderedPageBreak/>
        <w:t>597, 602 (4th Cir. 2010) (</w:t>
      </w:r>
      <w:r w:rsidR="001144C3" w:rsidRPr="000F1974">
        <w:t xml:space="preserve">citing </w:t>
      </w:r>
      <w:r w:rsidR="001144C3" w:rsidRPr="000F1974">
        <w:rPr>
          <w:i/>
        </w:rPr>
        <w:t>Myrick</w:t>
      </w:r>
      <w:r w:rsidR="001144C3" w:rsidRPr="000F1974">
        <w:t xml:space="preserve"> </w:t>
      </w:r>
      <w:r w:rsidR="004C079F" w:rsidRPr="000F1974">
        <w:t>to conclude</w:t>
      </w:r>
      <w:r w:rsidR="001144C3" w:rsidRPr="000F1974">
        <w:t xml:space="preserve"> the ADA</w:t>
      </w:r>
      <w:r w:rsidR="004A300B" w:rsidRPr="000F1974">
        <w:t xml:space="preserve"> preempt</w:t>
      </w:r>
      <w:r w:rsidR="001144C3" w:rsidRPr="000F1974">
        <w:t>s</w:t>
      </w:r>
      <w:r w:rsidR="004A300B" w:rsidRPr="000F1974">
        <w:t xml:space="preserve"> state law claims).</w:t>
      </w:r>
    </w:p>
    <w:p w:rsidR="0040626E" w:rsidRPr="000F1974" w:rsidRDefault="00E83863" w:rsidP="00E83863">
      <w:pPr>
        <w:pStyle w:val="ListParagraph"/>
        <w:numPr>
          <w:ilvl w:val="0"/>
          <w:numId w:val="27"/>
        </w:numPr>
        <w:ind w:left="0" w:firstLine="0"/>
        <w:jc w:val="center"/>
        <w:rPr>
          <w:b/>
        </w:rPr>
      </w:pPr>
      <w:r w:rsidRPr="000F1974">
        <w:rPr>
          <w:b/>
        </w:rPr>
        <w:t>CONCLUSION</w:t>
      </w:r>
    </w:p>
    <w:p w:rsidR="0040626E" w:rsidRPr="000F1974" w:rsidRDefault="0040626E" w:rsidP="00F658F5">
      <w:pPr>
        <w:spacing w:line="480" w:lineRule="auto"/>
        <w:ind w:firstLine="720"/>
      </w:pPr>
      <w:r w:rsidRPr="000F1974">
        <w:t xml:space="preserve">In sum, </w:t>
      </w:r>
      <w:r w:rsidR="00DF4443" w:rsidRPr="000F1974">
        <w:t xml:space="preserve">and as a matter of law, </w:t>
      </w:r>
      <w:r w:rsidRPr="000F1974">
        <w:t xml:space="preserve">the plain language of the ADA, Supreme Court precedent, Fourth Circuit precedent, and other circuit precedent support the conclusion </w:t>
      </w:r>
      <w:r w:rsidR="0085749A">
        <w:t xml:space="preserve">that </w:t>
      </w:r>
      <w:r w:rsidR="00AF3D38" w:rsidRPr="000F1974">
        <w:t>the ADA required Sheriff Woody to reassign Ms. Hall</w:t>
      </w:r>
      <w:r w:rsidRPr="000F1974">
        <w:t>.  The parties do not dispute any of the material facts underlying the United States’ claim or Sheriff Woody’s defense.  The United States therefore requests that this Court grant summary judgment to the United States</w:t>
      </w:r>
      <w:r w:rsidR="00181FED" w:rsidRPr="000F1974">
        <w:t>.</w:t>
      </w:r>
    </w:p>
    <w:p w:rsidR="00FD7100" w:rsidRPr="000F1974" w:rsidRDefault="0010551C" w:rsidP="00FD7100">
      <w:pPr>
        <w:pStyle w:val="Default"/>
        <w:rPr>
          <w:rFonts w:eastAsia="Times New Roman"/>
          <w:color w:val="auto"/>
        </w:rPr>
      </w:pPr>
      <w:r w:rsidRPr="000F1974">
        <w:rPr>
          <w:color w:val="auto"/>
        </w:rPr>
        <w:br w:type="page"/>
      </w:r>
      <w:r w:rsidR="00FD7100" w:rsidRPr="00891083">
        <w:rPr>
          <w:rFonts w:eastAsia="Times New Roman"/>
          <w:color w:val="auto"/>
        </w:rPr>
        <w:lastRenderedPageBreak/>
        <w:t xml:space="preserve">Respectfully submitted this </w:t>
      </w:r>
      <w:r w:rsidR="00891083" w:rsidRPr="00891083">
        <w:rPr>
          <w:rFonts w:eastAsia="Times New Roman"/>
          <w:color w:val="auto"/>
        </w:rPr>
        <w:t>2nd</w:t>
      </w:r>
      <w:r w:rsidR="0040626E" w:rsidRPr="00891083">
        <w:rPr>
          <w:rFonts w:eastAsia="Times New Roman"/>
          <w:color w:val="auto"/>
        </w:rPr>
        <w:t xml:space="preserve"> day of </w:t>
      </w:r>
      <w:r w:rsidR="00891083" w:rsidRPr="00891083">
        <w:rPr>
          <w:rFonts w:eastAsia="Times New Roman"/>
          <w:color w:val="auto"/>
        </w:rPr>
        <w:t>September</w:t>
      </w:r>
      <w:r w:rsidR="0040626E" w:rsidRPr="00891083">
        <w:rPr>
          <w:rFonts w:eastAsia="Times New Roman"/>
          <w:color w:val="auto"/>
        </w:rPr>
        <w:t>, 2016,</w:t>
      </w:r>
    </w:p>
    <w:p w:rsidR="00FD7100" w:rsidRPr="000F1974" w:rsidRDefault="00FD7100" w:rsidP="00FD7100">
      <w:pPr>
        <w:pStyle w:val="Default"/>
        <w:rPr>
          <w:rFonts w:eastAsia="Times New Roman"/>
          <w:color w:val="auto"/>
        </w:rPr>
      </w:pPr>
    </w:p>
    <w:p w:rsidR="00302172" w:rsidRPr="000F1974" w:rsidRDefault="00FD7100" w:rsidP="00FD7100">
      <w:pPr>
        <w:widowControl/>
        <w:autoSpaceDE/>
        <w:autoSpaceDN/>
        <w:adjustRightInd/>
        <w:spacing w:after="200" w:line="276" w:lineRule="auto"/>
        <w:jc w:val="center"/>
      </w:pPr>
      <w:r w:rsidRPr="000F1974">
        <w:t>FOR THE UNITED STATES:</w:t>
      </w:r>
    </w:p>
    <w:p w:rsidR="00302172" w:rsidRPr="000F1974" w:rsidRDefault="00302172" w:rsidP="00302172">
      <w:pPr>
        <w:pStyle w:val="Default"/>
        <w:rPr>
          <w:rFonts w:eastAsia="Times New Roman"/>
          <w:color w:val="auto"/>
        </w:rPr>
      </w:pPr>
    </w:p>
    <w:p w:rsidR="00302172" w:rsidRPr="000F1974" w:rsidRDefault="00302172" w:rsidP="00302172">
      <w:pPr>
        <w:sectPr w:rsidR="00302172" w:rsidRPr="000F1974" w:rsidSect="00C23C10">
          <w:type w:val="continuous"/>
          <w:pgSz w:w="12240" w:h="15840"/>
          <w:pgMar w:top="1440" w:right="1440" w:bottom="1440" w:left="1440" w:header="720" w:footer="720" w:gutter="0"/>
          <w:cols w:sep="1" w:space="720"/>
          <w:docGrid w:linePitch="360"/>
        </w:sectPr>
      </w:pPr>
    </w:p>
    <w:p w:rsidR="00302172" w:rsidRPr="000F1974" w:rsidRDefault="00302172" w:rsidP="00302172">
      <w:r w:rsidRPr="000F1974">
        <w:lastRenderedPageBreak/>
        <w:t>DANA J. BOENTE</w:t>
      </w:r>
    </w:p>
    <w:p w:rsidR="00302172" w:rsidRPr="000F1974" w:rsidRDefault="00302172" w:rsidP="00302172">
      <w:r w:rsidRPr="000F1974">
        <w:t xml:space="preserve">United States Attorney </w:t>
      </w:r>
    </w:p>
    <w:p w:rsidR="00302172" w:rsidRPr="000F1974" w:rsidRDefault="00302172" w:rsidP="00302172">
      <w:r w:rsidRPr="000F1974">
        <w:t>Eastern District of Virginia</w:t>
      </w:r>
    </w:p>
    <w:p w:rsidR="00302172" w:rsidRPr="000F1974" w:rsidRDefault="00302172" w:rsidP="00302172">
      <w:pPr>
        <w:rPr>
          <w:i/>
          <w:u w:val="single"/>
        </w:rPr>
      </w:pPr>
    </w:p>
    <w:p w:rsidR="00302172" w:rsidRPr="000F1974" w:rsidRDefault="00302172" w:rsidP="00302172">
      <w:pPr>
        <w:rPr>
          <w:i/>
          <w:u w:val="single"/>
        </w:rPr>
      </w:pPr>
    </w:p>
    <w:p w:rsidR="00302172" w:rsidRPr="000F1974" w:rsidRDefault="00302172" w:rsidP="00302172">
      <w:pPr>
        <w:rPr>
          <w:i/>
          <w:u w:val="single"/>
        </w:rPr>
      </w:pPr>
    </w:p>
    <w:p w:rsidR="00302172" w:rsidRPr="000F1974" w:rsidRDefault="00302172" w:rsidP="00302172">
      <w:pPr>
        <w:rPr>
          <w:i/>
          <w:u w:val="single"/>
        </w:rPr>
      </w:pPr>
    </w:p>
    <w:p w:rsidR="00302172" w:rsidRPr="000F1974" w:rsidRDefault="00302172" w:rsidP="00302172">
      <w:pPr>
        <w:rPr>
          <w:i/>
          <w:u w:val="single"/>
        </w:rPr>
      </w:pPr>
    </w:p>
    <w:p w:rsidR="00302172" w:rsidRPr="000F1974" w:rsidRDefault="00302172" w:rsidP="00302172">
      <w:pPr>
        <w:rPr>
          <w:i/>
          <w:u w:val="single"/>
        </w:rPr>
      </w:pPr>
    </w:p>
    <w:p w:rsidR="00302172" w:rsidRPr="000F1974" w:rsidRDefault="00302172" w:rsidP="00302172">
      <w:pPr>
        <w:rPr>
          <w:i/>
          <w:u w:val="single"/>
        </w:rPr>
      </w:pPr>
    </w:p>
    <w:p w:rsidR="00302172" w:rsidRPr="000F1974" w:rsidRDefault="00302172" w:rsidP="00302172">
      <w:pPr>
        <w:rPr>
          <w:i/>
          <w:u w:val="single"/>
        </w:rPr>
      </w:pPr>
    </w:p>
    <w:p w:rsidR="00302172" w:rsidRPr="000F1974" w:rsidRDefault="00302172" w:rsidP="00302172">
      <w:pPr>
        <w:rPr>
          <w:i/>
          <w:u w:val="single"/>
        </w:rPr>
      </w:pPr>
    </w:p>
    <w:p w:rsidR="00302172" w:rsidRPr="000F1974" w:rsidRDefault="00302172" w:rsidP="00302172">
      <w:pPr>
        <w:rPr>
          <w:i/>
          <w:u w:val="single"/>
        </w:rPr>
      </w:pPr>
      <w:r w:rsidRPr="000F1974">
        <w:rPr>
          <w:i/>
          <w:u w:val="single"/>
        </w:rPr>
        <w:t>/s/ L. Margaret Harker</w:t>
      </w:r>
    </w:p>
    <w:p w:rsidR="00302172" w:rsidRPr="000F1974" w:rsidRDefault="00302172" w:rsidP="00302172">
      <w:r w:rsidRPr="000F1974">
        <w:t>L. Margaret Harker</w:t>
      </w:r>
    </w:p>
    <w:p w:rsidR="00302172" w:rsidRPr="000F1974" w:rsidRDefault="00302172" w:rsidP="00302172">
      <w:r w:rsidRPr="000F1974">
        <w:t>VSB No. 82188</w:t>
      </w:r>
    </w:p>
    <w:p w:rsidR="00302172" w:rsidRPr="000F1974" w:rsidRDefault="00302172" w:rsidP="00302172">
      <w:r w:rsidRPr="000F1974">
        <w:t>Assistant United States Attorney</w:t>
      </w:r>
    </w:p>
    <w:p w:rsidR="00302172" w:rsidRPr="000F1974" w:rsidRDefault="00302172" w:rsidP="00302172">
      <w:r w:rsidRPr="000F1974">
        <w:t>Office of the United States Attorney</w:t>
      </w:r>
    </w:p>
    <w:p w:rsidR="00302172" w:rsidRPr="000F1974" w:rsidRDefault="00302172" w:rsidP="00302172">
      <w:r w:rsidRPr="000F1974">
        <w:t>919 East Main Street, Suite 1900</w:t>
      </w:r>
    </w:p>
    <w:p w:rsidR="00302172" w:rsidRPr="000F1974" w:rsidRDefault="00302172" w:rsidP="00302172">
      <w:r w:rsidRPr="000F1974">
        <w:t>Richmond, Virginia, 23219</w:t>
      </w:r>
    </w:p>
    <w:p w:rsidR="00302172" w:rsidRPr="000F1974" w:rsidRDefault="00302172" w:rsidP="00302172">
      <w:r w:rsidRPr="000F1974">
        <w:t>(804) 819-5400 (phone)</w:t>
      </w:r>
    </w:p>
    <w:p w:rsidR="00302172" w:rsidRPr="000F1974" w:rsidRDefault="00302172" w:rsidP="00302172">
      <w:r w:rsidRPr="000F1974">
        <w:t>(804) 819-7417 (fax)</w:t>
      </w:r>
    </w:p>
    <w:p w:rsidR="00302172" w:rsidRPr="000F1974" w:rsidRDefault="00302172" w:rsidP="00302172">
      <w:r w:rsidRPr="000F1974">
        <w:t>Margaret.Harker@usdoj.gov</w:t>
      </w:r>
    </w:p>
    <w:p w:rsidR="00302172" w:rsidRPr="000F1974" w:rsidRDefault="00302172" w:rsidP="00302172"/>
    <w:p w:rsidR="00302172" w:rsidRPr="000F1974" w:rsidRDefault="00302172" w:rsidP="00302172"/>
    <w:p w:rsidR="00302172" w:rsidRPr="000F1974" w:rsidRDefault="00302172" w:rsidP="0030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ngLiU"/>
        </w:rPr>
      </w:pPr>
      <w:r w:rsidRPr="000F1974">
        <w:rPr>
          <w:rFonts w:eastAsia="@MingLiU"/>
        </w:rPr>
        <w:lastRenderedPageBreak/>
        <w:t>VANITA GUPTA</w:t>
      </w:r>
    </w:p>
    <w:p w:rsidR="00302172" w:rsidRPr="000F1974" w:rsidRDefault="00302172" w:rsidP="0030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974">
        <w:t>Principal Deputy Assistant Attorney General</w:t>
      </w:r>
    </w:p>
    <w:p w:rsidR="00302172" w:rsidRPr="000F1974" w:rsidRDefault="00302172" w:rsidP="0030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02172" w:rsidRPr="000F1974" w:rsidRDefault="00302172" w:rsidP="0030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ngLiU"/>
        </w:rPr>
      </w:pPr>
      <w:r w:rsidRPr="000F1974">
        <w:t>EVE L. HILL</w:t>
      </w:r>
      <w:r w:rsidRPr="000F1974">
        <w:br/>
        <w:t>Deputy Assistant Attorney General</w:t>
      </w:r>
      <w:r w:rsidRPr="000F1974">
        <w:br/>
        <w:t>Civil Rights Division</w:t>
      </w:r>
    </w:p>
    <w:p w:rsidR="00302172" w:rsidRPr="000F1974" w:rsidRDefault="00302172" w:rsidP="00302172">
      <w:pPr>
        <w:rPr>
          <w:rFonts w:eastAsia="@MingLiU"/>
        </w:rPr>
      </w:pPr>
    </w:p>
    <w:p w:rsidR="00302172" w:rsidRPr="000F1974" w:rsidRDefault="00302172" w:rsidP="00302172">
      <w:pPr>
        <w:rPr>
          <w:rFonts w:eastAsia="@MingLiU"/>
        </w:rPr>
      </w:pPr>
      <w:r w:rsidRPr="000F1974">
        <w:rPr>
          <w:rFonts w:eastAsia="@MingLiU"/>
        </w:rPr>
        <w:t>REBECCA B. BOND</w:t>
      </w:r>
    </w:p>
    <w:p w:rsidR="00302172" w:rsidRPr="000F1974" w:rsidRDefault="00302172" w:rsidP="00302172">
      <w:pPr>
        <w:rPr>
          <w:rFonts w:eastAsia="@MingLiU"/>
        </w:rPr>
      </w:pPr>
      <w:r w:rsidRPr="000F1974">
        <w:rPr>
          <w:rFonts w:eastAsia="@MingLiU"/>
        </w:rPr>
        <w:t>Chief</w:t>
      </w:r>
    </w:p>
    <w:p w:rsidR="00302172" w:rsidRPr="000F1974" w:rsidRDefault="00302172" w:rsidP="00302172">
      <w:pPr>
        <w:rPr>
          <w:rFonts w:eastAsia="@MingLiU"/>
        </w:rPr>
      </w:pPr>
      <w:r w:rsidRPr="000F1974">
        <w:rPr>
          <w:rFonts w:eastAsia="@MingLiU"/>
        </w:rPr>
        <w:t>AMANDA MAISELS</w:t>
      </w:r>
    </w:p>
    <w:p w:rsidR="00302172" w:rsidRPr="000F1974" w:rsidRDefault="00302172" w:rsidP="00302172">
      <w:pPr>
        <w:rPr>
          <w:rFonts w:eastAsia="@MingLiU"/>
        </w:rPr>
      </w:pPr>
      <w:r w:rsidRPr="000F1974">
        <w:rPr>
          <w:rFonts w:eastAsia="@MingLiU"/>
        </w:rPr>
        <w:t>Deputy Chief</w:t>
      </w:r>
    </w:p>
    <w:p w:rsidR="00302172" w:rsidRPr="000F1974" w:rsidRDefault="00302172" w:rsidP="00302172">
      <w:pPr>
        <w:rPr>
          <w:rFonts w:eastAsia="@MingLiU"/>
        </w:rPr>
      </w:pPr>
    </w:p>
    <w:p w:rsidR="00302172" w:rsidRPr="000F1974" w:rsidRDefault="00302172" w:rsidP="00302172">
      <w:pPr>
        <w:rPr>
          <w:rFonts w:eastAsia="@MingLiU"/>
          <w:i/>
          <w:u w:val="single"/>
        </w:rPr>
      </w:pPr>
      <w:r w:rsidRPr="000F1974">
        <w:rPr>
          <w:rFonts w:eastAsia="@MingLiU"/>
          <w:i/>
          <w:u w:val="single"/>
        </w:rPr>
        <w:t xml:space="preserve">/s/ </w:t>
      </w:r>
      <w:r w:rsidR="005B0B77" w:rsidRPr="000F1974">
        <w:rPr>
          <w:rFonts w:eastAsia="@MingLiU"/>
          <w:i/>
          <w:u w:val="single"/>
        </w:rPr>
        <w:t>Kathryn E. Gilbert</w:t>
      </w:r>
    </w:p>
    <w:p w:rsidR="00302172" w:rsidRPr="000F1974" w:rsidRDefault="00302172" w:rsidP="00302172">
      <w:pPr>
        <w:rPr>
          <w:rFonts w:eastAsia="@MingLiU"/>
        </w:rPr>
      </w:pPr>
      <w:r w:rsidRPr="000F1974">
        <w:rPr>
          <w:rFonts w:eastAsia="@MingLiU"/>
        </w:rPr>
        <w:t>Alyse Bass, Senior Trial Attorney</w:t>
      </w:r>
    </w:p>
    <w:p w:rsidR="00302172" w:rsidRPr="000F1974" w:rsidRDefault="00302172" w:rsidP="00302172">
      <w:pPr>
        <w:rPr>
          <w:rFonts w:eastAsia="@MingLiU"/>
        </w:rPr>
      </w:pPr>
      <w:r w:rsidRPr="000F1974">
        <w:rPr>
          <w:rFonts w:eastAsia="@MingLiU"/>
        </w:rPr>
        <w:t xml:space="preserve">alyse.bass@usdoj.gov </w:t>
      </w:r>
    </w:p>
    <w:p w:rsidR="00302172" w:rsidRPr="000F1974" w:rsidRDefault="00302172" w:rsidP="00302172">
      <w:pPr>
        <w:rPr>
          <w:rFonts w:eastAsia="@MingLiU"/>
        </w:rPr>
      </w:pPr>
      <w:r w:rsidRPr="000F1974">
        <w:rPr>
          <w:rFonts w:eastAsia="@MingLiU"/>
        </w:rPr>
        <w:t>Kathryn E. Gilbert, Trial Attorney</w:t>
      </w:r>
    </w:p>
    <w:p w:rsidR="00302172" w:rsidRPr="000F1974" w:rsidRDefault="00302172" w:rsidP="00302172">
      <w:pPr>
        <w:rPr>
          <w:rFonts w:eastAsia="@MingLiU"/>
        </w:rPr>
      </w:pPr>
      <w:r w:rsidRPr="000F1974">
        <w:rPr>
          <w:rFonts w:eastAsia="@MingLiU"/>
        </w:rPr>
        <w:t>kathryn.gilbert@usdoj.gov</w:t>
      </w:r>
    </w:p>
    <w:p w:rsidR="00302172" w:rsidRPr="000F1974" w:rsidRDefault="00302172" w:rsidP="00302172">
      <w:pPr>
        <w:rPr>
          <w:rFonts w:eastAsia="@MingLiU"/>
        </w:rPr>
      </w:pPr>
      <w:r w:rsidRPr="000F1974">
        <w:rPr>
          <w:rFonts w:eastAsia="@MingLiU"/>
        </w:rPr>
        <w:t>Disability Rights Section</w:t>
      </w:r>
    </w:p>
    <w:p w:rsidR="00302172" w:rsidRPr="000F1974" w:rsidRDefault="00302172" w:rsidP="00302172">
      <w:pPr>
        <w:rPr>
          <w:rFonts w:eastAsia="@MingLiU"/>
        </w:rPr>
      </w:pPr>
      <w:r w:rsidRPr="000F1974">
        <w:rPr>
          <w:rFonts w:eastAsia="@MingLiU"/>
        </w:rPr>
        <w:t>Civil Rights Division</w:t>
      </w:r>
    </w:p>
    <w:p w:rsidR="00302172" w:rsidRPr="000F1974" w:rsidRDefault="00302172" w:rsidP="00302172">
      <w:pPr>
        <w:rPr>
          <w:rFonts w:eastAsia="@MingLiU"/>
        </w:rPr>
      </w:pPr>
      <w:r w:rsidRPr="000F1974">
        <w:rPr>
          <w:rFonts w:eastAsia="@MingLiU"/>
        </w:rPr>
        <w:t>U.S. Department of Justice</w:t>
      </w:r>
    </w:p>
    <w:p w:rsidR="00302172" w:rsidRPr="000F1974" w:rsidRDefault="00302172" w:rsidP="00302172">
      <w:pPr>
        <w:rPr>
          <w:rFonts w:eastAsia="@MingLiU"/>
        </w:rPr>
      </w:pPr>
      <w:r w:rsidRPr="000F1974">
        <w:rPr>
          <w:rFonts w:eastAsia="@MingLiU"/>
        </w:rPr>
        <w:t>950 Pennsylvania Avenue, N.W.</w:t>
      </w:r>
    </w:p>
    <w:p w:rsidR="00302172" w:rsidRPr="000F1974" w:rsidRDefault="00302172" w:rsidP="00302172">
      <w:pPr>
        <w:rPr>
          <w:rFonts w:eastAsia="@MingLiU"/>
        </w:rPr>
      </w:pPr>
      <w:r w:rsidRPr="000F1974">
        <w:rPr>
          <w:rFonts w:eastAsia="@MingLiU"/>
        </w:rPr>
        <w:t>Washington, D.C.  20530</w:t>
      </w:r>
    </w:p>
    <w:p w:rsidR="00302172" w:rsidRPr="000F1974" w:rsidRDefault="00302172" w:rsidP="00302172">
      <w:pPr>
        <w:rPr>
          <w:rFonts w:eastAsia="@MingLiU"/>
        </w:rPr>
      </w:pPr>
      <w:r w:rsidRPr="000F1974">
        <w:rPr>
          <w:rFonts w:eastAsia="@MingLiU"/>
        </w:rPr>
        <w:t>Telephone:  (202) 616-2430</w:t>
      </w:r>
    </w:p>
    <w:p w:rsidR="00302172" w:rsidRPr="000F1974" w:rsidRDefault="00302172" w:rsidP="00302172">
      <w:pPr>
        <w:rPr>
          <w:rFonts w:eastAsia="@MingLiU"/>
        </w:rPr>
      </w:pPr>
      <w:r w:rsidRPr="000F1974">
        <w:rPr>
          <w:rFonts w:eastAsia="@MingLiU"/>
        </w:rPr>
        <w:t>Facsimile:  (202) 305-9775</w:t>
      </w:r>
    </w:p>
    <w:p w:rsidR="00302172" w:rsidRPr="000F1974" w:rsidRDefault="00302172" w:rsidP="00302172">
      <w:pPr>
        <w:pStyle w:val="Default"/>
        <w:rPr>
          <w:rFonts w:eastAsia="Times New Roman"/>
          <w:color w:val="auto"/>
        </w:rPr>
        <w:sectPr w:rsidR="00302172" w:rsidRPr="000F1974" w:rsidSect="00C23C10">
          <w:type w:val="continuous"/>
          <w:pgSz w:w="12240" w:h="15840"/>
          <w:pgMar w:top="1440" w:right="1440" w:bottom="1440" w:left="1440" w:header="720" w:footer="720" w:gutter="0"/>
          <w:cols w:num="2" w:sep="1" w:space="720"/>
          <w:docGrid w:linePitch="360"/>
        </w:sectPr>
      </w:pPr>
    </w:p>
    <w:p w:rsidR="00302172" w:rsidRPr="000F1974" w:rsidRDefault="00302172" w:rsidP="00302172">
      <w:pPr>
        <w:pStyle w:val="Default"/>
        <w:rPr>
          <w:rFonts w:eastAsia="Times New Roman"/>
          <w:color w:val="auto"/>
        </w:rPr>
      </w:pPr>
    </w:p>
    <w:p w:rsidR="00302172" w:rsidRPr="000F1974" w:rsidRDefault="00302172" w:rsidP="00302172">
      <w:pPr>
        <w:pStyle w:val="Default"/>
        <w:rPr>
          <w:rFonts w:eastAsia="Times New Roman"/>
          <w:color w:val="auto"/>
        </w:rPr>
      </w:pPr>
    </w:p>
    <w:p w:rsidR="00302172" w:rsidRPr="000F1974" w:rsidRDefault="00302172" w:rsidP="00302172">
      <w:pPr>
        <w:pStyle w:val="Default"/>
        <w:rPr>
          <w:rFonts w:eastAsia="Times New Roman"/>
          <w:color w:val="auto"/>
        </w:rPr>
      </w:pPr>
    </w:p>
    <w:p w:rsidR="00302172" w:rsidRPr="000F1974" w:rsidRDefault="00302172" w:rsidP="00302172">
      <w:pPr>
        <w:pStyle w:val="Default"/>
        <w:rPr>
          <w:rFonts w:eastAsia="Times New Roman"/>
          <w:color w:val="auto"/>
        </w:rPr>
        <w:sectPr w:rsidR="00302172" w:rsidRPr="000F1974" w:rsidSect="00C23C10">
          <w:type w:val="continuous"/>
          <w:pgSz w:w="12240" w:h="15840"/>
          <w:pgMar w:top="1440" w:right="1440" w:bottom="1440" w:left="1440" w:header="720" w:footer="720" w:gutter="0"/>
          <w:cols w:sep="1" w:space="720"/>
          <w:docGrid w:linePitch="360"/>
        </w:sectPr>
      </w:pPr>
    </w:p>
    <w:p w:rsidR="00302172" w:rsidRPr="000F1974" w:rsidRDefault="00302172" w:rsidP="00302172">
      <w:pPr>
        <w:jc w:val="center"/>
        <w:rPr>
          <w:b/>
          <w:u w:val="single"/>
        </w:rPr>
      </w:pPr>
      <w:r w:rsidRPr="000F1974">
        <w:rPr>
          <w:b/>
          <w:u w:val="single"/>
        </w:rPr>
        <w:lastRenderedPageBreak/>
        <w:t>CERTIFICATE OF SERVICE</w:t>
      </w:r>
    </w:p>
    <w:p w:rsidR="00302172" w:rsidRPr="000F1974" w:rsidRDefault="00302172" w:rsidP="00302172">
      <w:pPr>
        <w:jc w:val="center"/>
        <w:rPr>
          <w:b/>
          <w:u w:val="single"/>
        </w:rPr>
      </w:pPr>
    </w:p>
    <w:p w:rsidR="00EB6C56" w:rsidRPr="000F1974" w:rsidRDefault="00302172" w:rsidP="00EB6C56">
      <w:pPr>
        <w:spacing w:line="480" w:lineRule="auto"/>
      </w:pPr>
      <w:r w:rsidRPr="000F1974">
        <w:tab/>
      </w:r>
      <w:r w:rsidR="004F212D" w:rsidRPr="00203D5A">
        <w:t xml:space="preserve">I hereby certify that on this, the </w:t>
      </w:r>
      <w:r w:rsidR="004F212D">
        <w:t>2nd</w:t>
      </w:r>
      <w:r w:rsidR="004F212D" w:rsidRPr="00203D5A">
        <w:t xml:space="preserve"> day of </w:t>
      </w:r>
      <w:r w:rsidR="004F212D">
        <w:t>September</w:t>
      </w:r>
      <w:r w:rsidR="004F212D" w:rsidRPr="00203D5A">
        <w:t>, 2016, I electronically filed the foregoing with the Clerk of Court using the CM/ECF system, which will send a notification of such filing (NEF) to</w:t>
      </w:r>
      <w:r w:rsidR="004F212D" w:rsidRPr="00EE1B90">
        <w:t>:</w:t>
      </w:r>
    </w:p>
    <w:p w:rsidR="00EB6C56" w:rsidRPr="000F1974" w:rsidRDefault="00EB6C56" w:rsidP="00EB6C56">
      <w:r w:rsidRPr="000F1974">
        <w:t>William W. Tunner (VSB No. 38358)</w:t>
      </w:r>
    </w:p>
    <w:p w:rsidR="00EB6C56" w:rsidRPr="000F1974" w:rsidRDefault="00EB6C56" w:rsidP="00EB6C56">
      <w:r w:rsidRPr="000F1974">
        <w:t>Courtney M. Malveaux (VSB No. 51064)</w:t>
      </w:r>
    </w:p>
    <w:p w:rsidR="00EB6C56" w:rsidRDefault="00EB6C56" w:rsidP="00EB6C56">
      <w:r w:rsidRPr="000F1974">
        <w:t>William D. Prince, IV (VSB No. 77209)</w:t>
      </w:r>
    </w:p>
    <w:p w:rsidR="007F29F1" w:rsidRPr="000F1974" w:rsidRDefault="007F29F1" w:rsidP="00EB6C56">
      <w:r>
        <w:t xml:space="preserve">Neil S. Talegaonkar (VSB No. </w:t>
      </w:r>
      <w:r w:rsidRPr="007F29F1">
        <w:t>44589)</w:t>
      </w:r>
    </w:p>
    <w:p w:rsidR="00EB6C56" w:rsidRPr="000F1974" w:rsidRDefault="00EB6C56" w:rsidP="00EB6C56">
      <w:r w:rsidRPr="000F1974">
        <w:t>ThompsonMcMullan, P.C.</w:t>
      </w:r>
    </w:p>
    <w:p w:rsidR="00EB6C56" w:rsidRPr="000F1974" w:rsidRDefault="00EB6C56" w:rsidP="00EB6C56">
      <w:r w:rsidRPr="000F1974">
        <w:t>100 Shockoe Slip, 3rd Floor</w:t>
      </w:r>
    </w:p>
    <w:p w:rsidR="00EB6C56" w:rsidRPr="000F1974" w:rsidRDefault="00EB6C56" w:rsidP="00EB6C56">
      <w:r w:rsidRPr="000F1974">
        <w:t>Richmond, Virginia 23219</w:t>
      </w:r>
    </w:p>
    <w:p w:rsidR="00EB6C56" w:rsidRPr="000F1974" w:rsidRDefault="00EB6C56" w:rsidP="00EB6C56">
      <w:r w:rsidRPr="000F1974">
        <w:t>Tel: (804) 649-7545</w:t>
      </w:r>
    </w:p>
    <w:p w:rsidR="00EB6C56" w:rsidRPr="000F1974" w:rsidRDefault="00EB6C56" w:rsidP="00EB6C56">
      <w:r w:rsidRPr="000F1974">
        <w:t>Fax: (804) 780-1813</w:t>
      </w:r>
    </w:p>
    <w:p w:rsidR="00EB6C56" w:rsidRPr="000F1974" w:rsidRDefault="00EB6C56" w:rsidP="00EB6C56">
      <w:r w:rsidRPr="000F1974">
        <w:t>wtunner@t-mlaw.com</w:t>
      </w:r>
    </w:p>
    <w:p w:rsidR="00EB6C56" w:rsidRPr="000F1974" w:rsidRDefault="00EB6C56" w:rsidP="00EB6C56">
      <w:r w:rsidRPr="000F1974">
        <w:t>cmalveaux@t-mlaw.com</w:t>
      </w:r>
    </w:p>
    <w:p w:rsidR="00EB6C56" w:rsidRDefault="00EB6C56" w:rsidP="00EB6C56">
      <w:r w:rsidRPr="000F1974">
        <w:t>wprince@t-mlaw.com</w:t>
      </w:r>
    </w:p>
    <w:p w:rsidR="007F29F1" w:rsidRPr="000F1974" w:rsidRDefault="007F29F1" w:rsidP="00EB6C56">
      <w:r w:rsidRPr="007F29F1">
        <w:t>ntalegaonkar@t-mlaw.com</w:t>
      </w:r>
    </w:p>
    <w:p w:rsidR="00EB6C56" w:rsidRPr="000F1974" w:rsidRDefault="00EB6C56" w:rsidP="00EB6C56">
      <w:pPr>
        <w:rPr>
          <w:i/>
        </w:rPr>
      </w:pPr>
      <w:r w:rsidRPr="000F1974">
        <w:rPr>
          <w:i/>
        </w:rPr>
        <w:t>Counsel for Defendant C.T. Woody, Jr., Sheriff, City of Richmond</w:t>
      </w:r>
    </w:p>
    <w:p w:rsidR="00EB6C56" w:rsidRPr="000F1974" w:rsidRDefault="00EB6C56" w:rsidP="00EB6C56">
      <w:pPr>
        <w:rPr>
          <w:i/>
        </w:rPr>
      </w:pPr>
    </w:p>
    <w:p w:rsidR="00EB6C56" w:rsidRPr="000F1974" w:rsidRDefault="00EB6C56" w:rsidP="00EB6C56">
      <w:pPr>
        <w:rPr>
          <w:i/>
        </w:rPr>
      </w:pPr>
    </w:p>
    <w:p w:rsidR="0040626E" w:rsidRPr="000F1974" w:rsidRDefault="0040626E" w:rsidP="0040626E">
      <w:pPr>
        <w:ind w:left="5760"/>
        <w:rPr>
          <w:i/>
          <w:u w:val="single"/>
        </w:rPr>
      </w:pPr>
      <w:r w:rsidRPr="000F1974">
        <w:rPr>
          <w:i/>
          <w:u w:val="single"/>
        </w:rPr>
        <w:t>/s/ L. Margaret Harker</w:t>
      </w:r>
    </w:p>
    <w:p w:rsidR="0040626E" w:rsidRPr="000F1974" w:rsidRDefault="0040626E" w:rsidP="0040626E">
      <w:pPr>
        <w:ind w:left="5760"/>
      </w:pPr>
      <w:r w:rsidRPr="000F1974">
        <w:t>L. Margaret Harker</w:t>
      </w:r>
    </w:p>
    <w:p w:rsidR="0040626E" w:rsidRPr="000F1974" w:rsidRDefault="0040626E" w:rsidP="0040626E">
      <w:pPr>
        <w:ind w:left="5760"/>
      </w:pPr>
      <w:r w:rsidRPr="000F1974">
        <w:t>VSB No. 82188</w:t>
      </w:r>
    </w:p>
    <w:p w:rsidR="0040626E" w:rsidRPr="000F1974" w:rsidRDefault="0040626E" w:rsidP="0040626E">
      <w:pPr>
        <w:ind w:left="5760"/>
      </w:pPr>
      <w:r w:rsidRPr="000F1974">
        <w:t>Assistant United States Attorney</w:t>
      </w:r>
    </w:p>
    <w:p w:rsidR="0040626E" w:rsidRPr="000F1974" w:rsidRDefault="0040626E" w:rsidP="0040626E">
      <w:pPr>
        <w:ind w:left="5760"/>
      </w:pPr>
      <w:r w:rsidRPr="000F1974">
        <w:t>Office of the United States Attorney</w:t>
      </w:r>
    </w:p>
    <w:p w:rsidR="0040626E" w:rsidRPr="000F1974" w:rsidRDefault="0040626E" w:rsidP="0040626E">
      <w:pPr>
        <w:ind w:left="5760"/>
      </w:pPr>
      <w:r w:rsidRPr="000F1974">
        <w:t>919 East Main Street, Suite 1900</w:t>
      </w:r>
    </w:p>
    <w:p w:rsidR="0040626E" w:rsidRPr="000F1974" w:rsidRDefault="0040626E" w:rsidP="0040626E">
      <w:pPr>
        <w:ind w:left="5760"/>
      </w:pPr>
      <w:r w:rsidRPr="000F1974">
        <w:t>Richmond, Virginia, 23219</w:t>
      </w:r>
    </w:p>
    <w:p w:rsidR="0040626E" w:rsidRPr="000F1974" w:rsidRDefault="0040626E" w:rsidP="0040626E">
      <w:pPr>
        <w:ind w:left="5760"/>
      </w:pPr>
      <w:r w:rsidRPr="000F1974">
        <w:t>(804) 819-5400 (phone)</w:t>
      </w:r>
    </w:p>
    <w:p w:rsidR="0040626E" w:rsidRPr="000F1974" w:rsidRDefault="0040626E" w:rsidP="0040626E">
      <w:pPr>
        <w:ind w:left="5760"/>
      </w:pPr>
      <w:r w:rsidRPr="000F1974">
        <w:t>(804) 819-7417 (fax)</w:t>
      </w:r>
    </w:p>
    <w:p w:rsidR="0040626E" w:rsidRPr="000F1974" w:rsidRDefault="0040626E" w:rsidP="0040626E">
      <w:pPr>
        <w:ind w:left="5760"/>
      </w:pPr>
      <w:r w:rsidRPr="000F1974">
        <w:t>Margaret.Harker@usdoj.gov</w:t>
      </w:r>
    </w:p>
    <w:p w:rsidR="00302172" w:rsidRPr="000F1974" w:rsidRDefault="00302172" w:rsidP="00EB6C56">
      <w:pPr>
        <w:spacing w:line="480" w:lineRule="auto"/>
      </w:pPr>
    </w:p>
    <w:p w:rsidR="00C23C10" w:rsidRPr="000F1974" w:rsidRDefault="00C23C10"/>
    <w:sectPr w:rsidR="00C23C10" w:rsidRPr="000F1974" w:rsidSect="000866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94A" w:rsidRDefault="00FF394A" w:rsidP="00A53973">
      <w:r>
        <w:separator/>
      </w:r>
    </w:p>
  </w:endnote>
  <w:endnote w:type="continuationSeparator" w:id="0">
    <w:p w:rsidR="00FF394A" w:rsidRDefault="00FF394A" w:rsidP="00A53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7767"/>
      <w:docPartObj>
        <w:docPartGallery w:val="Page Numbers (Bottom of Page)"/>
        <w:docPartUnique/>
      </w:docPartObj>
    </w:sdtPr>
    <w:sdtContent>
      <w:p w:rsidR="00FF394A" w:rsidRDefault="00732F52">
        <w:pPr>
          <w:pStyle w:val="Footer"/>
          <w:jc w:val="center"/>
        </w:pPr>
      </w:p>
    </w:sdtContent>
  </w:sdt>
  <w:p w:rsidR="00FF394A" w:rsidRDefault="00FF394A" w:rsidP="000F764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7764"/>
      <w:docPartObj>
        <w:docPartGallery w:val="Page Numbers (Bottom of Page)"/>
        <w:docPartUnique/>
      </w:docPartObj>
    </w:sdtPr>
    <w:sdtContent>
      <w:p w:rsidR="00FF394A" w:rsidRDefault="00732F52">
        <w:pPr>
          <w:pStyle w:val="Footer"/>
          <w:jc w:val="center"/>
        </w:pPr>
        <w:fldSimple w:instr=" PAGE   \* MERGEFORMAT ">
          <w:r w:rsidR="00AE7950">
            <w:rPr>
              <w:noProof/>
            </w:rPr>
            <w:t>31</w:t>
          </w:r>
        </w:fldSimple>
      </w:p>
    </w:sdtContent>
  </w:sdt>
  <w:p w:rsidR="00FF394A" w:rsidRDefault="00FF394A" w:rsidP="000F764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94A" w:rsidRDefault="00FF394A" w:rsidP="00A53973">
      <w:r>
        <w:separator/>
      </w:r>
    </w:p>
  </w:footnote>
  <w:footnote w:type="continuationSeparator" w:id="0">
    <w:p w:rsidR="00FF394A" w:rsidRDefault="00FF394A" w:rsidP="00A53973">
      <w:r>
        <w:continuationSeparator/>
      </w:r>
    </w:p>
  </w:footnote>
  <w:footnote w:id="1">
    <w:p w:rsidR="00FF394A" w:rsidRPr="001F2247" w:rsidRDefault="00FF394A" w:rsidP="00F01A09">
      <w:pPr>
        <w:pStyle w:val="FootnoteText"/>
        <w:rPr>
          <w:sz w:val="24"/>
          <w:szCs w:val="24"/>
        </w:rPr>
      </w:pPr>
      <w:r w:rsidRPr="001F2247">
        <w:rPr>
          <w:rStyle w:val="FootnoteReference"/>
          <w:sz w:val="24"/>
          <w:szCs w:val="24"/>
        </w:rPr>
        <w:footnoteRef/>
      </w:r>
      <w:r w:rsidRPr="001F2247">
        <w:rPr>
          <w:sz w:val="24"/>
          <w:szCs w:val="24"/>
        </w:rPr>
        <w:t xml:space="preserve"> Defendant has not produced any such response; the United States infers that there was none.</w:t>
      </w:r>
    </w:p>
  </w:footnote>
  <w:footnote w:id="2">
    <w:p w:rsidR="00FF394A" w:rsidRPr="001F2247" w:rsidRDefault="00FF394A">
      <w:pPr>
        <w:pStyle w:val="FootnoteText"/>
        <w:rPr>
          <w:sz w:val="24"/>
          <w:szCs w:val="24"/>
        </w:rPr>
      </w:pPr>
      <w:r w:rsidRPr="001F2247">
        <w:rPr>
          <w:rStyle w:val="FootnoteReference"/>
          <w:sz w:val="24"/>
        </w:rPr>
        <w:footnoteRef/>
      </w:r>
      <w:r w:rsidRPr="001F2247">
        <w:rPr>
          <w:sz w:val="24"/>
        </w:rPr>
        <w:t xml:space="preserve"> </w:t>
      </w:r>
      <w:r w:rsidRPr="001F2247">
        <w:rPr>
          <w:sz w:val="24"/>
          <w:szCs w:val="24"/>
        </w:rPr>
        <w:t>Sheriff Woody admitted that “Ms. Hall filed a charge of discrimination with the EEOC on October 10, 2013.”  Ex. 2, Def.’s Answer ¶ 7.  Sheriff Woody also produced to the United States, however, a Notice of a Charge of Discrimination dated August 14, 2013, which it admitted it had received.  Ex. 28, 30(b)(6) Ex. 19 (Woody 683−84); Ex. 10, 30(b)(6) Dep. Tr. 225:1−15.  Ms. Hall’s charge was timely on either date.</w:t>
      </w:r>
    </w:p>
  </w:footnote>
  <w:footnote w:id="3">
    <w:p w:rsidR="00FF394A" w:rsidRPr="001F2247" w:rsidRDefault="00FF394A" w:rsidP="00DA46C0">
      <w:pPr>
        <w:pStyle w:val="FootnoteText"/>
        <w:rPr>
          <w:sz w:val="24"/>
          <w:szCs w:val="24"/>
        </w:rPr>
      </w:pPr>
      <w:r w:rsidRPr="001F2247">
        <w:rPr>
          <w:rStyle w:val="FootnoteReference"/>
          <w:sz w:val="24"/>
          <w:szCs w:val="24"/>
        </w:rPr>
        <w:footnoteRef/>
      </w:r>
      <w:r w:rsidRPr="001F2247">
        <w:rPr>
          <w:sz w:val="24"/>
          <w:szCs w:val="24"/>
        </w:rPr>
        <w:t xml:space="preserve"> This failure may also have violated Sheriff Woody’s obligation “to engage in an ‘interactive process’ to determine the appropriate accommodation under the circumstances,” once the “employer’s responsibility to provide a reasonable accommodation [was] triggered.” </w:t>
      </w:r>
      <w:r w:rsidRPr="001F2247">
        <w:rPr>
          <w:i/>
          <w:sz w:val="24"/>
          <w:szCs w:val="24"/>
        </w:rPr>
        <w:t>Crabill v. Charlotte Mecklenburg Bd. of Educ.</w:t>
      </w:r>
      <w:r w:rsidRPr="001F2247">
        <w:rPr>
          <w:sz w:val="24"/>
          <w:szCs w:val="24"/>
        </w:rPr>
        <w:t xml:space="preserve">, 423 F. App’x 314, 322 (4th Cir. 2011) (unpublished); </w:t>
      </w:r>
      <w:r w:rsidRPr="001F2247">
        <w:rPr>
          <w:i/>
          <w:sz w:val="24"/>
          <w:szCs w:val="24"/>
        </w:rPr>
        <w:t>see also Taylor</w:t>
      </w:r>
      <w:r w:rsidRPr="001F2247">
        <w:rPr>
          <w:sz w:val="24"/>
          <w:szCs w:val="24"/>
        </w:rPr>
        <w:t xml:space="preserve">, 184 F.3d at 316 (“While an employee who wants a transfer to another position ultimately has the burden of showing that he or she can perform the essential functions of an open position, the employee does not have the burden of identifying open positions without the employer’s assistance.”).  The Court need not determine whether Sheriff Woody failed to engage in the “good faith interactive process,” </w:t>
      </w:r>
      <w:r w:rsidRPr="001F2247">
        <w:rPr>
          <w:i/>
          <w:sz w:val="24"/>
          <w:szCs w:val="24"/>
        </w:rPr>
        <w:t>Wilson</w:t>
      </w:r>
      <w:r w:rsidRPr="001F2247">
        <w:rPr>
          <w:sz w:val="24"/>
          <w:szCs w:val="24"/>
        </w:rPr>
        <w:t xml:space="preserve">, 717 F.3d at 347, by failing to disclose or publicly advertise these vacancies, nor does it need to decide whether Ms. Hall was qualified for all of these positions.  Sheriff Woody does not dispute that Ms. Hall was qualified for at least one vacant position.  The United States highlights these vacancies to emphasize that Ms. Hall did all she could to find a reassignment position.  Sheriff Woody nevertheless failed to notify her of potential placements, let alone place her in a vacant position for which she was qualified. </w:t>
      </w:r>
    </w:p>
  </w:footnote>
  <w:footnote w:id="4">
    <w:p w:rsidR="00FF394A" w:rsidRPr="001F2247" w:rsidRDefault="00FF394A">
      <w:pPr>
        <w:pStyle w:val="FootnoteText"/>
        <w:rPr>
          <w:sz w:val="24"/>
          <w:szCs w:val="24"/>
        </w:rPr>
      </w:pPr>
      <w:r w:rsidRPr="001F2247">
        <w:rPr>
          <w:rStyle w:val="FootnoteReference"/>
          <w:sz w:val="24"/>
          <w:szCs w:val="24"/>
        </w:rPr>
        <w:footnoteRef/>
      </w:r>
      <w:r w:rsidRPr="001F2247">
        <w:rPr>
          <w:sz w:val="24"/>
          <w:szCs w:val="24"/>
        </w:rPr>
        <w:t xml:space="preserve">  The ADA’s implementing regulation reinforces these statutory provisions.  </w:t>
      </w:r>
      <w:r w:rsidRPr="001F2247">
        <w:rPr>
          <w:i/>
          <w:sz w:val="24"/>
          <w:szCs w:val="24"/>
        </w:rPr>
        <w:t xml:space="preserve">See </w:t>
      </w:r>
      <w:r>
        <w:rPr>
          <w:sz w:val="24"/>
          <w:szCs w:val="24"/>
        </w:rPr>
        <w:t xml:space="preserve">29 C.F.R. §§ 1630.9, </w:t>
      </w:r>
      <w:r w:rsidRPr="001F2247">
        <w:rPr>
          <w:sz w:val="24"/>
          <w:szCs w:val="24"/>
        </w:rPr>
        <w:t>1630.2(o).</w:t>
      </w:r>
    </w:p>
  </w:footnote>
  <w:footnote w:id="5">
    <w:p w:rsidR="00FF394A" w:rsidRPr="001F2247" w:rsidRDefault="00FF394A" w:rsidP="00D1660F">
      <w:pPr>
        <w:pStyle w:val="FootnoteText"/>
        <w:rPr>
          <w:sz w:val="24"/>
          <w:szCs w:val="24"/>
        </w:rPr>
      </w:pPr>
      <w:r w:rsidRPr="001F2247">
        <w:rPr>
          <w:rStyle w:val="FootnoteReference"/>
          <w:sz w:val="24"/>
          <w:szCs w:val="24"/>
        </w:rPr>
        <w:footnoteRef/>
      </w:r>
      <w:r w:rsidRPr="001F2247">
        <w:rPr>
          <w:sz w:val="24"/>
          <w:szCs w:val="24"/>
        </w:rPr>
        <w:t xml:space="preserve"> EEOC, No. 915.002, </w:t>
      </w:r>
      <w:r w:rsidRPr="001F2247">
        <w:rPr>
          <w:i/>
          <w:sz w:val="24"/>
          <w:szCs w:val="24"/>
        </w:rPr>
        <w:t>Enforcement Guidance: Reasonable Accommodation and Undue Hardship Under the Americans with Disabilities Act</w:t>
      </w:r>
      <w:r w:rsidRPr="001F2247">
        <w:rPr>
          <w:sz w:val="24"/>
          <w:szCs w:val="24"/>
        </w:rPr>
        <w:t xml:space="preserve"> (2002), </w:t>
      </w:r>
    </w:p>
    <w:p w:rsidR="00FF394A" w:rsidRPr="001F2247" w:rsidRDefault="00FF394A" w:rsidP="00D1660F">
      <w:pPr>
        <w:pStyle w:val="FootnoteText"/>
        <w:rPr>
          <w:sz w:val="24"/>
          <w:szCs w:val="24"/>
        </w:rPr>
      </w:pPr>
      <w:r w:rsidRPr="001F2247">
        <w:rPr>
          <w:sz w:val="24"/>
          <w:szCs w:val="24"/>
        </w:rPr>
        <w:t xml:space="preserve">https://www.eeoc.gov/policy/docs/accommodation.html#reassignment (emphasis added).  </w:t>
      </w:r>
      <w:r w:rsidRPr="001F2247">
        <w:rPr>
          <w:i/>
          <w:sz w:val="24"/>
          <w:szCs w:val="24"/>
        </w:rPr>
        <w:t>See Taylor v. Fed. Express Corp.</w:t>
      </w:r>
      <w:r w:rsidRPr="001F2247">
        <w:rPr>
          <w:sz w:val="24"/>
          <w:szCs w:val="24"/>
        </w:rPr>
        <w:t xml:space="preserve">, 429 F.3d 461, 464 n.3 (4th Cir. 2005) (EEOC guidelines “constitute a body of experience and informed judgment to which courts and litigants may properly resort for guidance.” (quoting </w:t>
      </w:r>
      <w:r>
        <w:rPr>
          <w:i/>
          <w:sz w:val="24"/>
          <w:szCs w:val="24"/>
        </w:rPr>
        <w:t>Meritor Sav. Bank, FSB v. Vinson</w:t>
      </w:r>
      <w:r>
        <w:rPr>
          <w:sz w:val="24"/>
          <w:szCs w:val="24"/>
        </w:rPr>
        <w:t>, 477 U.S. 57, 65 (1986))).</w:t>
      </w:r>
    </w:p>
  </w:footnote>
  <w:footnote w:id="6">
    <w:p w:rsidR="00FF394A" w:rsidRPr="001F2247" w:rsidRDefault="00FF394A">
      <w:pPr>
        <w:pStyle w:val="FootnoteText"/>
        <w:rPr>
          <w:sz w:val="24"/>
          <w:szCs w:val="24"/>
        </w:rPr>
      </w:pPr>
      <w:r w:rsidRPr="001F2247">
        <w:rPr>
          <w:rStyle w:val="FootnoteReference"/>
          <w:sz w:val="24"/>
          <w:szCs w:val="24"/>
        </w:rPr>
        <w:footnoteRef/>
      </w:r>
      <w:r w:rsidRPr="001F2247">
        <w:rPr>
          <w:sz w:val="24"/>
          <w:szCs w:val="24"/>
        </w:rPr>
        <w:t xml:space="preserve"> The fact of Emily Hall’s ability to work with the accommodation of reassignment is undisputed in this case.  </w:t>
      </w:r>
      <w:r w:rsidRPr="001F2247">
        <w:rPr>
          <w:i/>
          <w:sz w:val="24"/>
          <w:szCs w:val="24"/>
        </w:rPr>
        <w:t xml:space="preserve">See </w:t>
      </w:r>
      <w:r w:rsidRPr="001F2247">
        <w:rPr>
          <w:sz w:val="24"/>
          <w:szCs w:val="24"/>
        </w:rPr>
        <w:t>Ex. 6, Def.’s First Admis. 14.</w:t>
      </w:r>
    </w:p>
  </w:footnote>
  <w:footnote w:id="7">
    <w:p w:rsidR="00FF394A" w:rsidRPr="001F2247" w:rsidRDefault="00FF394A" w:rsidP="00543644">
      <w:pPr>
        <w:pStyle w:val="FootnoteText"/>
        <w:rPr>
          <w:sz w:val="24"/>
          <w:szCs w:val="24"/>
        </w:rPr>
      </w:pPr>
      <w:r w:rsidRPr="00FF69C3">
        <w:rPr>
          <w:rStyle w:val="FootnoteReference"/>
          <w:sz w:val="24"/>
          <w:szCs w:val="24"/>
        </w:rPr>
        <w:footnoteRef/>
      </w:r>
      <w:r w:rsidRPr="00FF69C3">
        <w:rPr>
          <w:sz w:val="24"/>
          <w:szCs w:val="24"/>
        </w:rPr>
        <w:t xml:space="preserve"> </w:t>
      </w:r>
      <w:r w:rsidRPr="001F2247">
        <w:rPr>
          <w:sz w:val="24"/>
          <w:szCs w:val="24"/>
        </w:rPr>
        <w:t xml:space="preserve">The Rehabilitation Act case </w:t>
      </w:r>
      <w:r>
        <w:rPr>
          <w:sz w:val="24"/>
          <w:szCs w:val="24"/>
        </w:rPr>
        <w:t>relied on</w:t>
      </w:r>
      <w:r w:rsidRPr="001F2247">
        <w:rPr>
          <w:sz w:val="24"/>
          <w:szCs w:val="24"/>
        </w:rPr>
        <w:t xml:space="preserve"> in </w:t>
      </w:r>
      <w:r w:rsidRPr="001F2247">
        <w:rPr>
          <w:i/>
          <w:sz w:val="24"/>
          <w:szCs w:val="24"/>
        </w:rPr>
        <w:t>Myers</w:t>
      </w:r>
      <w:r w:rsidRPr="001F2247">
        <w:rPr>
          <w:sz w:val="24"/>
          <w:szCs w:val="24"/>
        </w:rPr>
        <w:t xml:space="preserve">, </w:t>
      </w:r>
      <w:r w:rsidRPr="001F2247">
        <w:rPr>
          <w:i/>
          <w:sz w:val="24"/>
          <w:szCs w:val="24"/>
        </w:rPr>
        <w:t>Guillot v. Garrett</w:t>
      </w:r>
      <w:r w:rsidRPr="001F2247">
        <w:rPr>
          <w:sz w:val="24"/>
          <w:szCs w:val="24"/>
        </w:rPr>
        <w:t xml:space="preserve">, 970 F.2d 1320 (4th Cir. 1992), was decided prior to that Act’s 1992 amendment, which expressly added reassignment as a form of reasonable accommodation in order to conform the Rehabilitation Act to the ADA.  </w:t>
      </w:r>
      <w:r w:rsidRPr="001F2247">
        <w:rPr>
          <w:i/>
          <w:sz w:val="24"/>
          <w:szCs w:val="24"/>
        </w:rPr>
        <w:t>See</w:t>
      </w:r>
      <w:r w:rsidRPr="001F2247">
        <w:rPr>
          <w:sz w:val="24"/>
          <w:szCs w:val="24"/>
        </w:rPr>
        <w:t xml:space="preserve"> </w:t>
      </w:r>
      <w:r w:rsidRPr="001F2247">
        <w:rPr>
          <w:i/>
          <w:sz w:val="24"/>
          <w:szCs w:val="24"/>
        </w:rPr>
        <w:t>Woodman v. Runyon</w:t>
      </w:r>
      <w:r w:rsidRPr="001F2247">
        <w:rPr>
          <w:sz w:val="24"/>
          <w:szCs w:val="24"/>
        </w:rPr>
        <w:t>, 132 F.3d 1330, 1339 n.8 (10th Cir. 1997) (“[T]he Rehabilitation Act was amended effective October 29, 1992, to incorporate into sections 501 and 504 the ADA’s express provision for reassignment as a potential form of reasonable accommodation.”)</w:t>
      </w:r>
      <w:r>
        <w:rPr>
          <w:sz w:val="24"/>
          <w:szCs w:val="24"/>
        </w:rPr>
        <w:t>.</w:t>
      </w:r>
      <w:r w:rsidRPr="001F2247">
        <w:rPr>
          <w:sz w:val="24"/>
          <w:szCs w:val="24"/>
        </w:rPr>
        <w:t xml:space="preserve">  Consequently, “pre–1992 Rehabilitation Act decisions such as </w:t>
      </w:r>
      <w:r w:rsidRPr="001F2247">
        <w:rPr>
          <w:i/>
          <w:sz w:val="24"/>
          <w:szCs w:val="24"/>
        </w:rPr>
        <w:t>Guillot</w:t>
      </w:r>
      <w:r w:rsidRPr="001F2247">
        <w:rPr>
          <w:sz w:val="24"/>
          <w:szCs w:val="24"/>
        </w:rPr>
        <w:t xml:space="preserve"> holding that re-assignment is not a reasonable accommodation are no longer good law . . . and </w:t>
      </w:r>
      <w:r w:rsidRPr="001F2247">
        <w:rPr>
          <w:i/>
          <w:sz w:val="24"/>
          <w:szCs w:val="24"/>
        </w:rPr>
        <w:t>Myers</w:t>
      </w:r>
      <w:r w:rsidRPr="001F2247">
        <w:rPr>
          <w:sz w:val="24"/>
          <w:szCs w:val="24"/>
        </w:rPr>
        <w:t xml:space="preserve"> was wrong to suggest otherwise.”  </w:t>
      </w:r>
      <w:r w:rsidRPr="001F2247">
        <w:rPr>
          <w:i/>
          <w:sz w:val="24"/>
          <w:szCs w:val="24"/>
        </w:rPr>
        <w:t>Bratten</w:t>
      </w:r>
      <w:r>
        <w:rPr>
          <w:i/>
          <w:sz w:val="24"/>
          <w:szCs w:val="24"/>
        </w:rPr>
        <w:t xml:space="preserve"> </w:t>
      </w:r>
      <w:r w:rsidRPr="001F2247">
        <w:rPr>
          <w:i/>
          <w:sz w:val="24"/>
          <w:szCs w:val="24"/>
        </w:rPr>
        <w:t xml:space="preserve">v. SSI Servs., Inc., </w:t>
      </w:r>
      <w:r w:rsidRPr="001F2247">
        <w:rPr>
          <w:sz w:val="24"/>
          <w:szCs w:val="24"/>
        </w:rPr>
        <w:t>185 F.3d 625, 633–34</w:t>
      </w:r>
      <w:r w:rsidRPr="0018137C">
        <w:rPr>
          <w:sz w:val="24"/>
          <w:szCs w:val="24"/>
        </w:rPr>
        <w:t xml:space="preserve"> (6th Cir. 1999); </w:t>
      </w:r>
      <w:r>
        <w:rPr>
          <w:i/>
          <w:sz w:val="24"/>
          <w:szCs w:val="24"/>
        </w:rPr>
        <w:t xml:space="preserve">see also </w:t>
      </w:r>
      <w:r w:rsidRPr="001F2247">
        <w:rPr>
          <w:i/>
          <w:sz w:val="24"/>
          <w:szCs w:val="24"/>
        </w:rPr>
        <w:t>Cravens v. Blue Cross &amp; Blue Shield of Kansas City</w:t>
      </w:r>
      <w:r w:rsidRPr="001F2247">
        <w:rPr>
          <w:sz w:val="24"/>
          <w:szCs w:val="24"/>
        </w:rPr>
        <w:t>, 214 F.3d 1011, 1019 n.4 (8th Cir. 2000) (“</w:t>
      </w:r>
      <w:r w:rsidRPr="001F2247">
        <w:rPr>
          <w:i/>
          <w:sz w:val="24"/>
          <w:szCs w:val="24"/>
        </w:rPr>
        <w:t>Myers</w:t>
      </w:r>
      <w:r w:rsidRPr="001F2247">
        <w:rPr>
          <w:sz w:val="24"/>
          <w:szCs w:val="24"/>
        </w:rPr>
        <w:t xml:space="preserve"> has been sharply criticized for basing its proposition on case law now apparently superseded by statute.”)</w:t>
      </w:r>
      <w:r>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039"/>
    <w:multiLevelType w:val="hybridMultilevel"/>
    <w:tmpl w:val="F4889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5356C3"/>
    <w:multiLevelType w:val="hybridMultilevel"/>
    <w:tmpl w:val="5B9C02AE"/>
    <w:lvl w:ilvl="0" w:tplc="F3162950">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EB3B0F"/>
    <w:multiLevelType w:val="hybridMultilevel"/>
    <w:tmpl w:val="5B122F14"/>
    <w:lvl w:ilvl="0" w:tplc="465C85C4">
      <w:start w:val="1"/>
      <w:numFmt w:val="decimal"/>
      <w:lvlText w:val="%1."/>
      <w:lvlJc w:val="left"/>
      <w:pPr>
        <w:ind w:left="1081" w:hanging="360"/>
      </w:p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3">
    <w:nsid w:val="1E9A2915"/>
    <w:multiLevelType w:val="hybridMultilevel"/>
    <w:tmpl w:val="5B122F14"/>
    <w:lvl w:ilvl="0" w:tplc="465C85C4">
      <w:start w:val="1"/>
      <w:numFmt w:val="decimal"/>
      <w:lvlText w:val="%1."/>
      <w:lvlJc w:val="left"/>
      <w:pPr>
        <w:ind w:left="1081" w:hanging="360"/>
      </w:p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4">
    <w:nsid w:val="1F500AC2"/>
    <w:multiLevelType w:val="hybridMultilevel"/>
    <w:tmpl w:val="8E223C6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326A7"/>
    <w:multiLevelType w:val="hybridMultilevel"/>
    <w:tmpl w:val="47D4F996"/>
    <w:lvl w:ilvl="0" w:tplc="869EE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F61F5"/>
    <w:multiLevelType w:val="hybridMultilevel"/>
    <w:tmpl w:val="7BBAF196"/>
    <w:lvl w:ilvl="0" w:tplc="9FA2AB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13345"/>
    <w:multiLevelType w:val="hybridMultilevel"/>
    <w:tmpl w:val="44329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65557E"/>
    <w:multiLevelType w:val="hybridMultilevel"/>
    <w:tmpl w:val="2A068812"/>
    <w:lvl w:ilvl="0" w:tplc="80A486F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517964"/>
    <w:multiLevelType w:val="hybridMultilevel"/>
    <w:tmpl w:val="ECFE5FF8"/>
    <w:lvl w:ilvl="0" w:tplc="FA182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1539"/>
    <w:multiLevelType w:val="hybridMultilevel"/>
    <w:tmpl w:val="EBA4AE4A"/>
    <w:lvl w:ilvl="0" w:tplc="BF5A6EA0">
      <w:start w:val="11"/>
      <w:numFmt w:val="decimal"/>
      <w:lvlText w:val="%1."/>
      <w:lvlJc w:val="left"/>
      <w:pPr>
        <w:ind w:left="1595" w:hanging="695"/>
      </w:pPr>
      <w:rPr>
        <w:rFonts w:ascii="Times New Roman" w:eastAsia="Times New Roman" w:hAnsi="Times New Roman" w:cs="Times New Roman" w:hint="default"/>
        <w:color w:val="3A3A3A"/>
        <w:w w:val="102"/>
        <w:sz w:val="24"/>
        <w:szCs w:val="24"/>
      </w:rPr>
    </w:lvl>
    <w:lvl w:ilvl="1" w:tplc="C06693AC">
      <w:start w:val="1"/>
      <w:numFmt w:val="bullet"/>
      <w:lvlText w:val="•"/>
      <w:lvlJc w:val="left"/>
      <w:pPr>
        <w:ind w:left="1070" w:hanging="695"/>
      </w:pPr>
    </w:lvl>
    <w:lvl w:ilvl="2" w:tplc="964433DA">
      <w:start w:val="1"/>
      <w:numFmt w:val="bullet"/>
      <w:lvlText w:val="•"/>
      <w:lvlJc w:val="left"/>
      <w:pPr>
        <w:ind w:left="2017" w:hanging="695"/>
      </w:pPr>
    </w:lvl>
    <w:lvl w:ilvl="3" w:tplc="A5E6D6C4">
      <w:start w:val="1"/>
      <w:numFmt w:val="bullet"/>
      <w:lvlText w:val="•"/>
      <w:lvlJc w:val="left"/>
      <w:pPr>
        <w:ind w:left="2965" w:hanging="695"/>
      </w:pPr>
    </w:lvl>
    <w:lvl w:ilvl="4" w:tplc="A9CC9BF8">
      <w:start w:val="1"/>
      <w:numFmt w:val="bullet"/>
      <w:lvlText w:val="•"/>
      <w:lvlJc w:val="left"/>
      <w:pPr>
        <w:ind w:left="3913" w:hanging="695"/>
      </w:pPr>
    </w:lvl>
    <w:lvl w:ilvl="5" w:tplc="DF52FD36">
      <w:start w:val="1"/>
      <w:numFmt w:val="bullet"/>
      <w:lvlText w:val="•"/>
      <w:lvlJc w:val="left"/>
      <w:pPr>
        <w:ind w:left="4861" w:hanging="695"/>
      </w:pPr>
    </w:lvl>
    <w:lvl w:ilvl="6" w:tplc="C504E710">
      <w:start w:val="1"/>
      <w:numFmt w:val="bullet"/>
      <w:lvlText w:val="•"/>
      <w:lvlJc w:val="left"/>
      <w:pPr>
        <w:ind w:left="5808" w:hanging="695"/>
      </w:pPr>
    </w:lvl>
    <w:lvl w:ilvl="7" w:tplc="D81EA5CE">
      <w:start w:val="1"/>
      <w:numFmt w:val="bullet"/>
      <w:lvlText w:val="•"/>
      <w:lvlJc w:val="left"/>
      <w:pPr>
        <w:ind w:left="6756" w:hanging="695"/>
      </w:pPr>
    </w:lvl>
    <w:lvl w:ilvl="8" w:tplc="4162DF8C">
      <w:start w:val="1"/>
      <w:numFmt w:val="bullet"/>
      <w:lvlText w:val="•"/>
      <w:lvlJc w:val="left"/>
      <w:pPr>
        <w:ind w:left="7704" w:hanging="695"/>
      </w:pPr>
    </w:lvl>
  </w:abstractNum>
  <w:abstractNum w:abstractNumId="11">
    <w:nsid w:val="3CCA5DA5"/>
    <w:multiLevelType w:val="hybridMultilevel"/>
    <w:tmpl w:val="2B224348"/>
    <w:lvl w:ilvl="0" w:tplc="190E8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E5BF9"/>
    <w:multiLevelType w:val="hybridMultilevel"/>
    <w:tmpl w:val="60AE84E4"/>
    <w:lvl w:ilvl="0" w:tplc="A09633D8">
      <w:start w:val="1"/>
      <w:numFmt w:val="decimal"/>
      <w:lvlText w:val="%1."/>
      <w:lvlJc w:val="left"/>
      <w:pPr>
        <w:ind w:left="136" w:hanging="688"/>
      </w:pPr>
      <w:rPr>
        <w:rFonts w:ascii="Times New Roman" w:eastAsia="Times New Roman" w:hAnsi="Times New Roman" w:cs="Times New Roman" w:hint="default"/>
        <w:color w:val="3B3B3B"/>
        <w:w w:val="106"/>
        <w:sz w:val="22"/>
        <w:szCs w:val="22"/>
      </w:rPr>
    </w:lvl>
    <w:lvl w:ilvl="1" w:tplc="65B6857A">
      <w:start w:val="1"/>
      <w:numFmt w:val="bullet"/>
      <w:lvlText w:val="•"/>
      <w:lvlJc w:val="left"/>
      <w:pPr>
        <w:ind w:left="1081" w:hanging="688"/>
      </w:pPr>
    </w:lvl>
    <w:lvl w:ilvl="2" w:tplc="0D526ADA">
      <w:start w:val="1"/>
      <w:numFmt w:val="bullet"/>
      <w:lvlText w:val="•"/>
      <w:lvlJc w:val="left"/>
      <w:pPr>
        <w:ind w:left="2025" w:hanging="688"/>
      </w:pPr>
    </w:lvl>
    <w:lvl w:ilvl="3" w:tplc="B414D728">
      <w:start w:val="1"/>
      <w:numFmt w:val="bullet"/>
      <w:lvlText w:val="•"/>
      <w:lvlJc w:val="left"/>
      <w:pPr>
        <w:ind w:left="2969" w:hanging="688"/>
      </w:pPr>
    </w:lvl>
    <w:lvl w:ilvl="4" w:tplc="DA323A90">
      <w:start w:val="1"/>
      <w:numFmt w:val="bullet"/>
      <w:lvlText w:val="•"/>
      <w:lvlJc w:val="left"/>
      <w:pPr>
        <w:ind w:left="3914" w:hanging="688"/>
      </w:pPr>
    </w:lvl>
    <w:lvl w:ilvl="5" w:tplc="099E30B2">
      <w:start w:val="1"/>
      <w:numFmt w:val="bullet"/>
      <w:lvlText w:val="•"/>
      <w:lvlJc w:val="left"/>
      <w:pPr>
        <w:ind w:left="4858" w:hanging="688"/>
      </w:pPr>
    </w:lvl>
    <w:lvl w:ilvl="6" w:tplc="6B480E9C">
      <w:start w:val="1"/>
      <w:numFmt w:val="bullet"/>
      <w:lvlText w:val="•"/>
      <w:lvlJc w:val="left"/>
      <w:pPr>
        <w:ind w:left="5802" w:hanging="688"/>
      </w:pPr>
    </w:lvl>
    <w:lvl w:ilvl="7" w:tplc="DCAAF44C">
      <w:start w:val="1"/>
      <w:numFmt w:val="bullet"/>
      <w:lvlText w:val="•"/>
      <w:lvlJc w:val="left"/>
      <w:pPr>
        <w:ind w:left="6747" w:hanging="688"/>
      </w:pPr>
    </w:lvl>
    <w:lvl w:ilvl="8" w:tplc="9F4C9840">
      <w:start w:val="1"/>
      <w:numFmt w:val="bullet"/>
      <w:lvlText w:val="•"/>
      <w:lvlJc w:val="left"/>
      <w:pPr>
        <w:ind w:left="7691" w:hanging="688"/>
      </w:pPr>
    </w:lvl>
  </w:abstractNum>
  <w:abstractNum w:abstractNumId="13">
    <w:nsid w:val="49463930"/>
    <w:multiLevelType w:val="hybridMultilevel"/>
    <w:tmpl w:val="A2AC4E44"/>
    <w:lvl w:ilvl="0" w:tplc="65388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507AF6"/>
    <w:multiLevelType w:val="hybridMultilevel"/>
    <w:tmpl w:val="2E0A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D1A60"/>
    <w:multiLevelType w:val="hybridMultilevel"/>
    <w:tmpl w:val="03A2CD58"/>
    <w:lvl w:ilvl="0" w:tplc="8F0889D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831F9"/>
    <w:multiLevelType w:val="hybridMultilevel"/>
    <w:tmpl w:val="9CB0B72E"/>
    <w:lvl w:ilvl="0" w:tplc="8A7EAF1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6538857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AA4FF3"/>
    <w:multiLevelType w:val="hybridMultilevel"/>
    <w:tmpl w:val="E9B0B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A3584"/>
    <w:multiLevelType w:val="hybridMultilevel"/>
    <w:tmpl w:val="B396F7C0"/>
    <w:lvl w:ilvl="0" w:tplc="C5968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2D7BF3"/>
    <w:multiLevelType w:val="hybridMultilevel"/>
    <w:tmpl w:val="8E223C6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946BCB"/>
    <w:multiLevelType w:val="hybridMultilevel"/>
    <w:tmpl w:val="08FCEB4E"/>
    <w:lvl w:ilvl="0" w:tplc="C5FCF558">
      <w:start w:val="1"/>
      <w:numFmt w:val="decimal"/>
      <w:lvlText w:val="%1."/>
      <w:lvlJc w:val="left"/>
      <w:pPr>
        <w:ind w:left="1416" w:hanging="696"/>
      </w:pPr>
      <w:rPr>
        <w:rFonts w:ascii="Times New Roman" w:eastAsia="Times New Roman" w:hAnsi="Times New Roman" w:cs="Times New Roman" w:hint="default"/>
        <w:color w:val="3A3A3A"/>
        <w:w w:val="102"/>
        <w:sz w:val="24"/>
        <w:szCs w:val="24"/>
      </w:rPr>
    </w:lvl>
    <w:lvl w:ilvl="1" w:tplc="C49082FA">
      <w:start w:val="1"/>
      <w:numFmt w:val="bullet"/>
      <w:lvlText w:val="•"/>
      <w:lvlJc w:val="left"/>
      <w:pPr>
        <w:ind w:left="2358" w:hanging="696"/>
      </w:pPr>
    </w:lvl>
    <w:lvl w:ilvl="2" w:tplc="34089518">
      <w:start w:val="1"/>
      <w:numFmt w:val="bullet"/>
      <w:lvlText w:val="•"/>
      <w:lvlJc w:val="left"/>
      <w:pPr>
        <w:ind w:left="3300" w:hanging="696"/>
      </w:pPr>
    </w:lvl>
    <w:lvl w:ilvl="3" w:tplc="2C9CDE74">
      <w:start w:val="1"/>
      <w:numFmt w:val="bullet"/>
      <w:lvlText w:val="•"/>
      <w:lvlJc w:val="left"/>
      <w:pPr>
        <w:ind w:left="4242" w:hanging="696"/>
      </w:pPr>
    </w:lvl>
    <w:lvl w:ilvl="4" w:tplc="9000EA5C">
      <w:start w:val="1"/>
      <w:numFmt w:val="bullet"/>
      <w:lvlText w:val="•"/>
      <w:lvlJc w:val="left"/>
      <w:pPr>
        <w:ind w:left="5185" w:hanging="696"/>
      </w:pPr>
    </w:lvl>
    <w:lvl w:ilvl="5" w:tplc="8348E3A8">
      <w:start w:val="1"/>
      <w:numFmt w:val="bullet"/>
      <w:lvlText w:val="•"/>
      <w:lvlJc w:val="left"/>
      <w:pPr>
        <w:ind w:left="6127" w:hanging="696"/>
      </w:pPr>
    </w:lvl>
    <w:lvl w:ilvl="6" w:tplc="4A6800A8">
      <w:start w:val="1"/>
      <w:numFmt w:val="bullet"/>
      <w:lvlText w:val="•"/>
      <w:lvlJc w:val="left"/>
      <w:pPr>
        <w:ind w:left="7069" w:hanging="696"/>
      </w:pPr>
    </w:lvl>
    <w:lvl w:ilvl="7" w:tplc="90FC7C5A">
      <w:start w:val="1"/>
      <w:numFmt w:val="bullet"/>
      <w:lvlText w:val="•"/>
      <w:lvlJc w:val="left"/>
      <w:pPr>
        <w:ind w:left="8011" w:hanging="696"/>
      </w:pPr>
    </w:lvl>
    <w:lvl w:ilvl="8" w:tplc="1D3603A4">
      <w:start w:val="1"/>
      <w:numFmt w:val="bullet"/>
      <w:lvlText w:val="•"/>
      <w:lvlJc w:val="left"/>
      <w:pPr>
        <w:ind w:left="8953" w:hanging="696"/>
      </w:pPr>
    </w:lvl>
  </w:abstractNum>
  <w:abstractNum w:abstractNumId="21">
    <w:nsid w:val="709C6BB0"/>
    <w:multiLevelType w:val="hybridMultilevel"/>
    <w:tmpl w:val="A65CA8B0"/>
    <w:lvl w:ilvl="0" w:tplc="0C0479BA">
      <w:start w:val="1"/>
      <w:numFmt w:val="decimal"/>
      <w:lvlText w:val="%1."/>
      <w:lvlJc w:val="left"/>
      <w:pPr>
        <w:ind w:left="2160" w:hanging="144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995AF4"/>
    <w:multiLevelType w:val="hybridMultilevel"/>
    <w:tmpl w:val="6BFE4A8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E58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79F5D28"/>
    <w:multiLevelType w:val="hybridMultilevel"/>
    <w:tmpl w:val="F93E4BDE"/>
    <w:lvl w:ilvl="0" w:tplc="50DC69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E71EFB"/>
    <w:multiLevelType w:val="hybridMultilevel"/>
    <w:tmpl w:val="12E2A5CA"/>
    <w:lvl w:ilvl="0" w:tplc="D8886EB2">
      <w:start w:val="1"/>
      <w:numFmt w:val="decimal"/>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053DBF"/>
    <w:multiLevelType w:val="hybridMultilevel"/>
    <w:tmpl w:val="2140ED46"/>
    <w:lvl w:ilvl="0" w:tplc="F5DA6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EE4636"/>
    <w:multiLevelType w:val="hybridMultilevel"/>
    <w:tmpl w:val="CA9417AA"/>
    <w:lvl w:ilvl="0" w:tplc="A694F0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23"/>
  </w:num>
  <w:num w:numId="4">
    <w:abstractNumId w:val="22"/>
  </w:num>
  <w:num w:numId="5">
    <w:abstractNumId w:val="4"/>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3"/>
  </w:num>
  <w:num w:numId="16">
    <w:abstractNumId w:val="0"/>
  </w:num>
  <w:num w:numId="17">
    <w:abstractNumId w:val="2"/>
  </w:num>
  <w:num w:numId="18">
    <w:abstractNumId w:val="8"/>
  </w:num>
  <w:num w:numId="19">
    <w:abstractNumId w:val="6"/>
  </w:num>
  <w:num w:numId="20">
    <w:abstractNumId w:val="27"/>
  </w:num>
  <w:num w:numId="21">
    <w:abstractNumId w:val="25"/>
  </w:num>
  <w:num w:numId="22">
    <w:abstractNumId w:val="21"/>
  </w:num>
  <w:num w:numId="23">
    <w:abstractNumId w:val="26"/>
  </w:num>
  <w:num w:numId="24">
    <w:abstractNumId w:val="5"/>
  </w:num>
  <w:num w:numId="25">
    <w:abstractNumId w:val="25"/>
    <w:lvlOverride w:ilvl="0">
      <w:startOverride w:val="40"/>
    </w:lvlOverride>
  </w:num>
  <w:num w:numId="26">
    <w:abstractNumId w:val="11"/>
  </w:num>
  <w:num w:numId="27">
    <w:abstractNumId w:val="9"/>
  </w:num>
  <w:num w:numId="28">
    <w:abstractNumId w:val="13"/>
  </w:num>
  <w:num w:numId="29">
    <w:abstractNumId w:val="24"/>
  </w:num>
  <w:num w:numId="30">
    <w:abstractNumId w:val="18"/>
  </w:num>
  <w:num w:numId="31">
    <w:abstractNumId w:val="1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1024"/>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302172"/>
    <w:rsid w:val="0000294A"/>
    <w:rsid w:val="00003AC6"/>
    <w:rsid w:val="000424FB"/>
    <w:rsid w:val="000521CA"/>
    <w:rsid w:val="0005495D"/>
    <w:rsid w:val="00056324"/>
    <w:rsid w:val="00056928"/>
    <w:rsid w:val="00065E27"/>
    <w:rsid w:val="00066F7B"/>
    <w:rsid w:val="0007032A"/>
    <w:rsid w:val="000712A4"/>
    <w:rsid w:val="00075070"/>
    <w:rsid w:val="00075587"/>
    <w:rsid w:val="00076EBE"/>
    <w:rsid w:val="00077FB2"/>
    <w:rsid w:val="00080619"/>
    <w:rsid w:val="00081E53"/>
    <w:rsid w:val="000866CB"/>
    <w:rsid w:val="000908DD"/>
    <w:rsid w:val="000A0D87"/>
    <w:rsid w:val="000A10DC"/>
    <w:rsid w:val="000A58B6"/>
    <w:rsid w:val="000A7BF7"/>
    <w:rsid w:val="000B1DCC"/>
    <w:rsid w:val="000B44B2"/>
    <w:rsid w:val="000B53D8"/>
    <w:rsid w:val="000C0AAD"/>
    <w:rsid w:val="000C1380"/>
    <w:rsid w:val="000C1A1D"/>
    <w:rsid w:val="000C2FA7"/>
    <w:rsid w:val="000D340C"/>
    <w:rsid w:val="000D6017"/>
    <w:rsid w:val="000E53A1"/>
    <w:rsid w:val="000F1974"/>
    <w:rsid w:val="000F28AC"/>
    <w:rsid w:val="000F3DFC"/>
    <w:rsid w:val="000F5094"/>
    <w:rsid w:val="000F7640"/>
    <w:rsid w:val="00102E0E"/>
    <w:rsid w:val="001042F9"/>
    <w:rsid w:val="0010551C"/>
    <w:rsid w:val="001144C3"/>
    <w:rsid w:val="00114DDC"/>
    <w:rsid w:val="00123DF5"/>
    <w:rsid w:val="0013020F"/>
    <w:rsid w:val="0014374C"/>
    <w:rsid w:val="00145C73"/>
    <w:rsid w:val="0014688F"/>
    <w:rsid w:val="00147724"/>
    <w:rsid w:val="0015012D"/>
    <w:rsid w:val="00150AD2"/>
    <w:rsid w:val="00150DDE"/>
    <w:rsid w:val="00152788"/>
    <w:rsid w:val="00155083"/>
    <w:rsid w:val="00160CCA"/>
    <w:rsid w:val="001668AB"/>
    <w:rsid w:val="0017625B"/>
    <w:rsid w:val="00176ED3"/>
    <w:rsid w:val="0018137C"/>
    <w:rsid w:val="00181FED"/>
    <w:rsid w:val="0018329B"/>
    <w:rsid w:val="0018799B"/>
    <w:rsid w:val="001918E7"/>
    <w:rsid w:val="00192BA9"/>
    <w:rsid w:val="001A4360"/>
    <w:rsid w:val="001A6717"/>
    <w:rsid w:val="001B3EC0"/>
    <w:rsid w:val="001C1CB0"/>
    <w:rsid w:val="001C2461"/>
    <w:rsid w:val="001E0F0B"/>
    <w:rsid w:val="001E3786"/>
    <w:rsid w:val="001E40F6"/>
    <w:rsid w:val="001E425B"/>
    <w:rsid w:val="001E42C3"/>
    <w:rsid w:val="001E495B"/>
    <w:rsid w:val="001E542B"/>
    <w:rsid w:val="001E6370"/>
    <w:rsid w:val="001F2247"/>
    <w:rsid w:val="001F24D4"/>
    <w:rsid w:val="001F3027"/>
    <w:rsid w:val="001F4FC5"/>
    <w:rsid w:val="002013BE"/>
    <w:rsid w:val="00205700"/>
    <w:rsid w:val="0022421D"/>
    <w:rsid w:val="002245B7"/>
    <w:rsid w:val="0023040A"/>
    <w:rsid w:val="00230914"/>
    <w:rsid w:val="00231BE4"/>
    <w:rsid w:val="00236871"/>
    <w:rsid w:val="00241071"/>
    <w:rsid w:val="00243331"/>
    <w:rsid w:val="0024359C"/>
    <w:rsid w:val="0024499E"/>
    <w:rsid w:val="00246502"/>
    <w:rsid w:val="00246F8C"/>
    <w:rsid w:val="002529C0"/>
    <w:rsid w:val="00256011"/>
    <w:rsid w:val="002573CD"/>
    <w:rsid w:val="002635C5"/>
    <w:rsid w:val="002664A6"/>
    <w:rsid w:val="00281190"/>
    <w:rsid w:val="00282632"/>
    <w:rsid w:val="002855F9"/>
    <w:rsid w:val="00287808"/>
    <w:rsid w:val="00287947"/>
    <w:rsid w:val="00294BBF"/>
    <w:rsid w:val="002A570D"/>
    <w:rsid w:val="002A60C1"/>
    <w:rsid w:val="002B0124"/>
    <w:rsid w:val="002B29CB"/>
    <w:rsid w:val="002B2AAD"/>
    <w:rsid w:val="002B32EA"/>
    <w:rsid w:val="002B559A"/>
    <w:rsid w:val="002B6884"/>
    <w:rsid w:val="002C20D8"/>
    <w:rsid w:val="002C46C1"/>
    <w:rsid w:val="002D2B2A"/>
    <w:rsid w:val="002E43B6"/>
    <w:rsid w:val="002F0F09"/>
    <w:rsid w:val="002F66B2"/>
    <w:rsid w:val="00302172"/>
    <w:rsid w:val="003023B4"/>
    <w:rsid w:val="003050A8"/>
    <w:rsid w:val="003051CA"/>
    <w:rsid w:val="00306432"/>
    <w:rsid w:val="00307772"/>
    <w:rsid w:val="00310BD2"/>
    <w:rsid w:val="00311294"/>
    <w:rsid w:val="00314844"/>
    <w:rsid w:val="00314F70"/>
    <w:rsid w:val="003150B3"/>
    <w:rsid w:val="003175B5"/>
    <w:rsid w:val="00323FD7"/>
    <w:rsid w:val="003326C7"/>
    <w:rsid w:val="00335867"/>
    <w:rsid w:val="0034354A"/>
    <w:rsid w:val="00344B2F"/>
    <w:rsid w:val="00344DDE"/>
    <w:rsid w:val="0034507D"/>
    <w:rsid w:val="003527E5"/>
    <w:rsid w:val="00352E1A"/>
    <w:rsid w:val="003564ED"/>
    <w:rsid w:val="00361758"/>
    <w:rsid w:val="00364DBD"/>
    <w:rsid w:val="00365364"/>
    <w:rsid w:val="00366191"/>
    <w:rsid w:val="00367637"/>
    <w:rsid w:val="003724BA"/>
    <w:rsid w:val="00373CD6"/>
    <w:rsid w:val="00374FB6"/>
    <w:rsid w:val="003902DE"/>
    <w:rsid w:val="00391AB7"/>
    <w:rsid w:val="00392FFF"/>
    <w:rsid w:val="00396FFF"/>
    <w:rsid w:val="003A0187"/>
    <w:rsid w:val="003A2BA5"/>
    <w:rsid w:val="003A36BF"/>
    <w:rsid w:val="003B12C5"/>
    <w:rsid w:val="003B2854"/>
    <w:rsid w:val="003B52AC"/>
    <w:rsid w:val="003B5B60"/>
    <w:rsid w:val="003C5A52"/>
    <w:rsid w:val="003E0031"/>
    <w:rsid w:val="003F1172"/>
    <w:rsid w:val="003F3BA4"/>
    <w:rsid w:val="003F4C8D"/>
    <w:rsid w:val="003F5AF4"/>
    <w:rsid w:val="004002BA"/>
    <w:rsid w:val="00400764"/>
    <w:rsid w:val="004019C2"/>
    <w:rsid w:val="0040245B"/>
    <w:rsid w:val="004032EE"/>
    <w:rsid w:val="00405BED"/>
    <w:rsid w:val="0040626E"/>
    <w:rsid w:val="00406295"/>
    <w:rsid w:val="00411D94"/>
    <w:rsid w:val="00411FEE"/>
    <w:rsid w:val="0041407F"/>
    <w:rsid w:val="0041590C"/>
    <w:rsid w:val="004258F2"/>
    <w:rsid w:val="00431154"/>
    <w:rsid w:val="00431941"/>
    <w:rsid w:val="00432191"/>
    <w:rsid w:val="004326EB"/>
    <w:rsid w:val="004339DC"/>
    <w:rsid w:val="00436611"/>
    <w:rsid w:val="00441928"/>
    <w:rsid w:val="00444A6F"/>
    <w:rsid w:val="00456F51"/>
    <w:rsid w:val="00460650"/>
    <w:rsid w:val="00461B6D"/>
    <w:rsid w:val="00462540"/>
    <w:rsid w:val="00470F36"/>
    <w:rsid w:val="004725FC"/>
    <w:rsid w:val="00472DC6"/>
    <w:rsid w:val="004800E4"/>
    <w:rsid w:val="00480BF9"/>
    <w:rsid w:val="00483958"/>
    <w:rsid w:val="00483C35"/>
    <w:rsid w:val="004A11F0"/>
    <w:rsid w:val="004A1DAD"/>
    <w:rsid w:val="004A300B"/>
    <w:rsid w:val="004A3C6D"/>
    <w:rsid w:val="004A5B89"/>
    <w:rsid w:val="004A7DF4"/>
    <w:rsid w:val="004B10EB"/>
    <w:rsid w:val="004B211B"/>
    <w:rsid w:val="004B226A"/>
    <w:rsid w:val="004B4554"/>
    <w:rsid w:val="004B466A"/>
    <w:rsid w:val="004B4DCC"/>
    <w:rsid w:val="004C079F"/>
    <w:rsid w:val="004C304F"/>
    <w:rsid w:val="004C6039"/>
    <w:rsid w:val="004E2477"/>
    <w:rsid w:val="004E2629"/>
    <w:rsid w:val="004E34B8"/>
    <w:rsid w:val="004F0844"/>
    <w:rsid w:val="004F16B0"/>
    <w:rsid w:val="004F212D"/>
    <w:rsid w:val="004F25B8"/>
    <w:rsid w:val="004F5ECE"/>
    <w:rsid w:val="00500609"/>
    <w:rsid w:val="00501E60"/>
    <w:rsid w:val="00503173"/>
    <w:rsid w:val="00505AC0"/>
    <w:rsid w:val="00513161"/>
    <w:rsid w:val="005200C6"/>
    <w:rsid w:val="00526280"/>
    <w:rsid w:val="00530A66"/>
    <w:rsid w:val="005330E7"/>
    <w:rsid w:val="0053443F"/>
    <w:rsid w:val="0053754E"/>
    <w:rsid w:val="00543644"/>
    <w:rsid w:val="00545447"/>
    <w:rsid w:val="00552837"/>
    <w:rsid w:val="00552D00"/>
    <w:rsid w:val="00554EB9"/>
    <w:rsid w:val="00554F0A"/>
    <w:rsid w:val="005569AE"/>
    <w:rsid w:val="0055726D"/>
    <w:rsid w:val="0057424E"/>
    <w:rsid w:val="005756C8"/>
    <w:rsid w:val="00580558"/>
    <w:rsid w:val="0058271C"/>
    <w:rsid w:val="005847F3"/>
    <w:rsid w:val="00584D3D"/>
    <w:rsid w:val="00586731"/>
    <w:rsid w:val="00593B86"/>
    <w:rsid w:val="0059658B"/>
    <w:rsid w:val="005972D0"/>
    <w:rsid w:val="005A493D"/>
    <w:rsid w:val="005B0B77"/>
    <w:rsid w:val="005C2077"/>
    <w:rsid w:val="005C2D11"/>
    <w:rsid w:val="005C603A"/>
    <w:rsid w:val="005C702C"/>
    <w:rsid w:val="005D1831"/>
    <w:rsid w:val="005D53CB"/>
    <w:rsid w:val="005E0CF2"/>
    <w:rsid w:val="005E1949"/>
    <w:rsid w:val="005E37A2"/>
    <w:rsid w:val="005E3BCE"/>
    <w:rsid w:val="005F5586"/>
    <w:rsid w:val="005F61A1"/>
    <w:rsid w:val="006003B4"/>
    <w:rsid w:val="00601403"/>
    <w:rsid w:val="00601D0B"/>
    <w:rsid w:val="00604C6D"/>
    <w:rsid w:val="006103EE"/>
    <w:rsid w:val="0061071C"/>
    <w:rsid w:val="00610DEB"/>
    <w:rsid w:val="00616AFF"/>
    <w:rsid w:val="006173BA"/>
    <w:rsid w:val="00620169"/>
    <w:rsid w:val="00623FD2"/>
    <w:rsid w:val="00624DB2"/>
    <w:rsid w:val="00626934"/>
    <w:rsid w:val="00630B91"/>
    <w:rsid w:val="00630D65"/>
    <w:rsid w:val="006322C9"/>
    <w:rsid w:val="00635413"/>
    <w:rsid w:val="00635F85"/>
    <w:rsid w:val="00641FC4"/>
    <w:rsid w:val="00642231"/>
    <w:rsid w:val="00642E1F"/>
    <w:rsid w:val="00650662"/>
    <w:rsid w:val="006538C6"/>
    <w:rsid w:val="00654108"/>
    <w:rsid w:val="00654A7F"/>
    <w:rsid w:val="00656F8A"/>
    <w:rsid w:val="006617F7"/>
    <w:rsid w:val="0066242D"/>
    <w:rsid w:val="006637DB"/>
    <w:rsid w:val="00670EE6"/>
    <w:rsid w:val="00674216"/>
    <w:rsid w:val="0067796E"/>
    <w:rsid w:val="00682642"/>
    <w:rsid w:val="00682D6B"/>
    <w:rsid w:val="006841C7"/>
    <w:rsid w:val="00684BAE"/>
    <w:rsid w:val="006864A2"/>
    <w:rsid w:val="00696EDD"/>
    <w:rsid w:val="006A12DF"/>
    <w:rsid w:val="006A13FF"/>
    <w:rsid w:val="006A175A"/>
    <w:rsid w:val="006B4B0D"/>
    <w:rsid w:val="006B7253"/>
    <w:rsid w:val="006C0821"/>
    <w:rsid w:val="006C785C"/>
    <w:rsid w:val="006D13C7"/>
    <w:rsid w:val="006D35F7"/>
    <w:rsid w:val="006D6592"/>
    <w:rsid w:val="006D747B"/>
    <w:rsid w:val="006E21F0"/>
    <w:rsid w:val="006E2255"/>
    <w:rsid w:val="006E4F27"/>
    <w:rsid w:val="006E70E2"/>
    <w:rsid w:val="006F2AB3"/>
    <w:rsid w:val="006F3569"/>
    <w:rsid w:val="00702860"/>
    <w:rsid w:val="00703D76"/>
    <w:rsid w:val="00705178"/>
    <w:rsid w:val="007063BE"/>
    <w:rsid w:val="0070681A"/>
    <w:rsid w:val="007106B1"/>
    <w:rsid w:val="00710902"/>
    <w:rsid w:val="00721012"/>
    <w:rsid w:val="007228C9"/>
    <w:rsid w:val="007250F7"/>
    <w:rsid w:val="00727D83"/>
    <w:rsid w:val="007302C0"/>
    <w:rsid w:val="007312D3"/>
    <w:rsid w:val="00732F52"/>
    <w:rsid w:val="00733E59"/>
    <w:rsid w:val="0073520E"/>
    <w:rsid w:val="00741D9F"/>
    <w:rsid w:val="00743C5D"/>
    <w:rsid w:val="00747FA6"/>
    <w:rsid w:val="00752526"/>
    <w:rsid w:val="00753E8F"/>
    <w:rsid w:val="0075667D"/>
    <w:rsid w:val="00761036"/>
    <w:rsid w:val="0076303A"/>
    <w:rsid w:val="00774163"/>
    <w:rsid w:val="00774EB4"/>
    <w:rsid w:val="00776F39"/>
    <w:rsid w:val="0078543E"/>
    <w:rsid w:val="00790400"/>
    <w:rsid w:val="0079204E"/>
    <w:rsid w:val="007938C9"/>
    <w:rsid w:val="0079561C"/>
    <w:rsid w:val="00796FE9"/>
    <w:rsid w:val="007A1BFC"/>
    <w:rsid w:val="007A1F5A"/>
    <w:rsid w:val="007A3032"/>
    <w:rsid w:val="007B5F9C"/>
    <w:rsid w:val="007B7BB7"/>
    <w:rsid w:val="007C1894"/>
    <w:rsid w:val="007C2EC9"/>
    <w:rsid w:val="007C52CC"/>
    <w:rsid w:val="007C643C"/>
    <w:rsid w:val="007C6AC6"/>
    <w:rsid w:val="007D0CCE"/>
    <w:rsid w:val="007D0D33"/>
    <w:rsid w:val="007D6273"/>
    <w:rsid w:val="007E2D3C"/>
    <w:rsid w:val="007E390D"/>
    <w:rsid w:val="007E4E53"/>
    <w:rsid w:val="007E6F0F"/>
    <w:rsid w:val="007E77C3"/>
    <w:rsid w:val="007F247C"/>
    <w:rsid w:val="007F29F1"/>
    <w:rsid w:val="007F68E3"/>
    <w:rsid w:val="008136B1"/>
    <w:rsid w:val="008160A0"/>
    <w:rsid w:val="008173DC"/>
    <w:rsid w:val="00831C0E"/>
    <w:rsid w:val="00833905"/>
    <w:rsid w:val="008434A5"/>
    <w:rsid w:val="0084451B"/>
    <w:rsid w:val="0084563B"/>
    <w:rsid w:val="00850259"/>
    <w:rsid w:val="0085749A"/>
    <w:rsid w:val="008607D3"/>
    <w:rsid w:val="00863605"/>
    <w:rsid w:val="0086371C"/>
    <w:rsid w:val="00863E0B"/>
    <w:rsid w:val="00864097"/>
    <w:rsid w:val="00871C82"/>
    <w:rsid w:val="008729EC"/>
    <w:rsid w:val="00876D12"/>
    <w:rsid w:val="00877281"/>
    <w:rsid w:val="008818BF"/>
    <w:rsid w:val="00884154"/>
    <w:rsid w:val="00890022"/>
    <w:rsid w:val="008907CF"/>
    <w:rsid w:val="00891083"/>
    <w:rsid w:val="00895BA0"/>
    <w:rsid w:val="008A03FD"/>
    <w:rsid w:val="008A5E22"/>
    <w:rsid w:val="008B0867"/>
    <w:rsid w:val="008B50CD"/>
    <w:rsid w:val="008B516D"/>
    <w:rsid w:val="008B55A6"/>
    <w:rsid w:val="008C59B3"/>
    <w:rsid w:val="008D2F35"/>
    <w:rsid w:val="008D3F73"/>
    <w:rsid w:val="008D6605"/>
    <w:rsid w:val="008D73BF"/>
    <w:rsid w:val="008E2866"/>
    <w:rsid w:val="008E2CE1"/>
    <w:rsid w:val="008E729D"/>
    <w:rsid w:val="008F400D"/>
    <w:rsid w:val="008F6864"/>
    <w:rsid w:val="008F7A2B"/>
    <w:rsid w:val="00903215"/>
    <w:rsid w:val="009035DD"/>
    <w:rsid w:val="00912EEA"/>
    <w:rsid w:val="00921F64"/>
    <w:rsid w:val="009238D3"/>
    <w:rsid w:val="009263B5"/>
    <w:rsid w:val="00926DE9"/>
    <w:rsid w:val="00927612"/>
    <w:rsid w:val="00931ABF"/>
    <w:rsid w:val="009322FB"/>
    <w:rsid w:val="0093314D"/>
    <w:rsid w:val="00937619"/>
    <w:rsid w:val="00942190"/>
    <w:rsid w:val="00943A16"/>
    <w:rsid w:val="0094421B"/>
    <w:rsid w:val="009465F8"/>
    <w:rsid w:val="00951A16"/>
    <w:rsid w:val="00953F44"/>
    <w:rsid w:val="00963813"/>
    <w:rsid w:val="0096756B"/>
    <w:rsid w:val="00970F37"/>
    <w:rsid w:val="00971C2B"/>
    <w:rsid w:val="00973E62"/>
    <w:rsid w:val="00977B0B"/>
    <w:rsid w:val="00986D6C"/>
    <w:rsid w:val="00994E68"/>
    <w:rsid w:val="009B2F27"/>
    <w:rsid w:val="009B3D01"/>
    <w:rsid w:val="009B42D5"/>
    <w:rsid w:val="009C1755"/>
    <w:rsid w:val="009C5D8D"/>
    <w:rsid w:val="009C6184"/>
    <w:rsid w:val="009D0AC7"/>
    <w:rsid w:val="009D1CE9"/>
    <w:rsid w:val="009D2929"/>
    <w:rsid w:val="009D3616"/>
    <w:rsid w:val="009D5086"/>
    <w:rsid w:val="009D5696"/>
    <w:rsid w:val="009D592A"/>
    <w:rsid w:val="009D7353"/>
    <w:rsid w:val="009E0EB9"/>
    <w:rsid w:val="009F1091"/>
    <w:rsid w:val="009F244C"/>
    <w:rsid w:val="00A00C0C"/>
    <w:rsid w:val="00A110A5"/>
    <w:rsid w:val="00A230BA"/>
    <w:rsid w:val="00A25760"/>
    <w:rsid w:val="00A266F2"/>
    <w:rsid w:val="00A30F5A"/>
    <w:rsid w:val="00A32AC0"/>
    <w:rsid w:val="00A33143"/>
    <w:rsid w:val="00A33D1D"/>
    <w:rsid w:val="00A36873"/>
    <w:rsid w:val="00A44F51"/>
    <w:rsid w:val="00A53973"/>
    <w:rsid w:val="00A54B3B"/>
    <w:rsid w:val="00A5720A"/>
    <w:rsid w:val="00A62A65"/>
    <w:rsid w:val="00A63FCC"/>
    <w:rsid w:val="00A71BFD"/>
    <w:rsid w:val="00A72641"/>
    <w:rsid w:val="00A72882"/>
    <w:rsid w:val="00A734A6"/>
    <w:rsid w:val="00A743EA"/>
    <w:rsid w:val="00A748DA"/>
    <w:rsid w:val="00A80706"/>
    <w:rsid w:val="00A81441"/>
    <w:rsid w:val="00A815C7"/>
    <w:rsid w:val="00A84D12"/>
    <w:rsid w:val="00A86932"/>
    <w:rsid w:val="00A86B43"/>
    <w:rsid w:val="00A86C54"/>
    <w:rsid w:val="00A874EC"/>
    <w:rsid w:val="00A92BCF"/>
    <w:rsid w:val="00A92D23"/>
    <w:rsid w:val="00A951B4"/>
    <w:rsid w:val="00A96331"/>
    <w:rsid w:val="00A97B8A"/>
    <w:rsid w:val="00AA6154"/>
    <w:rsid w:val="00AB154D"/>
    <w:rsid w:val="00AB1AF7"/>
    <w:rsid w:val="00AB52CF"/>
    <w:rsid w:val="00AB5723"/>
    <w:rsid w:val="00AB69CF"/>
    <w:rsid w:val="00AB791E"/>
    <w:rsid w:val="00AC0DB7"/>
    <w:rsid w:val="00AC1F49"/>
    <w:rsid w:val="00AC224F"/>
    <w:rsid w:val="00AC4C60"/>
    <w:rsid w:val="00AC553F"/>
    <w:rsid w:val="00AD0904"/>
    <w:rsid w:val="00AD63BF"/>
    <w:rsid w:val="00AE7950"/>
    <w:rsid w:val="00AF3D38"/>
    <w:rsid w:val="00AF7674"/>
    <w:rsid w:val="00AF7727"/>
    <w:rsid w:val="00AF7C75"/>
    <w:rsid w:val="00AF7E70"/>
    <w:rsid w:val="00B02415"/>
    <w:rsid w:val="00B07962"/>
    <w:rsid w:val="00B10323"/>
    <w:rsid w:val="00B12D74"/>
    <w:rsid w:val="00B204BD"/>
    <w:rsid w:val="00B21801"/>
    <w:rsid w:val="00B234D1"/>
    <w:rsid w:val="00B23554"/>
    <w:rsid w:val="00B24B35"/>
    <w:rsid w:val="00B26779"/>
    <w:rsid w:val="00B27B51"/>
    <w:rsid w:val="00B32382"/>
    <w:rsid w:val="00B43A65"/>
    <w:rsid w:val="00B45310"/>
    <w:rsid w:val="00B559A3"/>
    <w:rsid w:val="00B61021"/>
    <w:rsid w:val="00B62C87"/>
    <w:rsid w:val="00B70CD1"/>
    <w:rsid w:val="00B76641"/>
    <w:rsid w:val="00B76FFC"/>
    <w:rsid w:val="00B773C1"/>
    <w:rsid w:val="00B83FD5"/>
    <w:rsid w:val="00B84905"/>
    <w:rsid w:val="00B86DD8"/>
    <w:rsid w:val="00B92328"/>
    <w:rsid w:val="00B925D5"/>
    <w:rsid w:val="00B937ED"/>
    <w:rsid w:val="00BA3837"/>
    <w:rsid w:val="00BA4047"/>
    <w:rsid w:val="00BA442D"/>
    <w:rsid w:val="00BA4EDB"/>
    <w:rsid w:val="00BB07F1"/>
    <w:rsid w:val="00BC0986"/>
    <w:rsid w:val="00BC24EB"/>
    <w:rsid w:val="00BC2987"/>
    <w:rsid w:val="00BC4C25"/>
    <w:rsid w:val="00BC55E1"/>
    <w:rsid w:val="00BD21D4"/>
    <w:rsid w:val="00BD3A38"/>
    <w:rsid w:val="00BD4EA1"/>
    <w:rsid w:val="00BD699F"/>
    <w:rsid w:val="00BE2502"/>
    <w:rsid w:val="00BE7C77"/>
    <w:rsid w:val="00BF0279"/>
    <w:rsid w:val="00BF16DB"/>
    <w:rsid w:val="00BF36BB"/>
    <w:rsid w:val="00BF73E0"/>
    <w:rsid w:val="00C01115"/>
    <w:rsid w:val="00C024D7"/>
    <w:rsid w:val="00C121BA"/>
    <w:rsid w:val="00C1327E"/>
    <w:rsid w:val="00C16596"/>
    <w:rsid w:val="00C2023F"/>
    <w:rsid w:val="00C23C10"/>
    <w:rsid w:val="00C24AFB"/>
    <w:rsid w:val="00C34B12"/>
    <w:rsid w:val="00C40C5C"/>
    <w:rsid w:val="00C40FD4"/>
    <w:rsid w:val="00C469D9"/>
    <w:rsid w:val="00C51986"/>
    <w:rsid w:val="00C565DB"/>
    <w:rsid w:val="00C614E5"/>
    <w:rsid w:val="00C6243C"/>
    <w:rsid w:val="00C63D81"/>
    <w:rsid w:val="00C66CD9"/>
    <w:rsid w:val="00C740FC"/>
    <w:rsid w:val="00C803EB"/>
    <w:rsid w:val="00C806AF"/>
    <w:rsid w:val="00C809FC"/>
    <w:rsid w:val="00C81C24"/>
    <w:rsid w:val="00C82A53"/>
    <w:rsid w:val="00C90C68"/>
    <w:rsid w:val="00C92BE3"/>
    <w:rsid w:val="00C93E86"/>
    <w:rsid w:val="00C953B5"/>
    <w:rsid w:val="00C95937"/>
    <w:rsid w:val="00C9648A"/>
    <w:rsid w:val="00C97B7F"/>
    <w:rsid w:val="00CA16FA"/>
    <w:rsid w:val="00CA2E44"/>
    <w:rsid w:val="00CB0B30"/>
    <w:rsid w:val="00CB667B"/>
    <w:rsid w:val="00CB7284"/>
    <w:rsid w:val="00CB7606"/>
    <w:rsid w:val="00CC16C3"/>
    <w:rsid w:val="00CC2011"/>
    <w:rsid w:val="00CC2259"/>
    <w:rsid w:val="00CC56C6"/>
    <w:rsid w:val="00CC691E"/>
    <w:rsid w:val="00CC7C68"/>
    <w:rsid w:val="00CD05EB"/>
    <w:rsid w:val="00CD3228"/>
    <w:rsid w:val="00CE143C"/>
    <w:rsid w:val="00CE323C"/>
    <w:rsid w:val="00CE4898"/>
    <w:rsid w:val="00CE6598"/>
    <w:rsid w:val="00CF1687"/>
    <w:rsid w:val="00CF1EF9"/>
    <w:rsid w:val="00CF330D"/>
    <w:rsid w:val="00CF4D56"/>
    <w:rsid w:val="00CF746F"/>
    <w:rsid w:val="00D002F6"/>
    <w:rsid w:val="00D12CD6"/>
    <w:rsid w:val="00D1660F"/>
    <w:rsid w:val="00D22D26"/>
    <w:rsid w:val="00D251EA"/>
    <w:rsid w:val="00D26928"/>
    <w:rsid w:val="00D344E3"/>
    <w:rsid w:val="00D45842"/>
    <w:rsid w:val="00D469DB"/>
    <w:rsid w:val="00D52256"/>
    <w:rsid w:val="00D727EE"/>
    <w:rsid w:val="00D8759A"/>
    <w:rsid w:val="00D9143B"/>
    <w:rsid w:val="00D9482E"/>
    <w:rsid w:val="00D95B65"/>
    <w:rsid w:val="00D96D96"/>
    <w:rsid w:val="00DA0DDC"/>
    <w:rsid w:val="00DA1D23"/>
    <w:rsid w:val="00DA46C0"/>
    <w:rsid w:val="00DA4CC2"/>
    <w:rsid w:val="00DA69CB"/>
    <w:rsid w:val="00DB362D"/>
    <w:rsid w:val="00DB6D06"/>
    <w:rsid w:val="00DB726B"/>
    <w:rsid w:val="00DB7A02"/>
    <w:rsid w:val="00DC17E6"/>
    <w:rsid w:val="00DC378F"/>
    <w:rsid w:val="00DD17F9"/>
    <w:rsid w:val="00DD3006"/>
    <w:rsid w:val="00DD659A"/>
    <w:rsid w:val="00DE1D6F"/>
    <w:rsid w:val="00DE282E"/>
    <w:rsid w:val="00DE50A3"/>
    <w:rsid w:val="00DE633B"/>
    <w:rsid w:val="00DF0C45"/>
    <w:rsid w:val="00DF39F1"/>
    <w:rsid w:val="00DF4443"/>
    <w:rsid w:val="00DF70B5"/>
    <w:rsid w:val="00DF7A29"/>
    <w:rsid w:val="00E01689"/>
    <w:rsid w:val="00E11964"/>
    <w:rsid w:val="00E11A60"/>
    <w:rsid w:val="00E12C16"/>
    <w:rsid w:val="00E21FE0"/>
    <w:rsid w:val="00E3011B"/>
    <w:rsid w:val="00E3084B"/>
    <w:rsid w:val="00E43E66"/>
    <w:rsid w:val="00E45A06"/>
    <w:rsid w:val="00E527AD"/>
    <w:rsid w:val="00E53379"/>
    <w:rsid w:val="00E56E50"/>
    <w:rsid w:val="00E57F39"/>
    <w:rsid w:val="00E6290B"/>
    <w:rsid w:val="00E70FC2"/>
    <w:rsid w:val="00E81231"/>
    <w:rsid w:val="00E83863"/>
    <w:rsid w:val="00EA2381"/>
    <w:rsid w:val="00EA471D"/>
    <w:rsid w:val="00EB1484"/>
    <w:rsid w:val="00EB6C56"/>
    <w:rsid w:val="00EC18CB"/>
    <w:rsid w:val="00ED0C1F"/>
    <w:rsid w:val="00ED2CB5"/>
    <w:rsid w:val="00ED36DA"/>
    <w:rsid w:val="00ED4274"/>
    <w:rsid w:val="00EE1B90"/>
    <w:rsid w:val="00EE2A59"/>
    <w:rsid w:val="00EE4563"/>
    <w:rsid w:val="00EE5D3C"/>
    <w:rsid w:val="00EE6A87"/>
    <w:rsid w:val="00EF2C50"/>
    <w:rsid w:val="00F01A09"/>
    <w:rsid w:val="00F03CAB"/>
    <w:rsid w:val="00F11C24"/>
    <w:rsid w:val="00F15E68"/>
    <w:rsid w:val="00F1742D"/>
    <w:rsid w:val="00F21A90"/>
    <w:rsid w:val="00F25A17"/>
    <w:rsid w:val="00F3050C"/>
    <w:rsid w:val="00F31736"/>
    <w:rsid w:val="00F3275A"/>
    <w:rsid w:val="00F35743"/>
    <w:rsid w:val="00F43F61"/>
    <w:rsid w:val="00F46950"/>
    <w:rsid w:val="00F46B4C"/>
    <w:rsid w:val="00F506EF"/>
    <w:rsid w:val="00F55693"/>
    <w:rsid w:val="00F63102"/>
    <w:rsid w:val="00F65440"/>
    <w:rsid w:val="00F658F5"/>
    <w:rsid w:val="00F66B9E"/>
    <w:rsid w:val="00F7341E"/>
    <w:rsid w:val="00F773E3"/>
    <w:rsid w:val="00F8069D"/>
    <w:rsid w:val="00F817C9"/>
    <w:rsid w:val="00F8187A"/>
    <w:rsid w:val="00F84151"/>
    <w:rsid w:val="00F84672"/>
    <w:rsid w:val="00F85780"/>
    <w:rsid w:val="00F86E73"/>
    <w:rsid w:val="00F960E3"/>
    <w:rsid w:val="00F974A8"/>
    <w:rsid w:val="00FA02BC"/>
    <w:rsid w:val="00FA069D"/>
    <w:rsid w:val="00FA140D"/>
    <w:rsid w:val="00FA3706"/>
    <w:rsid w:val="00FA6C83"/>
    <w:rsid w:val="00FB1BAE"/>
    <w:rsid w:val="00FB2212"/>
    <w:rsid w:val="00FC5715"/>
    <w:rsid w:val="00FC6537"/>
    <w:rsid w:val="00FD162C"/>
    <w:rsid w:val="00FD5B57"/>
    <w:rsid w:val="00FD7100"/>
    <w:rsid w:val="00FE3464"/>
    <w:rsid w:val="00FF394A"/>
    <w:rsid w:val="00FF670D"/>
    <w:rsid w:val="00FF69C3"/>
    <w:rsid w:val="00FF7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73"/>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Heading2"/>
    <w:next w:val="Normal"/>
    <w:link w:val="Heading1Char"/>
    <w:uiPriority w:val="1"/>
    <w:qFormat/>
    <w:rsid w:val="00302172"/>
    <w:pPr>
      <w:spacing w:before="0" w:line="480" w:lineRule="auto"/>
      <w:outlineLvl w:val="0"/>
    </w:pPr>
    <w:rPr>
      <w:szCs w:val="24"/>
    </w:rPr>
  </w:style>
  <w:style w:type="paragraph" w:styleId="Heading2">
    <w:name w:val="heading 2"/>
    <w:basedOn w:val="Normal"/>
    <w:next w:val="Normal"/>
    <w:link w:val="Heading2Char"/>
    <w:uiPriority w:val="1"/>
    <w:unhideWhenUsed/>
    <w:qFormat/>
    <w:rsid w:val="00302172"/>
    <w:pPr>
      <w:keepNext/>
      <w:keepLines/>
      <w:numPr>
        <w:numId w:val="1"/>
      </w:numPr>
      <w:spacing w:before="200"/>
      <w:jc w:val="center"/>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02172"/>
    <w:rPr>
      <w:rFonts w:ascii="Times New Roman" w:eastAsia="Times New Roman" w:hAnsi="Times New Roman" w:cs="Times New Roman"/>
      <w:b/>
      <w:bCs/>
      <w:sz w:val="24"/>
      <w:szCs w:val="24"/>
    </w:rPr>
  </w:style>
  <w:style w:type="character" w:customStyle="1" w:styleId="Heading2Char">
    <w:name w:val="Heading 2 Char"/>
    <w:link w:val="Heading2"/>
    <w:uiPriority w:val="1"/>
    <w:rsid w:val="00302172"/>
    <w:rPr>
      <w:rFonts w:ascii="Times New Roman" w:eastAsia="Times New Roman" w:hAnsi="Times New Roman" w:cs="Times New Roman"/>
      <w:b/>
      <w:bCs/>
      <w:sz w:val="24"/>
      <w:szCs w:val="26"/>
    </w:rPr>
  </w:style>
  <w:style w:type="paragraph" w:styleId="Title">
    <w:name w:val="Title"/>
    <w:basedOn w:val="Normal"/>
    <w:next w:val="Normal"/>
    <w:link w:val="TitleChar"/>
    <w:uiPriority w:val="10"/>
    <w:qFormat/>
    <w:rsid w:val="00302172"/>
    <w:pPr>
      <w:outlineLvl w:val="0"/>
    </w:pPr>
  </w:style>
  <w:style w:type="character" w:customStyle="1" w:styleId="TitleChar">
    <w:name w:val="Title Char"/>
    <w:link w:val="Title"/>
    <w:uiPriority w:val="10"/>
    <w:rsid w:val="00302172"/>
    <w:rPr>
      <w:rFonts w:ascii="Times New Roman" w:eastAsia="Times New Roman" w:hAnsi="Times New Roman" w:cs="Times New Roman"/>
      <w:sz w:val="24"/>
      <w:szCs w:val="24"/>
    </w:rPr>
  </w:style>
  <w:style w:type="character" w:styleId="SubtleEmphasis">
    <w:name w:val="Subtle Emphasis"/>
    <w:uiPriority w:val="19"/>
    <w:qFormat/>
    <w:rsid w:val="00302172"/>
  </w:style>
  <w:style w:type="paragraph" w:customStyle="1" w:styleId="Default">
    <w:name w:val="Default"/>
    <w:rsid w:val="00302172"/>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unhideWhenUsed/>
    <w:rsid w:val="00302172"/>
    <w:pPr>
      <w:tabs>
        <w:tab w:val="center" w:pos="4680"/>
        <w:tab w:val="right" w:pos="9360"/>
      </w:tabs>
    </w:pPr>
  </w:style>
  <w:style w:type="character" w:customStyle="1" w:styleId="FooterChar">
    <w:name w:val="Footer Char"/>
    <w:link w:val="Footer"/>
    <w:uiPriority w:val="99"/>
    <w:rsid w:val="00302172"/>
    <w:rPr>
      <w:rFonts w:ascii="Times New Roman" w:eastAsia="Times New Roman" w:hAnsi="Times New Roman" w:cs="Times New Roman"/>
      <w:sz w:val="24"/>
      <w:szCs w:val="24"/>
    </w:rPr>
  </w:style>
  <w:style w:type="paragraph" w:styleId="ListParagraph">
    <w:name w:val="List Paragraph"/>
    <w:basedOn w:val="Normal"/>
    <w:uiPriority w:val="34"/>
    <w:qFormat/>
    <w:rsid w:val="00F11C24"/>
    <w:pPr>
      <w:numPr>
        <w:numId w:val="21"/>
      </w:numPr>
      <w:spacing w:line="480" w:lineRule="auto"/>
      <w:ind w:left="0" w:firstLine="720"/>
      <w:contextualSpacing/>
    </w:pPr>
  </w:style>
  <w:style w:type="character" w:styleId="CommentReference">
    <w:name w:val="annotation reference"/>
    <w:uiPriority w:val="99"/>
    <w:semiHidden/>
    <w:unhideWhenUsed/>
    <w:rsid w:val="00302172"/>
    <w:rPr>
      <w:sz w:val="16"/>
      <w:szCs w:val="16"/>
    </w:rPr>
  </w:style>
  <w:style w:type="paragraph" w:styleId="CommentText">
    <w:name w:val="annotation text"/>
    <w:basedOn w:val="Normal"/>
    <w:link w:val="CommentTextChar"/>
    <w:uiPriority w:val="99"/>
    <w:semiHidden/>
    <w:unhideWhenUsed/>
    <w:rsid w:val="00302172"/>
    <w:rPr>
      <w:sz w:val="20"/>
      <w:szCs w:val="20"/>
    </w:rPr>
  </w:style>
  <w:style w:type="character" w:customStyle="1" w:styleId="CommentTextChar">
    <w:name w:val="Comment Text Char"/>
    <w:link w:val="CommentText"/>
    <w:uiPriority w:val="99"/>
    <w:semiHidden/>
    <w:rsid w:val="003021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02172"/>
    <w:rPr>
      <w:rFonts w:ascii="Tahoma" w:hAnsi="Tahoma"/>
      <w:sz w:val="16"/>
      <w:szCs w:val="16"/>
    </w:rPr>
  </w:style>
  <w:style w:type="character" w:customStyle="1" w:styleId="BalloonTextChar">
    <w:name w:val="Balloon Text Char"/>
    <w:link w:val="BalloonText"/>
    <w:uiPriority w:val="99"/>
    <w:semiHidden/>
    <w:rsid w:val="0030217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53379"/>
    <w:rPr>
      <w:b/>
      <w:bCs/>
    </w:rPr>
  </w:style>
  <w:style w:type="character" w:customStyle="1" w:styleId="CommentSubjectChar">
    <w:name w:val="Comment Subject Char"/>
    <w:link w:val="CommentSubject"/>
    <w:uiPriority w:val="99"/>
    <w:semiHidden/>
    <w:rsid w:val="00E53379"/>
    <w:rPr>
      <w:rFonts w:ascii="Times New Roman" w:eastAsia="Times New Roman" w:hAnsi="Times New Roman" w:cs="Times New Roman"/>
      <w:b/>
      <w:bCs/>
      <w:sz w:val="20"/>
      <w:szCs w:val="20"/>
    </w:rPr>
  </w:style>
  <w:style w:type="paragraph" w:styleId="BodyText">
    <w:name w:val="Body Text"/>
    <w:basedOn w:val="Normal"/>
    <w:link w:val="BodyTextChar"/>
    <w:uiPriority w:val="1"/>
    <w:unhideWhenUsed/>
    <w:qFormat/>
    <w:rsid w:val="00205700"/>
    <w:pPr>
      <w:widowControl/>
      <w:autoSpaceDE/>
      <w:autoSpaceDN/>
      <w:adjustRightInd/>
      <w:spacing w:line="256" w:lineRule="auto"/>
      <w:ind w:left="113"/>
    </w:pPr>
    <w:rPr>
      <w:sz w:val="23"/>
      <w:szCs w:val="23"/>
    </w:rPr>
  </w:style>
  <w:style w:type="character" w:customStyle="1" w:styleId="BodyTextChar">
    <w:name w:val="Body Text Char"/>
    <w:link w:val="BodyText"/>
    <w:uiPriority w:val="1"/>
    <w:rsid w:val="00205700"/>
    <w:rPr>
      <w:rFonts w:ascii="Times New Roman" w:eastAsia="Times New Roman" w:hAnsi="Times New Roman"/>
      <w:sz w:val="23"/>
      <w:szCs w:val="23"/>
    </w:rPr>
  </w:style>
  <w:style w:type="paragraph" w:customStyle="1" w:styleId="statutory-body-2em">
    <w:name w:val="statutory-body-2em"/>
    <w:basedOn w:val="Normal"/>
    <w:rsid w:val="00703D76"/>
    <w:pPr>
      <w:widowControl/>
      <w:autoSpaceDE/>
      <w:autoSpaceDN/>
      <w:adjustRightInd/>
      <w:spacing w:before="100" w:beforeAutospacing="1" w:after="100" w:afterAutospacing="1"/>
    </w:pPr>
  </w:style>
  <w:style w:type="paragraph" w:customStyle="1" w:styleId="statutory-body-3em">
    <w:name w:val="statutory-body-3em"/>
    <w:basedOn w:val="Normal"/>
    <w:rsid w:val="00703D76"/>
    <w:pPr>
      <w:widowControl/>
      <w:autoSpaceDE/>
      <w:autoSpaceDN/>
      <w:adjustRightInd/>
      <w:spacing w:before="100" w:beforeAutospacing="1" w:after="100" w:afterAutospacing="1"/>
    </w:pPr>
  </w:style>
  <w:style w:type="paragraph" w:customStyle="1" w:styleId="TableParagraph">
    <w:name w:val="Table Paragraph"/>
    <w:basedOn w:val="Normal"/>
    <w:uiPriority w:val="1"/>
    <w:qFormat/>
    <w:rsid w:val="00703D76"/>
    <w:pPr>
      <w:widowControl/>
      <w:autoSpaceDE/>
      <w:autoSpaceDN/>
      <w:adjustRightInd/>
      <w:spacing w:line="256" w:lineRule="auto"/>
    </w:pPr>
    <w:rPr>
      <w:rFonts w:ascii="Calibri" w:eastAsia="Calibri" w:hAnsi="Calibri"/>
      <w:sz w:val="22"/>
      <w:szCs w:val="22"/>
    </w:rPr>
  </w:style>
  <w:style w:type="character" w:styleId="Hyperlink">
    <w:name w:val="Hyperlink"/>
    <w:basedOn w:val="DefaultParagraphFont"/>
    <w:uiPriority w:val="99"/>
    <w:unhideWhenUsed/>
    <w:rsid w:val="00D1660F"/>
    <w:rPr>
      <w:color w:val="0000FF" w:themeColor="hyperlink"/>
      <w:u w:val="single"/>
    </w:rPr>
  </w:style>
  <w:style w:type="paragraph" w:styleId="FootnoteText">
    <w:name w:val="footnote text"/>
    <w:basedOn w:val="Normal"/>
    <w:link w:val="FootnoteTextChar"/>
    <w:uiPriority w:val="99"/>
    <w:semiHidden/>
    <w:unhideWhenUsed/>
    <w:rsid w:val="00D1660F"/>
    <w:rPr>
      <w:sz w:val="20"/>
      <w:szCs w:val="20"/>
    </w:rPr>
  </w:style>
  <w:style w:type="character" w:customStyle="1" w:styleId="FootnoteTextChar">
    <w:name w:val="Footnote Text Char"/>
    <w:basedOn w:val="DefaultParagraphFont"/>
    <w:link w:val="FootnoteText"/>
    <w:uiPriority w:val="99"/>
    <w:semiHidden/>
    <w:rsid w:val="00D1660F"/>
    <w:rPr>
      <w:rFonts w:ascii="Times New Roman" w:eastAsia="Times New Roman" w:hAnsi="Times New Roman"/>
    </w:rPr>
  </w:style>
  <w:style w:type="character" w:styleId="FootnoteReference">
    <w:name w:val="footnote reference"/>
    <w:basedOn w:val="DefaultParagraphFont"/>
    <w:uiPriority w:val="99"/>
    <w:semiHidden/>
    <w:unhideWhenUsed/>
    <w:rsid w:val="00D1660F"/>
    <w:rPr>
      <w:vertAlign w:val="superscript"/>
    </w:rPr>
  </w:style>
  <w:style w:type="paragraph" w:styleId="Revision">
    <w:name w:val="Revision"/>
    <w:hidden/>
    <w:uiPriority w:val="99"/>
    <w:semiHidden/>
    <w:rsid w:val="005C702C"/>
    <w:rPr>
      <w:rFonts w:ascii="Times New Roman" w:eastAsia="Times New Roman" w:hAnsi="Times New Roman"/>
      <w:sz w:val="24"/>
      <w:szCs w:val="24"/>
    </w:rPr>
  </w:style>
  <w:style w:type="paragraph" w:styleId="Header">
    <w:name w:val="header"/>
    <w:basedOn w:val="Normal"/>
    <w:link w:val="HeaderChar"/>
    <w:uiPriority w:val="99"/>
    <w:semiHidden/>
    <w:unhideWhenUsed/>
    <w:rsid w:val="0034354A"/>
    <w:pPr>
      <w:tabs>
        <w:tab w:val="center" w:pos="4680"/>
        <w:tab w:val="right" w:pos="9360"/>
      </w:tabs>
    </w:pPr>
  </w:style>
  <w:style w:type="character" w:customStyle="1" w:styleId="HeaderChar">
    <w:name w:val="Header Char"/>
    <w:basedOn w:val="DefaultParagraphFont"/>
    <w:link w:val="Header"/>
    <w:uiPriority w:val="99"/>
    <w:semiHidden/>
    <w:rsid w:val="0034354A"/>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0F7640"/>
    <w:pPr>
      <w:widowControl/>
      <w:numPr>
        <w:numId w:val="0"/>
      </w:numPr>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0F7640"/>
    <w:pPr>
      <w:spacing w:after="100"/>
    </w:pPr>
  </w:style>
  <w:style w:type="paragraph" w:styleId="TOC2">
    <w:name w:val="toc 2"/>
    <w:basedOn w:val="Normal"/>
    <w:next w:val="Normal"/>
    <w:autoRedefine/>
    <w:uiPriority w:val="39"/>
    <w:semiHidden/>
    <w:unhideWhenUsed/>
    <w:qFormat/>
    <w:rsid w:val="000F7640"/>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0F7640"/>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A80706"/>
    <w:rPr>
      <w:rFonts w:ascii="Tahoma" w:hAnsi="Tahoma" w:cs="Tahoma"/>
      <w:sz w:val="16"/>
      <w:szCs w:val="16"/>
    </w:rPr>
  </w:style>
  <w:style w:type="character" w:customStyle="1" w:styleId="DocumentMapChar">
    <w:name w:val="Document Map Char"/>
    <w:basedOn w:val="DefaultParagraphFont"/>
    <w:link w:val="DocumentMap"/>
    <w:uiPriority w:val="99"/>
    <w:semiHidden/>
    <w:rsid w:val="00A8070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30949">
      <w:bodyDiv w:val="1"/>
      <w:marLeft w:val="0"/>
      <w:marRight w:val="0"/>
      <w:marTop w:val="0"/>
      <w:marBottom w:val="0"/>
      <w:divBdr>
        <w:top w:val="none" w:sz="0" w:space="0" w:color="auto"/>
        <w:left w:val="none" w:sz="0" w:space="0" w:color="auto"/>
        <w:bottom w:val="none" w:sz="0" w:space="0" w:color="auto"/>
        <w:right w:val="none" w:sz="0" w:space="0" w:color="auto"/>
      </w:divBdr>
      <w:divsChild>
        <w:div w:id="597642856">
          <w:marLeft w:val="0"/>
          <w:marRight w:val="0"/>
          <w:marTop w:val="0"/>
          <w:marBottom w:val="0"/>
          <w:divBdr>
            <w:top w:val="none" w:sz="0" w:space="0" w:color="auto"/>
            <w:left w:val="none" w:sz="0" w:space="0" w:color="auto"/>
            <w:bottom w:val="none" w:sz="0" w:space="0" w:color="auto"/>
            <w:right w:val="none" w:sz="0" w:space="0" w:color="auto"/>
          </w:divBdr>
          <w:divsChild>
            <w:div w:id="1866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1062">
      <w:bodyDiv w:val="1"/>
      <w:marLeft w:val="0"/>
      <w:marRight w:val="0"/>
      <w:marTop w:val="0"/>
      <w:marBottom w:val="0"/>
      <w:divBdr>
        <w:top w:val="none" w:sz="0" w:space="0" w:color="auto"/>
        <w:left w:val="none" w:sz="0" w:space="0" w:color="auto"/>
        <w:bottom w:val="none" w:sz="0" w:space="0" w:color="auto"/>
        <w:right w:val="none" w:sz="0" w:space="0" w:color="auto"/>
      </w:divBdr>
    </w:div>
    <w:div w:id="299921310">
      <w:bodyDiv w:val="1"/>
      <w:marLeft w:val="0"/>
      <w:marRight w:val="0"/>
      <w:marTop w:val="0"/>
      <w:marBottom w:val="0"/>
      <w:divBdr>
        <w:top w:val="none" w:sz="0" w:space="0" w:color="auto"/>
        <w:left w:val="none" w:sz="0" w:space="0" w:color="auto"/>
        <w:bottom w:val="none" w:sz="0" w:space="0" w:color="auto"/>
        <w:right w:val="none" w:sz="0" w:space="0" w:color="auto"/>
      </w:divBdr>
    </w:div>
    <w:div w:id="760951370">
      <w:bodyDiv w:val="1"/>
      <w:marLeft w:val="0"/>
      <w:marRight w:val="0"/>
      <w:marTop w:val="0"/>
      <w:marBottom w:val="0"/>
      <w:divBdr>
        <w:top w:val="none" w:sz="0" w:space="0" w:color="auto"/>
        <w:left w:val="none" w:sz="0" w:space="0" w:color="auto"/>
        <w:bottom w:val="none" w:sz="0" w:space="0" w:color="auto"/>
        <w:right w:val="none" w:sz="0" w:space="0" w:color="auto"/>
      </w:divBdr>
    </w:div>
    <w:div w:id="872232241">
      <w:bodyDiv w:val="1"/>
      <w:marLeft w:val="0"/>
      <w:marRight w:val="0"/>
      <w:marTop w:val="0"/>
      <w:marBottom w:val="0"/>
      <w:divBdr>
        <w:top w:val="none" w:sz="0" w:space="0" w:color="auto"/>
        <w:left w:val="none" w:sz="0" w:space="0" w:color="auto"/>
        <w:bottom w:val="none" w:sz="0" w:space="0" w:color="auto"/>
        <w:right w:val="none" w:sz="0" w:space="0" w:color="auto"/>
      </w:divBdr>
      <w:divsChild>
        <w:div w:id="388111343">
          <w:marLeft w:val="0"/>
          <w:marRight w:val="0"/>
          <w:marTop w:val="0"/>
          <w:marBottom w:val="0"/>
          <w:divBdr>
            <w:top w:val="none" w:sz="0" w:space="0" w:color="auto"/>
            <w:left w:val="none" w:sz="0" w:space="0" w:color="auto"/>
            <w:bottom w:val="none" w:sz="0" w:space="0" w:color="auto"/>
            <w:right w:val="none" w:sz="0" w:space="0" w:color="auto"/>
          </w:divBdr>
          <w:divsChild>
            <w:div w:id="14084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23642">
      <w:bodyDiv w:val="1"/>
      <w:marLeft w:val="0"/>
      <w:marRight w:val="0"/>
      <w:marTop w:val="0"/>
      <w:marBottom w:val="0"/>
      <w:divBdr>
        <w:top w:val="none" w:sz="0" w:space="0" w:color="auto"/>
        <w:left w:val="none" w:sz="0" w:space="0" w:color="auto"/>
        <w:bottom w:val="none" w:sz="0" w:space="0" w:color="auto"/>
        <w:right w:val="none" w:sz="0" w:space="0" w:color="auto"/>
      </w:divBdr>
    </w:div>
    <w:div w:id="1833175519">
      <w:bodyDiv w:val="1"/>
      <w:marLeft w:val="0"/>
      <w:marRight w:val="0"/>
      <w:marTop w:val="0"/>
      <w:marBottom w:val="0"/>
      <w:divBdr>
        <w:top w:val="none" w:sz="0" w:space="0" w:color="auto"/>
        <w:left w:val="none" w:sz="0" w:space="0" w:color="auto"/>
        <w:bottom w:val="none" w:sz="0" w:space="0" w:color="auto"/>
        <w:right w:val="none" w:sz="0" w:space="0" w:color="auto"/>
      </w:divBdr>
    </w:div>
    <w:div w:id="1898197601">
      <w:bodyDiv w:val="1"/>
      <w:marLeft w:val="0"/>
      <w:marRight w:val="0"/>
      <w:marTop w:val="0"/>
      <w:marBottom w:val="0"/>
      <w:divBdr>
        <w:top w:val="none" w:sz="0" w:space="0" w:color="auto"/>
        <w:left w:val="none" w:sz="0" w:space="0" w:color="auto"/>
        <w:bottom w:val="none" w:sz="0" w:space="0" w:color="auto"/>
        <w:right w:val="none" w:sz="0" w:space="0" w:color="auto"/>
      </w:divBdr>
    </w:div>
    <w:div w:id="1902710905">
      <w:bodyDiv w:val="1"/>
      <w:marLeft w:val="0"/>
      <w:marRight w:val="0"/>
      <w:marTop w:val="0"/>
      <w:marBottom w:val="0"/>
      <w:divBdr>
        <w:top w:val="none" w:sz="0" w:space="0" w:color="auto"/>
        <w:left w:val="none" w:sz="0" w:space="0" w:color="auto"/>
        <w:bottom w:val="none" w:sz="0" w:space="0" w:color="auto"/>
        <w:right w:val="none" w:sz="0" w:space="0" w:color="auto"/>
      </w:divBdr>
      <w:divsChild>
        <w:div w:id="1212378327">
          <w:marLeft w:val="0"/>
          <w:marRight w:val="0"/>
          <w:marTop w:val="0"/>
          <w:marBottom w:val="0"/>
          <w:divBdr>
            <w:top w:val="none" w:sz="0" w:space="0" w:color="auto"/>
            <w:left w:val="none" w:sz="0" w:space="0" w:color="auto"/>
            <w:bottom w:val="none" w:sz="0" w:space="0" w:color="auto"/>
            <w:right w:val="none" w:sz="0" w:space="0" w:color="auto"/>
          </w:divBdr>
        </w:div>
        <w:div w:id="618995159">
          <w:marLeft w:val="0"/>
          <w:marRight w:val="0"/>
          <w:marTop w:val="0"/>
          <w:marBottom w:val="0"/>
          <w:divBdr>
            <w:top w:val="none" w:sz="0" w:space="0" w:color="auto"/>
            <w:left w:val="none" w:sz="0" w:space="0" w:color="auto"/>
            <w:bottom w:val="none" w:sz="0" w:space="0" w:color="auto"/>
            <w:right w:val="none" w:sz="0" w:space="0" w:color="auto"/>
          </w:divBdr>
        </w:div>
        <w:div w:id="1139146791">
          <w:marLeft w:val="0"/>
          <w:marRight w:val="0"/>
          <w:marTop w:val="0"/>
          <w:marBottom w:val="0"/>
          <w:divBdr>
            <w:top w:val="none" w:sz="0" w:space="0" w:color="auto"/>
            <w:left w:val="none" w:sz="0" w:space="0" w:color="auto"/>
            <w:bottom w:val="none" w:sz="0" w:space="0" w:color="auto"/>
            <w:right w:val="none" w:sz="0" w:space="0" w:color="auto"/>
          </w:divBdr>
        </w:div>
        <w:div w:id="1549688385">
          <w:marLeft w:val="0"/>
          <w:marRight w:val="0"/>
          <w:marTop w:val="0"/>
          <w:marBottom w:val="0"/>
          <w:divBdr>
            <w:top w:val="none" w:sz="0" w:space="0" w:color="auto"/>
            <w:left w:val="none" w:sz="0" w:space="0" w:color="auto"/>
            <w:bottom w:val="none" w:sz="0" w:space="0" w:color="auto"/>
            <w:right w:val="none" w:sz="0" w:space="0" w:color="auto"/>
          </w:divBdr>
        </w:div>
        <w:div w:id="2050105521">
          <w:marLeft w:val="0"/>
          <w:marRight w:val="0"/>
          <w:marTop w:val="0"/>
          <w:marBottom w:val="0"/>
          <w:divBdr>
            <w:top w:val="none" w:sz="0" w:space="0" w:color="auto"/>
            <w:left w:val="none" w:sz="0" w:space="0" w:color="auto"/>
            <w:bottom w:val="none" w:sz="0" w:space="0" w:color="auto"/>
            <w:right w:val="none" w:sz="0" w:space="0" w:color="auto"/>
          </w:divBdr>
        </w:div>
        <w:div w:id="852190771">
          <w:marLeft w:val="0"/>
          <w:marRight w:val="0"/>
          <w:marTop w:val="0"/>
          <w:marBottom w:val="0"/>
          <w:divBdr>
            <w:top w:val="none" w:sz="0" w:space="0" w:color="auto"/>
            <w:left w:val="none" w:sz="0" w:space="0" w:color="auto"/>
            <w:bottom w:val="none" w:sz="0" w:space="0" w:color="auto"/>
            <w:right w:val="none" w:sz="0" w:space="0" w:color="auto"/>
          </w:divBdr>
        </w:div>
        <w:div w:id="1619943783">
          <w:marLeft w:val="0"/>
          <w:marRight w:val="0"/>
          <w:marTop w:val="0"/>
          <w:marBottom w:val="0"/>
          <w:divBdr>
            <w:top w:val="none" w:sz="0" w:space="0" w:color="auto"/>
            <w:left w:val="none" w:sz="0" w:space="0" w:color="auto"/>
            <w:bottom w:val="none" w:sz="0" w:space="0" w:color="auto"/>
            <w:right w:val="none" w:sz="0" w:space="0" w:color="auto"/>
          </w:divBdr>
        </w:div>
        <w:div w:id="1580870812">
          <w:marLeft w:val="0"/>
          <w:marRight w:val="0"/>
          <w:marTop w:val="0"/>
          <w:marBottom w:val="0"/>
          <w:divBdr>
            <w:top w:val="none" w:sz="0" w:space="0" w:color="auto"/>
            <w:left w:val="none" w:sz="0" w:space="0" w:color="auto"/>
            <w:bottom w:val="none" w:sz="0" w:space="0" w:color="auto"/>
            <w:right w:val="none" w:sz="0" w:space="0" w:color="auto"/>
          </w:divBdr>
        </w:div>
        <w:div w:id="75247867">
          <w:marLeft w:val="0"/>
          <w:marRight w:val="0"/>
          <w:marTop w:val="0"/>
          <w:marBottom w:val="0"/>
          <w:divBdr>
            <w:top w:val="none" w:sz="0" w:space="0" w:color="auto"/>
            <w:left w:val="none" w:sz="0" w:space="0" w:color="auto"/>
            <w:bottom w:val="none" w:sz="0" w:space="0" w:color="auto"/>
            <w:right w:val="none" w:sz="0" w:space="0" w:color="auto"/>
          </w:divBdr>
        </w:div>
        <w:div w:id="647053246">
          <w:marLeft w:val="0"/>
          <w:marRight w:val="0"/>
          <w:marTop w:val="0"/>
          <w:marBottom w:val="0"/>
          <w:divBdr>
            <w:top w:val="none" w:sz="0" w:space="0" w:color="auto"/>
            <w:left w:val="none" w:sz="0" w:space="0" w:color="auto"/>
            <w:bottom w:val="none" w:sz="0" w:space="0" w:color="auto"/>
            <w:right w:val="none" w:sz="0" w:space="0" w:color="auto"/>
          </w:divBdr>
        </w:div>
      </w:divsChild>
    </w:div>
    <w:div w:id="19940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33220-E192-49A8-B2BA-9178DA80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8759</Words>
  <Characters>49928</Characters>
  <Application>Microsoft Office Word</Application>
  <DocSecurity>0</DocSecurity>
  <Lines>416</Lines>
  <Paragraphs>117</Paragraphs>
  <ScaleCrop>false</ScaleCrop>
  <LinksUpToDate>false</LinksUpToDate>
  <CharactersWithSpaces>58570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2016-09-29T19:14:00Z</dcterms:created>
  <dcterms:modified xsi:type="dcterms:W3CDTF">2016-09-29T19:15:00Z</dcterms:modified>
</cp:coreProperties>
</file>