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83" w:rsidRDefault="00726D1D" w:rsidP="00733583">
      <w:pPr>
        <w:pStyle w:val="Address"/>
        <w:tabs>
          <w:tab w:val="left" w:pos="1260"/>
        </w:tabs>
      </w:pPr>
      <w:r>
        <w:rPr>
          <w:noProof/>
        </w:rPr>
        <w:pict>
          <v:shapetype id="_x0000_t202" coordsize="21600,21600" o:spt="202" path="m,l,21600r21600,l21600,xe">
            <v:stroke joinstyle="miter"/>
            <v:path gradientshapeok="t" o:connecttype="rect"/>
          </v:shapetype>
          <v:shape id="Text Box 2" o:spid="_x0000_s1026" type="#_x0000_t202" style="position:absolute;margin-left:-47.4pt;margin-top:-12pt;width:36pt;height:10in;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" o:allowincell="f" stroked="f">
            <v:textbox inset="0,0,0,0">
              <w:txbxContent>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4335A5">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4335A5">
                  <w:pPr>
                    <w:spacing w:after="0" w:line="480" w:lineRule="exact"/>
                    <w:jc w:val="right"/>
                  </w:pPr>
                </w:p>
              </w:txbxContent>
            </v:textbox>
            <w10:wrap anchorx="margin" anchory="margin"/>
          </v:shape>
        </w:pict>
      </w:r>
      <w:r w:rsidR="00733583" w:rsidRPr="00C44710">
        <w:t>THOMAS E. PEREZ, Assistant Attorney General</w:t>
      </w:r>
    </w:p>
    <w:p w:rsidR="00733583" w:rsidRDefault="00733583" w:rsidP="00733583">
      <w:pPr>
        <w:pStyle w:val="Address"/>
        <w:tabs>
          <w:tab w:val="left" w:pos="1260"/>
        </w:tabs>
      </w:pPr>
      <w:r>
        <w:t xml:space="preserve">SAMUEL R. BAGENSTOS, Principal </w:t>
      </w:r>
      <w:r>
        <w:rPr>
          <w:szCs w:val="24"/>
        </w:rPr>
        <w:t>Deputy Assistant Attorney General</w:t>
      </w:r>
    </w:p>
    <w:p w:rsidR="00733583" w:rsidRPr="007312A2" w:rsidRDefault="00733583" w:rsidP="00733583">
      <w:pPr>
        <w:pStyle w:val="Address"/>
        <w:tabs>
          <w:tab w:val="left" w:pos="1260"/>
        </w:tabs>
      </w:pPr>
      <w:r>
        <w:t xml:space="preserve">ALISON BARKOFF, Special Counsel for </w:t>
      </w:r>
      <w:r>
        <w:rPr>
          <w:i/>
        </w:rPr>
        <w:t>Olmstead</w:t>
      </w:r>
      <w:r>
        <w:t xml:space="preserve"> Enforcement</w:t>
      </w:r>
    </w:p>
    <w:p w:rsidR="00733583" w:rsidRPr="00BC4776" w:rsidRDefault="00733583" w:rsidP="00733583">
      <w:pPr>
        <w:pStyle w:val="Address"/>
        <w:tabs>
          <w:tab w:val="left" w:pos="1260"/>
        </w:tabs>
        <w:rPr>
          <w:szCs w:val="24"/>
        </w:rPr>
      </w:pPr>
      <w:r w:rsidRPr="00BC4776">
        <w:rPr>
          <w:szCs w:val="24"/>
        </w:rPr>
        <w:t>ALLISON</w:t>
      </w:r>
      <w:r w:rsidR="007B53AC" w:rsidRPr="00BC4776">
        <w:rPr>
          <w:szCs w:val="24"/>
        </w:rPr>
        <w:t xml:space="preserve"> J.</w:t>
      </w:r>
      <w:r w:rsidRPr="00BC4776">
        <w:rPr>
          <w:szCs w:val="24"/>
        </w:rPr>
        <w:t xml:space="preserve"> NICHOL, Chief</w:t>
      </w:r>
    </w:p>
    <w:p w:rsidR="00733583" w:rsidRPr="00BC4776" w:rsidRDefault="00733583" w:rsidP="00733583">
      <w:pPr>
        <w:pStyle w:val="Address"/>
        <w:tabs>
          <w:tab w:val="left" w:pos="1260"/>
        </w:tabs>
        <w:rPr>
          <w:szCs w:val="24"/>
        </w:rPr>
      </w:pPr>
      <w:r w:rsidRPr="00BC4776">
        <w:rPr>
          <w:szCs w:val="24"/>
        </w:rPr>
        <w:t>RENEE M. WOHLENHAUS, Deputy Chief</w:t>
      </w:r>
      <w:r w:rsidRPr="00BC4776">
        <w:rPr>
          <w:szCs w:val="24"/>
        </w:rPr>
        <w:tab/>
      </w:r>
    </w:p>
    <w:p w:rsidR="00F81E30" w:rsidRPr="00BC4776" w:rsidRDefault="00F81E30" w:rsidP="00733583">
      <w:pPr>
        <w:pStyle w:val="Address"/>
        <w:tabs>
          <w:tab w:val="left" w:pos="1260"/>
        </w:tabs>
        <w:rPr>
          <w:szCs w:val="24"/>
        </w:rPr>
      </w:pPr>
      <w:r w:rsidRPr="00BC4776">
        <w:rPr>
          <w:szCs w:val="24"/>
        </w:rPr>
        <w:t>REGAN RUSH, Trial Attorney</w:t>
      </w:r>
    </w:p>
    <w:p w:rsidR="00733583" w:rsidRPr="00BC4776" w:rsidRDefault="00733583" w:rsidP="00733583">
      <w:pPr>
        <w:pStyle w:val="Address"/>
        <w:tabs>
          <w:tab w:val="left" w:pos="1260"/>
        </w:tabs>
        <w:rPr>
          <w:szCs w:val="24"/>
        </w:rPr>
      </w:pPr>
      <w:r w:rsidRPr="00BC4776">
        <w:rPr>
          <w:szCs w:val="24"/>
        </w:rPr>
        <w:t>TRAVIS</w:t>
      </w:r>
      <w:r w:rsidR="00534BB4" w:rsidRPr="00BC4776">
        <w:rPr>
          <w:szCs w:val="24"/>
        </w:rPr>
        <w:t xml:space="preserve"> W. </w:t>
      </w:r>
      <w:r w:rsidRPr="00BC4776">
        <w:rPr>
          <w:szCs w:val="24"/>
        </w:rPr>
        <w:t>ENGLAND, Trial Attorney</w:t>
      </w:r>
      <w:r w:rsidRPr="00BC4776">
        <w:rPr>
          <w:szCs w:val="24"/>
        </w:rPr>
        <w:tab/>
      </w:r>
      <w:r w:rsidRPr="00BC4776">
        <w:rPr>
          <w:szCs w:val="24"/>
        </w:rPr>
        <w:tab/>
      </w:r>
      <w:r w:rsidRPr="00BC4776">
        <w:rPr>
          <w:szCs w:val="24"/>
        </w:rPr>
        <w:tab/>
      </w:r>
      <w:r w:rsidRPr="00BC4776">
        <w:rPr>
          <w:szCs w:val="24"/>
        </w:rPr>
        <w:tab/>
      </w:r>
      <w:r w:rsidRPr="00BC4776">
        <w:rPr>
          <w:szCs w:val="24"/>
        </w:rPr>
        <w:tab/>
      </w:r>
    </w:p>
    <w:p w:rsidR="00D50891" w:rsidRDefault="00D50891" w:rsidP="00BC4776">
      <w:pPr>
        <w:pStyle w:val="Address"/>
        <w:tabs>
          <w:tab w:val="left" w:pos="1260"/>
        </w:tabs>
        <w:ind w:left="720"/>
        <w:rPr>
          <w:szCs w:val="24"/>
        </w:rPr>
      </w:pPr>
      <w:r w:rsidRPr="00BC4776">
        <w:rPr>
          <w:szCs w:val="24"/>
        </w:rPr>
        <w:t xml:space="preserve">U.S. Department of Justice </w:t>
      </w:r>
    </w:p>
    <w:p w:rsidR="00733583" w:rsidRPr="00BC4776" w:rsidRDefault="00BC4776" w:rsidP="00BC4776">
      <w:pPr>
        <w:pStyle w:val="Address"/>
        <w:tabs>
          <w:tab w:val="left" w:pos="1260"/>
        </w:tabs>
        <w:ind w:left="720"/>
        <w:rPr>
          <w:szCs w:val="24"/>
        </w:rPr>
      </w:pPr>
      <w:r w:rsidRPr="00BC4776">
        <w:rPr>
          <w:szCs w:val="24"/>
        </w:rPr>
        <w:t>950 Pen</w:t>
      </w:r>
      <w:r w:rsidR="00733583" w:rsidRPr="00BC4776">
        <w:rPr>
          <w:szCs w:val="24"/>
        </w:rPr>
        <w:t>nsylvania Avenue, N.W. - NYA</w:t>
      </w:r>
    </w:p>
    <w:p w:rsidR="00733583" w:rsidRPr="00BC4776" w:rsidRDefault="00733583" w:rsidP="00BC4776">
      <w:pPr>
        <w:pStyle w:val="Address"/>
        <w:tabs>
          <w:tab w:val="left" w:pos="1260"/>
        </w:tabs>
        <w:ind w:left="720"/>
        <w:rPr>
          <w:szCs w:val="24"/>
        </w:rPr>
      </w:pPr>
      <w:r w:rsidRPr="00BC4776">
        <w:rPr>
          <w:szCs w:val="24"/>
        </w:rPr>
        <w:t>Washington, D.C. 20530</w:t>
      </w:r>
    </w:p>
    <w:p w:rsidR="00733583" w:rsidRPr="00BC4776" w:rsidRDefault="00733583" w:rsidP="00BC4776">
      <w:pPr>
        <w:pStyle w:val="Address"/>
        <w:tabs>
          <w:tab w:val="left" w:pos="1260"/>
        </w:tabs>
        <w:ind w:left="720"/>
        <w:rPr>
          <w:szCs w:val="24"/>
        </w:rPr>
      </w:pPr>
      <w:r w:rsidRPr="00BC4776">
        <w:rPr>
          <w:szCs w:val="24"/>
        </w:rPr>
        <w:t xml:space="preserve">Telephone: (202) </w:t>
      </w:r>
      <w:r w:rsidR="00D05287" w:rsidRPr="00BC4776">
        <w:rPr>
          <w:szCs w:val="24"/>
        </w:rPr>
        <w:t>307-0663</w:t>
      </w:r>
    </w:p>
    <w:p w:rsidR="00BC4776" w:rsidRPr="00BC4776" w:rsidRDefault="00BC4776" w:rsidP="00BC4776">
      <w:pPr>
        <w:pStyle w:val="Address"/>
        <w:tabs>
          <w:tab w:val="left" w:pos="1260"/>
        </w:tabs>
        <w:ind w:left="720"/>
        <w:rPr>
          <w:szCs w:val="24"/>
        </w:rPr>
      </w:pPr>
      <w:r w:rsidRPr="00BC4776">
        <w:rPr>
          <w:szCs w:val="24"/>
        </w:rPr>
        <w:t>Travis.England@usdoj.gov</w:t>
      </w:r>
    </w:p>
    <w:p w:rsidR="00BC4776" w:rsidRPr="00BC4776" w:rsidRDefault="00BC4776" w:rsidP="00BC4776">
      <w:pPr>
        <w:spacing w:after="0" w:line="240" w:lineRule="auto"/>
        <w:rPr>
          <w:rFonts w:ascii="Times New Roman" w:hAnsi="Times New Roman"/>
          <w:sz w:val="24"/>
          <w:szCs w:val="24"/>
        </w:rPr>
      </w:pPr>
      <w:r w:rsidRPr="00BC4776">
        <w:rPr>
          <w:rFonts w:ascii="Times New Roman" w:hAnsi="Times New Roman"/>
          <w:sz w:val="24"/>
          <w:szCs w:val="24"/>
        </w:rPr>
        <w:t>MELINDA HAAG</w:t>
      </w:r>
    </w:p>
    <w:p w:rsidR="00BC4776" w:rsidRPr="00BC4776" w:rsidRDefault="00BC4776" w:rsidP="00BC4776">
      <w:pPr>
        <w:spacing w:after="0" w:line="240" w:lineRule="auto"/>
        <w:rPr>
          <w:rFonts w:ascii="Times New Roman" w:hAnsi="Times New Roman"/>
          <w:sz w:val="24"/>
          <w:szCs w:val="24"/>
        </w:rPr>
      </w:pPr>
      <w:r w:rsidRPr="00BC4776">
        <w:rPr>
          <w:rFonts w:ascii="Times New Roman" w:hAnsi="Times New Roman"/>
          <w:sz w:val="24"/>
          <w:szCs w:val="24"/>
        </w:rPr>
        <w:t>United States Attorney</w:t>
      </w:r>
    </w:p>
    <w:p w:rsidR="00BC4776" w:rsidRPr="00BC4776" w:rsidRDefault="00BC4776" w:rsidP="00BC4776">
      <w:pPr>
        <w:spacing w:after="0" w:line="240" w:lineRule="auto"/>
        <w:rPr>
          <w:rFonts w:ascii="Times New Roman" w:hAnsi="Times New Roman"/>
          <w:sz w:val="24"/>
          <w:szCs w:val="24"/>
        </w:rPr>
      </w:pPr>
      <w:r w:rsidRPr="00BC4776">
        <w:rPr>
          <w:rFonts w:ascii="Times New Roman" w:hAnsi="Times New Roman"/>
          <w:sz w:val="24"/>
          <w:szCs w:val="24"/>
        </w:rPr>
        <w:t>ILA C. DEISS, NY SBN 3052909</w:t>
      </w:r>
    </w:p>
    <w:p w:rsidR="00BC4776" w:rsidRPr="00BC4776" w:rsidRDefault="00BC4776" w:rsidP="00BC4776">
      <w:pPr>
        <w:spacing w:after="0" w:line="240" w:lineRule="auto"/>
        <w:rPr>
          <w:rFonts w:ascii="Times New Roman" w:hAnsi="Times New Roman"/>
          <w:sz w:val="24"/>
          <w:szCs w:val="24"/>
        </w:rPr>
      </w:pPr>
      <w:r w:rsidRPr="00BC4776">
        <w:rPr>
          <w:rFonts w:ascii="Times New Roman" w:hAnsi="Times New Roman"/>
          <w:sz w:val="24"/>
          <w:szCs w:val="24"/>
        </w:rPr>
        <w:t>Assistant United States Attorne</w:t>
      </w:r>
      <w:r w:rsidR="00D50891">
        <w:rPr>
          <w:rFonts w:ascii="Times New Roman" w:hAnsi="Times New Roman"/>
          <w:sz w:val="24"/>
          <w:szCs w:val="24"/>
        </w:rPr>
        <w:t>y</w:t>
      </w:r>
      <w:r w:rsidRPr="00BC4776">
        <w:rPr>
          <w:rFonts w:ascii="Times New Roman" w:hAnsi="Times New Roman"/>
          <w:sz w:val="24"/>
          <w:szCs w:val="24"/>
        </w:rPr>
        <w:t xml:space="preserve">                                                                          </w:t>
      </w:r>
    </w:p>
    <w:p w:rsidR="00BC4776" w:rsidRPr="00BC4776" w:rsidRDefault="00BC4776" w:rsidP="00BC4776">
      <w:pPr>
        <w:spacing w:after="0" w:line="240" w:lineRule="auto"/>
        <w:ind w:left="720"/>
        <w:rPr>
          <w:rFonts w:ascii="Times New Roman" w:hAnsi="Times New Roman"/>
          <w:sz w:val="24"/>
          <w:szCs w:val="24"/>
        </w:rPr>
      </w:pPr>
      <w:r w:rsidRPr="00BC4776">
        <w:rPr>
          <w:rFonts w:ascii="Times New Roman" w:hAnsi="Times New Roman"/>
          <w:sz w:val="24"/>
          <w:szCs w:val="24"/>
        </w:rPr>
        <w:t>450 Golden Gate Avenue, Box 36055</w:t>
      </w:r>
    </w:p>
    <w:p w:rsidR="00BC4776" w:rsidRPr="00BC4776" w:rsidRDefault="00BC4776" w:rsidP="00BC4776">
      <w:pPr>
        <w:spacing w:after="0" w:line="240" w:lineRule="auto"/>
        <w:ind w:left="720"/>
        <w:rPr>
          <w:rFonts w:ascii="Times New Roman" w:hAnsi="Times New Roman"/>
          <w:sz w:val="24"/>
          <w:szCs w:val="24"/>
        </w:rPr>
      </w:pPr>
      <w:r w:rsidRPr="00BC4776">
        <w:rPr>
          <w:rFonts w:ascii="Times New Roman" w:hAnsi="Times New Roman"/>
          <w:sz w:val="24"/>
          <w:szCs w:val="24"/>
        </w:rPr>
        <w:t>San Francisco, California 94102</w:t>
      </w:r>
    </w:p>
    <w:p w:rsidR="00BC4776" w:rsidRPr="00BC4776" w:rsidRDefault="00BC4776" w:rsidP="00BC4776">
      <w:pPr>
        <w:spacing w:after="0" w:line="240" w:lineRule="auto"/>
        <w:ind w:left="720"/>
        <w:rPr>
          <w:rFonts w:ascii="Times New Roman" w:hAnsi="Times New Roman"/>
          <w:sz w:val="24"/>
          <w:szCs w:val="24"/>
        </w:rPr>
      </w:pPr>
      <w:r w:rsidRPr="00BC4776">
        <w:rPr>
          <w:rFonts w:ascii="Times New Roman" w:hAnsi="Times New Roman"/>
          <w:sz w:val="24"/>
          <w:szCs w:val="24"/>
        </w:rPr>
        <w:t>Telephone: (415) 436-7124</w:t>
      </w:r>
    </w:p>
    <w:p w:rsidR="00BC4776" w:rsidRPr="00BC4776" w:rsidRDefault="00BC4776" w:rsidP="00BC4776">
      <w:pPr>
        <w:spacing w:after="0" w:line="240" w:lineRule="auto"/>
        <w:ind w:left="720"/>
        <w:rPr>
          <w:rFonts w:ascii="Times New Roman" w:hAnsi="Times New Roman"/>
          <w:sz w:val="24"/>
          <w:szCs w:val="24"/>
        </w:rPr>
      </w:pPr>
      <w:r w:rsidRPr="00BC4776">
        <w:rPr>
          <w:rFonts w:ascii="Times New Roman" w:hAnsi="Times New Roman"/>
          <w:sz w:val="24"/>
          <w:szCs w:val="24"/>
        </w:rPr>
        <w:t>FAX: (415) 436-7169</w:t>
      </w:r>
    </w:p>
    <w:p w:rsidR="00BC4776" w:rsidRPr="003F1BD4" w:rsidRDefault="00BC4776" w:rsidP="00BC4776">
      <w:pPr>
        <w:spacing w:after="0" w:line="240" w:lineRule="auto"/>
        <w:ind w:left="720"/>
        <w:rPr>
          <w:rFonts w:ascii="Times New Roman" w:hAnsi="Times New Roman"/>
          <w:sz w:val="24"/>
          <w:szCs w:val="24"/>
          <w:u w:val="single"/>
        </w:rPr>
      </w:pPr>
      <w:r w:rsidRPr="003F1BD4">
        <w:rPr>
          <w:rFonts w:ascii="Times New Roman" w:hAnsi="Times New Roman"/>
          <w:sz w:val="24"/>
          <w:szCs w:val="24"/>
          <w:u w:val="single"/>
        </w:rPr>
        <w:t xml:space="preserve">Ila.deiss@usdoj.gov </w:t>
      </w:r>
    </w:p>
    <w:p w:rsidR="003F1BD4" w:rsidRDefault="003F1BD4" w:rsidP="00BC4776">
      <w:pPr>
        <w:pStyle w:val="Address"/>
        <w:tabs>
          <w:tab w:val="left" w:pos="1260"/>
        </w:tabs>
      </w:pPr>
    </w:p>
    <w:p w:rsidR="00BC4776" w:rsidRDefault="00BC4776" w:rsidP="00BC4776">
      <w:pPr>
        <w:pStyle w:val="Address"/>
        <w:tabs>
          <w:tab w:val="left" w:pos="1260"/>
        </w:tabs>
      </w:pPr>
      <w:r>
        <w:t xml:space="preserve">ATTORNEYS FOR UNITED STATES </w:t>
      </w:r>
    </w:p>
    <w:p w:rsidR="00BC4776" w:rsidRDefault="00BC4776" w:rsidP="00733583">
      <w:pPr>
        <w:pStyle w:val="Address"/>
        <w:tabs>
          <w:tab w:val="left" w:pos="1260"/>
        </w:tabs>
      </w:pPr>
    </w:p>
    <w:p w:rsidR="00733583" w:rsidRPr="00E655A3" w:rsidRDefault="00733583" w:rsidP="00733583">
      <w:pPr>
        <w:pStyle w:val="CourtName"/>
        <w:widowControl/>
        <w:spacing w:line="240" w:lineRule="auto"/>
        <w:rPr>
          <w:szCs w:val="24"/>
        </w:rPr>
      </w:pPr>
      <w:r w:rsidRPr="00E655A3">
        <w:rPr>
          <w:szCs w:val="24"/>
        </w:rPr>
        <w:t>IN THE UNITED STATES DISTRICT COURT</w:t>
      </w:r>
    </w:p>
    <w:p w:rsidR="00733583" w:rsidRDefault="00733583" w:rsidP="00733583">
      <w:pPr>
        <w:pStyle w:val="CourtName"/>
        <w:widowControl/>
        <w:spacing w:line="240" w:lineRule="auto"/>
        <w:rPr>
          <w:szCs w:val="24"/>
        </w:rPr>
      </w:pPr>
      <w:r>
        <w:rPr>
          <w:szCs w:val="24"/>
        </w:rPr>
        <w:t>FOR THE NORTHERN</w:t>
      </w:r>
      <w:r w:rsidRPr="00E655A3">
        <w:rPr>
          <w:szCs w:val="24"/>
        </w:rPr>
        <w:t xml:space="preserve"> DISTRICT OF CALIFORNIA</w:t>
      </w:r>
    </w:p>
    <w:p w:rsidR="003F1BD4" w:rsidRPr="00E655A3" w:rsidRDefault="003F1BD4" w:rsidP="00733583">
      <w:pPr>
        <w:pStyle w:val="CourtName"/>
        <w:widowControl/>
        <w:spacing w:line="240" w:lineRule="auto"/>
        <w:rPr>
          <w:szCs w:val="24"/>
        </w:rPr>
      </w:pPr>
    </w:p>
    <w:tbl>
      <w:tblPr>
        <w:tblW w:w="8774" w:type="dxa"/>
        <w:tblInd w:w="8" w:type="dxa"/>
        <w:tblLayout w:type="fixed"/>
        <w:tblCellMar>
          <w:left w:w="0" w:type="dxa"/>
          <w:right w:w="0" w:type="dxa"/>
        </w:tblCellMar>
        <w:tblLook w:val="0000"/>
      </w:tblPr>
      <w:tblGrid>
        <w:gridCol w:w="4294"/>
        <w:gridCol w:w="256"/>
        <w:gridCol w:w="4224"/>
      </w:tblGrid>
      <w:tr w:rsidR="00733583" w:rsidRPr="00E655A3" w:rsidTr="003F1BD4">
        <w:trPr>
          <w:trHeight w:val="5373"/>
        </w:trPr>
        <w:tc>
          <w:tcPr>
            <w:tcW w:w="4294" w:type="dxa"/>
            <w:tcBorders>
              <w:bottom w:val="single" w:sz="4" w:space="0" w:color="auto"/>
              <w:right w:val="single" w:sz="4" w:space="0" w:color="auto"/>
            </w:tcBorders>
          </w:tcPr>
          <w:p w:rsidR="00733583" w:rsidRPr="00373761" w:rsidRDefault="00733583" w:rsidP="00894727">
            <w:pPr>
              <w:spacing w:line="240" w:lineRule="exact"/>
              <w:rPr>
                <w:rFonts w:ascii="Times New Roman" w:hAnsi="Times New Roman"/>
                <w:sz w:val="24"/>
                <w:szCs w:val="24"/>
              </w:rPr>
            </w:pPr>
            <w:r>
              <w:rPr>
                <w:rFonts w:ascii="Times New Roman" w:hAnsi="Times New Roman"/>
                <w:sz w:val="24"/>
                <w:szCs w:val="24"/>
              </w:rPr>
              <w:t>ESTHER DARLING; RONALD BELL by his guardian ad litem Rozene Dilworth; GILDA GARCIA</w:t>
            </w:r>
            <w:r w:rsidR="00965AFA">
              <w:rPr>
                <w:rFonts w:ascii="Times New Roman" w:hAnsi="Times New Roman"/>
                <w:sz w:val="24"/>
                <w:szCs w:val="24"/>
              </w:rPr>
              <w:t>;</w:t>
            </w:r>
            <w:r>
              <w:rPr>
                <w:rFonts w:ascii="Times New Roman" w:hAnsi="Times New Roman"/>
                <w:sz w:val="24"/>
                <w:szCs w:val="24"/>
              </w:rPr>
              <w:t xml:space="preserve"> WENDY HELFRICH by her guardian ad litem Dennis Arnett; JESSIE JONES; RAIF NASYROV; ALLIE JO WOODARD, by her guardian ad litem Linda Gaspard-Berry; individually and</w:t>
            </w:r>
            <w:r w:rsidRPr="00373761">
              <w:rPr>
                <w:rFonts w:ascii="Times New Roman" w:hAnsi="Times New Roman"/>
                <w:sz w:val="24"/>
                <w:szCs w:val="24"/>
              </w:rPr>
              <w:t xml:space="preserve"> on behalf</w:t>
            </w:r>
            <w:r>
              <w:rPr>
                <w:rFonts w:ascii="Times New Roman" w:hAnsi="Times New Roman"/>
                <w:sz w:val="24"/>
                <w:szCs w:val="24"/>
              </w:rPr>
              <w:t xml:space="preserve"> of all </w:t>
            </w:r>
            <w:r w:rsidRPr="00373761">
              <w:rPr>
                <w:rFonts w:ascii="Times New Roman" w:hAnsi="Times New Roman"/>
                <w:sz w:val="24"/>
                <w:szCs w:val="24"/>
              </w:rPr>
              <w:t>others similarly situated,</w:t>
            </w:r>
          </w:p>
          <w:p w:rsidR="00733583" w:rsidRPr="00373761" w:rsidRDefault="00733583" w:rsidP="00894727">
            <w:pPr>
              <w:spacing w:line="240" w:lineRule="exact"/>
              <w:rPr>
                <w:rFonts w:ascii="Times New Roman" w:hAnsi="Times New Roman"/>
                <w:sz w:val="24"/>
                <w:szCs w:val="24"/>
              </w:rPr>
            </w:pPr>
          </w:p>
          <w:p w:rsidR="00733583" w:rsidRPr="00373761" w:rsidRDefault="00733583" w:rsidP="00894727">
            <w:pPr>
              <w:spacing w:line="240" w:lineRule="exact"/>
              <w:rPr>
                <w:rFonts w:ascii="Times New Roman" w:hAnsi="Times New Roman"/>
                <w:sz w:val="24"/>
                <w:szCs w:val="24"/>
              </w:rPr>
            </w:pPr>
            <w:r w:rsidRPr="00373761">
              <w:rPr>
                <w:rFonts w:ascii="Times New Roman" w:hAnsi="Times New Roman"/>
                <w:sz w:val="24"/>
                <w:szCs w:val="24"/>
              </w:rPr>
              <w:tab/>
            </w:r>
            <w:r w:rsidRPr="00373761">
              <w:rPr>
                <w:rFonts w:ascii="Times New Roman" w:hAnsi="Times New Roman"/>
                <w:sz w:val="24"/>
                <w:szCs w:val="24"/>
              </w:rPr>
              <w:tab/>
              <w:t>Plaintiffs,</w:t>
            </w:r>
          </w:p>
          <w:p w:rsidR="00733583" w:rsidRPr="00373761" w:rsidRDefault="00733583" w:rsidP="00894727">
            <w:pPr>
              <w:spacing w:line="240" w:lineRule="exact"/>
              <w:rPr>
                <w:rFonts w:ascii="Times New Roman" w:hAnsi="Times New Roman"/>
                <w:sz w:val="24"/>
                <w:szCs w:val="24"/>
              </w:rPr>
            </w:pPr>
            <w:r w:rsidRPr="00373761">
              <w:rPr>
                <w:rFonts w:ascii="Times New Roman" w:hAnsi="Times New Roman"/>
                <w:sz w:val="24"/>
                <w:szCs w:val="24"/>
              </w:rPr>
              <w:tab/>
              <w:t>v.</w:t>
            </w:r>
          </w:p>
          <w:p w:rsidR="00733583" w:rsidRPr="00373761" w:rsidRDefault="00733583" w:rsidP="00894727">
            <w:pPr>
              <w:spacing w:line="240" w:lineRule="exact"/>
              <w:rPr>
                <w:rFonts w:ascii="Times New Roman" w:hAnsi="Times New Roman"/>
                <w:sz w:val="24"/>
                <w:szCs w:val="24"/>
              </w:rPr>
            </w:pPr>
            <w:r>
              <w:rPr>
                <w:rFonts w:ascii="Times New Roman" w:hAnsi="Times New Roman"/>
                <w:sz w:val="24"/>
                <w:szCs w:val="24"/>
              </w:rPr>
              <w:t>TOBY DOUGLAS, Director of the Department of Health Care Services</w:t>
            </w:r>
            <w:r w:rsidRPr="00373761">
              <w:rPr>
                <w:rFonts w:ascii="Times New Roman" w:hAnsi="Times New Roman"/>
                <w:sz w:val="24"/>
                <w:szCs w:val="24"/>
              </w:rPr>
              <w:t>,</w:t>
            </w:r>
            <w:r>
              <w:rPr>
                <w:rFonts w:ascii="Times New Roman" w:hAnsi="Times New Roman"/>
                <w:sz w:val="24"/>
                <w:szCs w:val="24"/>
              </w:rPr>
              <w:t xml:space="preserve"> State of California, DEPARTMENT OF HEALTH CARE SERVICES</w:t>
            </w:r>
            <w:r w:rsidR="00965AFA">
              <w:rPr>
                <w:rFonts w:ascii="Times New Roman" w:hAnsi="Times New Roman"/>
                <w:sz w:val="24"/>
                <w:szCs w:val="24"/>
              </w:rPr>
              <w:t>,</w:t>
            </w:r>
          </w:p>
          <w:p w:rsidR="00733583" w:rsidRPr="00373761" w:rsidRDefault="00733583" w:rsidP="00894727">
            <w:pPr>
              <w:spacing w:line="240" w:lineRule="exact"/>
              <w:rPr>
                <w:rFonts w:ascii="Times New Roman" w:hAnsi="Times New Roman"/>
                <w:sz w:val="24"/>
                <w:szCs w:val="24"/>
              </w:rPr>
            </w:pPr>
          </w:p>
          <w:p w:rsidR="00733583" w:rsidRPr="00373761" w:rsidRDefault="00733583" w:rsidP="00894727">
            <w:pPr>
              <w:spacing w:line="240" w:lineRule="exact"/>
              <w:rPr>
                <w:rFonts w:ascii="Times New Roman" w:hAnsi="Times New Roman"/>
                <w:sz w:val="24"/>
                <w:szCs w:val="24"/>
              </w:rPr>
            </w:pPr>
            <w:r w:rsidRPr="00373761">
              <w:rPr>
                <w:rFonts w:ascii="Times New Roman" w:hAnsi="Times New Roman"/>
                <w:sz w:val="24"/>
                <w:szCs w:val="24"/>
              </w:rPr>
              <w:tab/>
            </w:r>
            <w:r w:rsidRPr="00373761">
              <w:rPr>
                <w:rFonts w:ascii="Times New Roman" w:hAnsi="Times New Roman"/>
                <w:sz w:val="24"/>
                <w:szCs w:val="24"/>
              </w:rPr>
              <w:tab/>
              <w:t>Defendants.</w:t>
            </w:r>
          </w:p>
          <w:p w:rsidR="00733583" w:rsidRPr="00373761" w:rsidRDefault="00733583" w:rsidP="00894727">
            <w:pPr>
              <w:spacing w:line="240" w:lineRule="exact"/>
              <w:rPr>
                <w:rFonts w:ascii="Times New Roman" w:hAnsi="Times New Roman"/>
                <w:sz w:val="24"/>
                <w:szCs w:val="24"/>
              </w:rPr>
            </w:pPr>
          </w:p>
        </w:tc>
        <w:tc>
          <w:tcPr>
            <w:tcW w:w="256" w:type="dxa"/>
            <w:tcBorders>
              <w:left w:val="single" w:sz="4" w:space="0" w:color="auto"/>
            </w:tcBorders>
          </w:tcPr>
          <w:p w:rsidR="00733583" w:rsidRPr="00373761" w:rsidRDefault="00733583" w:rsidP="00894727">
            <w:pPr>
              <w:spacing w:line="240" w:lineRule="exact"/>
              <w:rPr>
                <w:rFonts w:ascii="Times New Roman" w:hAnsi="Times New Roman"/>
                <w:sz w:val="24"/>
                <w:szCs w:val="24"/>
              </w:rPr>
            </w:pPr>
          </w:p>
          <w:p w:rsidR="00733583" w:rsidRPr="00373761" w:rsidRDefault="00733583" w:rsidP="00894727">
            <w:pPr>
              <w:spacing w:line="240" w:lineRule="exact"/>
              <w:rPr>
                <w:rFonts w:ascii="Times New Roman" w:hAnsi="Times New Roman"/>
                <w:sz w:val="24"/>
                <w:szCs w:val="24"/>
              </w:rPr>
            </w:pPr>
          </w:p>
        </w:tc>
        <w:tc>
          <w:tcPr>
            <w:tcW w:w="4224" w:type="dxa"/>
          </w:tcPr>
          <w:p w:rsidR="00733583" w:rsidRDefault="00733583" w:rsidP="00894727">
            <w:pPr>
              <w:spacing w:before="120" w:line="240" w:lineRule="exact"/>
              <w:rPr>
                <w:rFonts w:ascii="Times New Roman" w:hAnsi="Times New Roman"/>
                <w:sz w:val="24"/>
                <w:szCs w:val="24"/>
              </w:rPr>
            </w:pPr>
            <w:r w:rsidRPr="00373761">
              <w:rPr>
                <w:rFonts w:ascii="Times New Roman" w:hAnsi="Times New Roman"/>
                <w:sz w:val="24"/>
                <w:szCs w:val="24"/>
              </w:rPr>
              <w:t xml:space="preserve">Case No.  </w:t>
            </w:r>
            <w:r w:rsidR="00BC16D5">
              <w:rPr>
                <w:rFonts w:ascii="Times New Roman" w:hAnsi="Times New Roman"/>
                <w:sz w:val="24"/>
                <w:szCs w:val="24"/>
              </w:rPr>
              <w:t>C09-03798 SBA</w:t>
            </w:r>
          </w:p>
          <w:p w:rsidR="00733583" w:rsidRPr="00373761" w:rsidRDefault="00733583" w:rsidP="00894727">
            <w:pPr>
              <w:spacing w:before="120" w:line="240" w:lineRule="exact"/>
              <w:rPr>
                <w:rFonts w:ascii="Times New Roman" w:hAnsi="Times New Roman"/>
                <w:b/>
                <w:sz w:val="24"/>
                <w:szCs w:val="24"/>
              </w:rPr>
            </w:pPr>
            <w:r>
              <w:rPr>
                <w:rFonts w:ascii="Times New Roman" w:hAnsi="Times New Roman"/>
                <w:b/>
                <w:sz w:val="24"/>
                <w:szCs w:val="24"/>
              </w:rPr>
              <w:t>CLASS ACTION</w:t>
            </w:r>
          </w:p>
          <w:p w:rsidR="00733583" w:rsidRPr="00373761" w:rsidRDefault="00733583" w:rsidP="00894727">
            <w:pPr>
              <w:spacing w:line="240" w:lineRule="exact"/>
              <w:rPr>
                <w:rFonts w:ascii="Times New Roman" w:hAnsi="Times New Roman"/>
                <w:b/>
                <w:caps/>
                <w:sz w:val="24"/>
                <w:szCs w:val="24"/>
              </w:rPr>
            </w:pPr>
            <w:r w:rsidRPr="00373761">
              <w:rPr>
                <w:rFonts w:ascii="Times New Roman" w:hAnsi="Times New Roman"/>
                <w:b/>
                <w:caps/>
                <w:sz w:val="24"/>
                <w:szCs w:val="24"/>
              </w:rPr>
              <w:t>statement of interest of the united states</w:t>
            </w:r>
            <w:r w:rsidR="00894727">
              <w:rPr>
                <w:rFonts w:ascii="Times New Roman" w:hAnsi="Times New Roman"/>
                <w:b/>
                <w:caps/>
                <w:sz w:val="24"/>
                <w:szCs w:val="24"/>
              </w:rPr>
              <w:t xml:space="preserve"> of AMERICA</w:t>
            </w:r>
          </w:p>
          <w:p w:rsidR="00733583" w:rsidRDefault="00733583" w:rsidP="00894727">
            <w:pPr>
              <w:spacing w:after="0" w:line="240" w:lineRule="auto"/>
              <w:rPr>
                <w:rFonts w:ascii="Times New Roman" w:hAnsi="Times New Roman"/>
                <w:sz w:val="24"/>
                <w:szCs w:val="24"/>
              </w:rPr>
            </w:pPr>
            <w:r>
              <w:rPr>
                <w:rFonts w:ascii="Times New Roman" w:hAnsi="Times New Roman"/>
                <w:b/>
                <w:sz w:val="24"/>
                <w:szCs w:val="24"/>
              </w:rPr>
              <w:t>Hearing Date</w:t>
            </w:r>
            <w:r>
              <w:rPr>
                <w:rFonts w:ascii="Times New Roman" w:hAnsi="Times New Roman"/>
                <w:sz w:val="24"/>
                <w:szCs w:val="24"/>
              </w:rPr>
              <w:t xml:space="preserve">: </w:t>
            </w:r>
            <w:r>
              <w:rPr>
                <w:rFonts w:ascii="Times New Roman" w:hAnsi="Times New Roman"/>
                <w:b/>
                <w:sz w:val="24"/>
                <w:szCs w:val="24"/>
              </w:rPr>
              <w:t xml:space="preserve">July </w:t>
            </w:r>
            <w:r w:rsidRPr="00373761">
              <w:rPr>
                <w:rFonts w:ascii="Times New Roman" w:hAnsi="Times New Roman"/>
                <w:b/>
                <w:sz w:val="24"/>
                <w:szCs w:val="24"/>
              </w:rPr>
              <w:t>26, 2011</w:t>
            </w:r>
          </w:p>
          <w:p w:rsidR="00733583" w:rsidRPr="00373761" w:rsidRDefault="00733583" w:rsidP="00894727">
            <w:pPr>
              <w:spacing w:after="0" w:line="240" w:lineRule="auto"/>
              <w:rPr>
                <w:rFonts w:ascii="Times New Roman" w:hAnsi="Times New Roman"/>
                <w:sz w:val="24"/>
                <w:szCs w:val="24"/>
              </w:rPr>
            </w:pPr>
            <w:r w:rsidRPr="00373761">
              <w:rPr>
                <w:rFonts w:ascii="Times New Roman" w:hAnsi="Times New Roman"/>
                <w:b/>
                <w:sz w:val="24"/>
                <w:szCs w:val="24"/>
              </w:rPr>
              <w:t>Time:</w:t>
            </w:r>
            <w:r w:rsidRPr="00373761">
              <w:rPr>
                <w:rFonts w:ascii="Times New Roman" w:hAnsi="Times New Roman"/>
                <w:sz w:val="24"/>
                <w:szCs w:val="24"/>
              </w:rPr>
              <w:tab/>
            </w:r>
            <w:r w:rsidRPr="00373761">
              <w:rPr>
                <w:rFonts w:ascii="Times New Roman" w:hAnsi="Times New Roman"/>
                <w:sz w:val="24"/>
                <w:szCs w:val="24"/>
              </w:rPr>
              <w:tab/>
            </w:r>
            <w:r>
              <w:rPr>
                <w:rFonts w:ascii="Times New Roman" w:hAnsi="Times New Roman"/>
                <w:sz w:val="24"/>
                <w:szCs w:val="24"/>
              </w:rPr>
              <w:t xml:space="preserve"> 1:00 p</w:t>
            </w:r>
            <w:r w:rsidRPr="00373761">
              <w:rPr>
                <w:rFonts w:ascii="Times New Roman" w:hAnsi="Times New Roman"/>
                <w:sz w:val="24"/>
                <w:szCs w:val="24"/>
              </w:rPr>
              <w:t>.m.</w:t>
            </w:r>
          </w:p>
          <w:p w:rsidR="00733583" w:rsidRDefault="00733583" w:rsidP="00894727">
            <w:pPr>
              <w:spacing w:after="0" w:line="240" w:lineRule="auto"/>
              <w:rPr>
                <w:rFonts w:ascii="Times New Roman" w:hAnsi="Times New Roman"/>
                <w:sz w:val="24"/>
                <w:szCs w:val="24"/>
              </w:rPr>
            </w:pPr>
            <w:r w:rsidRPr="00373761">
              <w:rPr>
                <w:rFonts w:ascii="Times New Roman" w:hAnsi="Times New Roman"/>
                <w:b/>
                <w:sz w:val="24"/>
                <w:szCs w:val="24"/>
              </w:rPr>
              <w:t>Judge:</w:t>
            </w:r>
            <w:r w:rsidRPr="00373761">
              <w:rPr>
                <w:rFonts w:ascii="Times New Roman" w:hAnsi="Times New Roman"/>
                <w:sz w:val="24"/>
                <w:szCs w:val="24"/>
              </w:rPr>
              <w:tab/>
            </w:r>
            <w:r w:rsidRPr="00373761">
              <w:rPr>
                <w:rFonts w:ascii="Times New Roman" w:hAnsi="Times New Roman"/>
                <w:sz w:val="24"/>
                <w:szCs w:val="24"/>
              </w:rPr>
              <w:tab/>
            </w:r>
            <w:r>
              <w:rPr>
                <w:rFonts w:ascii="Times New Roman" w:hAnsi="Times New Roman"/>
                <w:sz w:val="24"/>
                <w:szCs w:val="24"/>
              </w:rPr>
              <w:t xml:space="preserve"> </w:t>
            </w:r>
            <w:r w:rsidRPr="00373761">
              <w:rPr>
                <w:rFonts w:ascii="Times New Roman" w:hAnsi="Times New Roman"/>
                <w:sz w:val="24"/>
                <w:szCs w:val="24"/>
              </w:rPr>
              <w:t xml:space="preserve">Hon. </w:t>
            </w:r>
            <w:r>
              <w:rPr>
                <w:rFonts w:ascii="Times New Roman" w:hAnsi="Times New Roman"/>
                <w:sz w:val="24"/>
                <w:szCs w:val="24"/>
              </w:rPr>
              <w:t xml:space="preserve">Saundra B. </w:t>
            </w:r>
            <w:r w:rsidR="00C72A7B">
              <w:rPr>
                <w:rFonts w:ascii="Times New Roman" w:hAnsi="Times New Roman"/>
                <w:sz w:val="24"/>
                <w:szCs w:val="24"/>
              </w:rPr>
              <w:t xml:space="preserve"> </w:t>
            </w:r>
          </w:p>
          <w:p w:rsidR="00C72A7B" w:rsidRDefault="00C72A7B" w:rsidP="00C72A7B">
            <w:pPr>
              <w:tabs>
                <w:tab w:val="left" w:pos="1497"/>
              </w:tabs>
              <w:spacing w:after="0" w:line="240" w:lineRule="auto"/>
              <w:rPr>
                <w:rFonts w:ascii="Times New Roman" w:hAnsi="Times New Roman"/>
                <w:sz w:val="24"/>
                <w:szCs w:val="24"/>
              </w:rPr>
            </w:pPr>
            <w:r>
              <w:rPr>
                <w:rFonts w:ascii="Times New Roman" w:hAnsi="Times New Roman"/>
                <w:sz w:val="24"/>
                <w:szCs w:val="24"/>
              </w:rPr>
              <w:tab/>
              <w:t>Armstrong</w:t>
            </w:r>
          </w:p>
          <w:p w:rsidR="00733583" w:rsidRDefault="00733583" w:rsidP="00894727">
            <w:pPr>
              <w:spacing w:after="0" w:line="240" w:lineRule="auto"/>
              <w:rPr>
                <w:rFonts w:ascii="Times New Roman" w:hAnsi="Times New Roman"/>
                <w:sz w:val="24"/>
                <w:szCs w:val="24"/>
              </w:rPr>
            </w:pPr>
            <w:r>
              <w:rPr>
                <w:rFonts w:ascii="Times New Roman" w:hAnsi="Times New Roman"/>
                <w:b/>
                <w:sz w:val="24"/>
                <w:szCs w:val="24"/>
              </w:rPr>
              <w:t xml:space="preserve">Address:         </w:t>
            </w:r>
            <w:r>
              <w:rPr>
                <w:rFonts w:ascii="Times New Roman" w:hAnsi="Times New Roman"/>
                <w:sz w:val="24"/>
                <w:szCs w:val="24"/>
              </w:rPr>
              <w:t>1301 Clay Street</w:t>
            </w:r>
          </w:p>
          <w:p w:rsidR="00733583" w:rsidRPr="00373761" w:rsidRDefault="00733583" w:rsidP="00894727">
            <w:pPr>
              <w:spacing w:after="0" w:line="240" w:lineRule="auto"/>
              <w:rPr>
                <w:rFonts w:ascii="Times New Roman" w:hAnsi="Times New Roman"/>
                <w:sz w:val="24"/>
                <w:szCs w:val="24"/>
              </w:rPr>
            </w:pPr>
            <w:r>
              <w:rPr>
                <w:rFonts w:ascii="Times New Roman" w:hAnsi="Times New Roman"/>
                <w:sz w:val="24"/>
                <w:szCs w:val="24"/>
              </w:rPr>
              <w:t xml:space="preserve">                        </w:t>
            </w:r>
            <w:r w:rsidR="00021364">
              <w:rPr>
                <w:rFonts w:ascii="Times New Roman" w:hAnsi="Times New Roman"/>
                <w:sz w:val="24"/>
                <w:szCs w:val="24"/>
              </w:rPr>
              <w:t xml:space="preserve"> </w:t>
            </w:r>
            <w:r>
              <w:rPr>
                <w:rFonts w:ascii="Times New Roman" w:hAnsi="Times New Roman"/>
                <w:sz w:val="24"/>
                <w:szCs w:val="24"/>
              </w:rPr>
              <w:t>Oakland, CA 94612</w:t>
            </w:r>
          </w:p>
          <w:p w:rsidR="00733583" w:rsidRPr="00373761" w:rsidRDefault="00733583" w:rsidP="00894727">
            <w:pPr>
              <w:spacing w:after="0" w:line="240" w:lineRule="auto"/>
              <w:rPr>
                <w:rFonts w:ascii="Times New Roman" w:hAnsi="Times New Roman"/>
                <w:sz w:val="24"/>
                <w:szCs w:val="24"/>
              </w:rPr>
            </w:pPr>
            <w:r w:rsidRPr="00373761">
              <w:rPr>
                <w:rFonts w:ascii="Times New Roman" w:hAnsi="Times New Roman"/>
                <w:b/>
                <w:sz w:val="24"/>
                <w:szCs w:val="24"/>
              </w:rPr>
              <w:t>Courtroom:</w:t>
            </w:r>
            <w:r>
              <w:rPr>
                <w:rFonts w:ascii="Times New Roman" w:hAnsi="Times New Roman"/>
                <w:sz w:val="24"/>
                <w:szCs w:val="24"/>
              </w:rPr>
              <w:t xml:space="preserve">    1, 4</w:t>
            </w:r>
            <w:r w:rsidRPr="00373761">
              <w:rPr>
                <w:rFonts w:ascii="Times New Roman" w:hAnsi="Times New Roman"/>
                <w:sz w:val="24"/>
                <w:szCs w:val="24"/>
                <w:vertAlign w:val="superscript"/>
              </w:rPr>
              <w:t>th</w:t>
            </w:r>
            <w:r>
              <w:rPr>
                <w:rFonts w:ascii="Times New Roman" w:hAnsi="Times New Roman"/>
                <w:sz w:val="24"/>
                <w:szCs w:val="24"/>
              </w:rPr>
              <w:t xml:space="preserve"> Floor</w:t>
            </w:r>
          </w:p>
        </w:tc>
      </w:tr>
    </w:tbl>
    <w:p w:rsidR="00733583" w:rsidRDefault="00733583" w:rsidP="006207C3">
      <w:pPr>
        <w:pBdr>
          <w:right w:val="single" w:sz="4" w:space="4" w:color="auto"/>
        </w:pBdr>
        <w:sectPr w:rsidR="00733583" w:rsidSect="00391C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Borders>
            <w:left w:val="double" w:sz="4" w:space="4" w:color="auto"/>
            <w:right w:val="single" w:sz="4" w:space="24" w:color="auto"/>
          </w:pgBorders>
          <w:cols w:space="720"/>
          <w:titlePg/>
          <w:docGrid w:linePitch="299"/>
        </w:sectPr>
      </w:pPr>
    </w:p>
    <w:p w:rsidR="00733583" w:rsidRPr="00733583" w:rsidRDefault="00726D1D" w:rsidP="00733583">
      <w:pPr>
        <w:jc w:val="center"/>
        <w:rPr>
          <w:rFonts w:ascii="Times New Roman" w:hAnsi="Times New Roman"/>
          <w:b/>
          <w:sz w:val="24"/>
          <w:szCs w:val="24"/>
        </w:rPr>
      </w:pPr>
      <w:r>
        <w:rPr>
          <w:rFonts w:ascii="Times New Roman" w:hAnsi="Times New Roman"/>
          <w:b/>
          <w:noProof/>
          <w:sz w:val="24"/>
          <w:szCs w:val="24"/>
        </w:rPr>
        <w:lastRenderedPageBreak/>
        <w:pict>
          <v:shape id="_x0000_s1027" type="#_x0000_t202" style="position:absolute;left:0;text-align:left;margin-left:-44.25pt;margin-top:-9pt;width:36pt;height:10in;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" o:allowincell="f" stroked="f">
            <v:textbox style="mso-next-textbox:#_x0000_s1027"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733583" w:rsidRPr="00733583">
        <w:rPr>
          <w:rFonts w:ascii="Times New Roman" w:hAnsi="Times New Roman"/>
          <w:b/>
          <w:sz w:val="24"/>
          <w:szCs w:val="24"/>
        </w:rPr>
        <w:t>Table of Contents</w:t>
      </w:r>
    </w:p>
    <w:p w:rsidR="00733583" w:rsidRDefault="00733583" w:rsidP="00733583">
      <w:pPr>
        <w:rPr>
          <w:rFonts w:ascii="Times New Roman" w:hAnsi="Times New Roman"/>
        </w:rPr>
      </w:pPr>
    </w:p>
    <w:p w:rsidR="00A465B2" w:rsidRDefault="00726D1D">
      <w:pPr>
        <w:pStyle w:val="TOC1"/>
        <w:rPr>
          <w:rFonts w:asciiTheme="minorHAnsi" w:eastAsiaTheme="minorEastAsia" w:hAnsiTheme="minorHAnsi" w:cstheme="minorBidi"/>
          <w:noProof/>
          <w:sz w:val="22"/>
          <w:szCs w:val="22"/>
        </w:rPr>
      </w:pPr>
      <w:r w:rsidRPr="00726D1D">
        <w:fldChar w:fldCharType="begin"/>
      </w:r>
      <w:r w:rsidR="00BD0704">
        <w:instrText xml:space="preserve"> TOC \o "1-4" \u </w:instrText>
      </w:r>
      <w:r w:rsidRPr="00726D1D">
        <w:fldChar w:fldCharType="separate"/>
      </w:r>
      <w:r w:rsidR="00A465B2" w:rsidRPr="004F6464">
        <w:rPr>
          <w:noProof/>
        </w:rPr>
        <w:t>I.</w:t>
      </w:r>
      <w:r w:rsidR="00A465B2">
        <w:rPr>
          <w:rFonts w:asciiTheme="minorHAnsi" w:eastAsiaTheme="minorEastAsia" w:hAnsiTheme="minorHAnsi" w:cstheme="minorBidi"/>
          <w:noProof/>
          <w:sz w:val="22"/>
          <w:szCs w:val="22"/>
        </w:rPr>
        <w:tab/>
      </w:r>
      <w:r w:rsidR="00A465B2">
        <w:rPr>
          <w:noProof/>
        </w:rPr>
        <w:t>INTRODUCTION</w:t>
      </w:r>
      <w:r w:rsidR="00A465B2">
        <w:rPr>
          <w:noProof/>
        </w:rPr>
        <w:tab/>
      </w:r>
      <w:r>
        <w:rPr>
          <w:noProof/>
        </w:rPr>
        <w:fldChar w:fldCharType="begin"/>
      </w:r>
      <w:r w:rsidR="00A465B2">
        <w:rPr>
          <w:noProof/>
        </w:rPr>
        <w:instrText xml:space="preserve"> PAGEREF _Toc298266478 \h </w:instrText>
      </w:r>
      <w:r>
        <w:rPr>
          <w:noProof/>
        </w:rPr>
      </w:r>
      <w:r>
        <w:rPr>
          <w:noProof/>
        </w:rPr>
        <w:fldChar w:fldCharType="separate"/>
      </w:r>
      <w:r w:rsidR="00A465B2">
        <w:rPr>
          <w:noProof/>
        </w:rPr>
        <w:t>1</w:t>
      </w:r>
      <w:r>
        <w:rPr>
          <w:noProof/>
        </w:rPr>
        <w:fldChar w:fldCharType="end"/>
      </w:r>
    </w:p>
    <w:p w:rsidR="00A465B2" w:rsidRDefault="00A465B2">
      <w:pPr>
        <w:pStyle w:val="TOC1"/>
        <w:rPr>
          <w:rFonts w:asciiTheme="minorHAnsi" w:eastAsiaTheme="minorEastAsia" w:hAnsiTheme="minorHAnsi" w:cstheme="minorBidi"/>
          <w:noProof/>
          <w:sz w:val="22"/>
          <w:szCs w:val="22"/>
        </w:rPr>
      </w:pPr>
      <w:r w:rsidRPr="004F6464">
        <w:rPr>
          <w:noProof/>
        </w:rPr>
        <w:t>II.</w:t>
      </w:r>
      <w:r>
        <w:rPr>
          <w:rFonts w:asciiTheme="minorHAnsi" w:eastAsiaTheme="minorEastAsia" w:hAnsiTheme="minorHAnsi" w:cstheme="minorBidi"/>
          <w:noProof/>
          <w:sz w:val="22"/>
          <w:szCs w:val="22"/>
        </w:rPr>
        <w:tab/>
      </w:r>
      <w:r>
        <w:rPr>
          <w:noProof/>
        </w:rPr>
        <w:t>STATEMENT OF FACTS</w:t>
      </w:r>
      <w:r>
        <w:rPr>
          <w:noProof/>
        </w:rPr>
        <w:tab/>
      </w:r>
      <w:r w:rsidR="00726D1D">
        <w:rPr>
          <w:noProof/>
        </w:rPr>
        <w:fldChar w:fldCharType="begin"/>
      </w:r>
      <w:r>
        <w:rPr>
          <w:noProof/>
        </w:rPr>
        <w:instrText xml:space="preserve"> PAGEREF _Toc298266479 \h </w:instrText>
      </w:r>
      <w:r w:rsidR="00726D1D">
        <w:rPr>
          <w:noProof/>
        </w:rPr>
      </w:r>
      <w:r w:rsidR="00726D1D">
        <w:rPr>
          <w:noProof/>
        </w:rPr>
        <w:fldChar w:fldCharType="separate"/>
      </w:r>
      <w:r>
        <w:rPr>
          <w:noProof/>
        </w:rPr>
        <w:t>3</w:t>
      </w:r>
      <w:r w:rsidR="00726D1D">
        <w:rPr>
          <w:noProof/>
        </w:rPr>
        <w:fldChar w:fldCharType="end"/>
      </w:r>
    </w:p>
    <w:p w:rsidR="00A465B2" w:rsidRDefault="00A465B2">
      <w:pPr>
        <w:pStyle w:val="TOC2"/>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Overview of the ADHC Program</w:t>
      </w:r>
      <w:r>
        <w:rPr>
          <w:noProof/>
        </w:rPr>
        <w:tab/>
      </w:r>
      <w:r w:rsidR="00726D1D">
        <w:rPr>
          <w:noProof/>
        </w:rPr>
        <w:fldChar w:fldCharType="begin"/>
      </w:r>
      <w:r>
        <w:rPr>
          <w:noProof/>
        </w:rPr>
        <w:instrText xml:space="preserve"> PAGEREF _Toc298266480 \h </w:instrText>
      </w:r>
      <w:r w:rsidR="00726D1D">
        <w:rPr>
          <w:noProof/>
        </w:rPr>
      </w:r>
      <w:r w:rsidR="00726D1D">
        <w:rPr>
          <w:noProof/>
        </w:rPr>
        <w:fldChar w:fldCharType="separate"/>
      </w:r>
      <w:r>
        <w:rPr>
          <w:noProof/>
        </w:rPr>
        <w:t>3</w:t>
      </w:r>
      <w:r w:rsidR="00726D1D">
        <w:rPr>
          <w:noProof/>
        </w:rPr>
        <w:fldChar w:fldCharType="end"/>
      </w:r>
    </w:p>
    <w:p w:rsidR="00A465B2" w:rsidRDefault="00A465B2">
      <w:pPr>
        <w:pStyle w:val="TOC2"/>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Elimination of ADHC Under Assembly Bill 97</w:t>
      </w:r>
      <w:r>
        <w:rPr>
          <w:noProof/>
        </w:rPr>
        <w:tab/>
      </w:r>
      <w:r w:rsidR="00726D1D">
        <w:rPr>
          <w:noProof/>
        </w:rPr>
        <w:fldChar w:fldCharType="begin"/>
      </w:r>
      <w:r>
        <w:rPr>
          <w:noProof/>
        </w:rPr>
        <w:instrText xml:space="preserve"> PAGEREF _Toc298266481 \h </w:instrText>
      </w:r>
      <w:r w:rsidR="00726D1D">
        <w:rPr>
          <w:noProof/>
        </w:rPr>
      </w:r>
      <w:r w:rsidR="00726D1D">
        <w:rPr>
          <w:noProof/>
        </w:rPr>
        <w:fldChar w:fldCharType="separate"/>
      </w:r>
      <w:r>
        <w:rPr>
          <w:noProof/>
        </w:rPr>
        <w:t>5</w:t>
      </w:r>
      <w:r w:rsidR="00726D1D">
        <w:rPr>
          <w:noProof/>
        </w:rPr>
        <w:fldChar w:fldCharType="end"/>
      </w:r>
    </w:p>
    <w:p w:rsidR="00A465B2" w:rsidRDefault="00A465B2">
      <w:pPr>
        <w:pStyle w:val="TOC1"/>
        <w:rPr>
          <w:rFonts w:asciiTheme="minorHAnsi" w:eastAsiaTheme="minorEastAsia" w:hAnsiTheme="minorHAnsi" w:cstheme="minorBidi"/>
          <w:noProof/>
          <w:sz w:val="22"/>
          <w:szCs w:val="22"/>
        </w:rPr>
      </w:pPr>
      <w:r w:rsidRPr="004F6464">
        <w:rPr>
          <w:noProof/>
        </w:rPr>
        <w:t>III.</w:t>
      </w:r>
      <w:r>
        <w:rPr>
          <w:rFonts w:asciiTheme="minorHAnsi" w:eastAsiaTheme="minorEastAsia" w:hAnsiTheme="minorHAnsi" w:cstheme="minorBidi"/>
          <w:noProof/>
          <w:sz w:val="22"/>
          <w:szCs w:val="22"/>
        </w:rPr>
        <w:tab/>
      </w:r>
      <w:r>
        <w:rPr>
          <w:noProof/>
        </w:rPr>
        <w:t>ARGUMENT</w:t>
      </w:r>
      <w:r>
        <w:rPr>
          <w:noProof/>
        </w:rPr>
        <w:tab/>
      </w:r>
      <w:r w:rsidR="00726D1D">
        <w:rPr>
          <w:noProof/>
        </w:rPr>
        <w:fldChar w:fldCharType="begin"/>
      </w:r>
      <w:r>
        <w:rPr>
          <w:noProof/>
        </w:rPr>
        <w:instrText xml:space="preserve"> PAGEREF _Toc298266482 \h </w:instrText>
      </w:r>
      <w:r w:rsidR="00726D1D">
        <w:rPr>
          <w:noProof/>
        </w:rPr>
      </w:r>
      <w:r w:rsidR="00726D1D">
        <w:rPr>
          <w:noProof/>
        </w:rPr>
        <w:fldChar w:fldCharType="separate"/>
      </w:r>
      <w:r>
        <w:rPr>
          <w:noProof/>
        </w:rPr>
        <w:t>6</w:t>
      </w:r>
      <w:r w:rsidR="00726D1D">
        <w:rPr>
          <w:noProof/>
        </w:rPr>
        <w:fldChar w:fldCharType="end"/>
      </w:r>
    </w:p>
    <w:p w:rsidR="00A465B2" w:rsidRDefault="00A465B2">
      <w:pPr>
        <w:pStyle w:val="TOC2"/>
        <w:rPr>
          <w:rFonts w:asciiTheme="minorHAnsi" w:eastAsiaTheme="minorEastAsia" w:hAnsiTheme="minorHAnsi" w:cstheme="minorBidi"/>
          <w:noProof/>
          <w:sz w:val="22"/>
        </w:rPr>
      </w:pPr>
      <w:r>
        <w:rPr>
          <w:noProof/>
        </w:rPr>
        <w:t>A.  Olmstead and the Integration Mandate</w:t>
      </w:r>
      <w:r>
        <w:rPr>
          <w:noProof/>
        </w:rPr>
        <w:tab/>
      </w:r>
      <w:r w:rsidR="00726D1D">
        <w:rPr>
          <w:noProof/>
        </w:rPr>
        <w:fldChar w:fldCharType="begin"/>
      </w:r>
      <w:r>
        <w:rPr>
          <w:noProof/>
        </w:rPr>
        <w:instrText xml:space="preserve"> PAGEREF _Toc298266483 \h </w:instrText>
      </w:r>
      <w:r w:rsidR="00726D1D">
        <w:rPr>
          <w:noProof/>
        </w:rPr>
      </w:r>
      <w:r w:rsidR="00726D1D">
        <w:rPr>
          <w:noProof/>
        </w:rPr>
        <w:fldChar w:fldCharType="separate"/>
      </w:r>
      <w:r>
        <w:rPr>
          <w:noProof/>
        </w:rPr>
        <w:t>6</w:t>
      </w:r>
      <w:r w:rsidR="00726D1D">
        <w:rPr>
          <w:noProof/>
        </w:rPr>
        <w:fldChar w:fldCharType="end"/>
      </w:r>
    </w:p>
    <w:p w:rsidR="00A465B2" w:rsidRDefault="00A465B2">
      <w:pPr>
        <w:pStyle w:val="TOC2"/>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Plaintiffs Satisfy the Requirements for a Preliminary Injunction</w:t>
      </w:r>
      <w:r>
        <w:rPr>
          <w:noProof/>
        </w:rPr>
        <w:tab/>
      </w:r>
      <w:r w:rsidR="00726D1D">
        <w:rPr>
          <w:noProof/>
        </w:rPr>
        <w:fldChar w:fldCharType="begin"/>
      </w:r>
      <w:r>
        <w:rPr>
          <w:noProof/>
        </w:rPr>
        <w:instrText xml:space="preserve"> PAGEREF _Toc298266484 \h </w:instrText>
      </w:r>
      <w:r w:rsidR="00726D1D">
        <w:rPr>
          <w:noProof/>
        </w:rPr>
      </w:r>
      <w:r w:rsidR="00726D1D">
        <w:rPr>
          <w:noProof/>
        </w:rPr>
        <w:fldChar w:fldCharType="separate"/>
      </w:r>
      <w:r>
        <w:rPr>
          <w:noProof/>
        </w:rPr>
        <w:t>7</w:t>
      </w:r>
      <w:r w:rsidR="00726D1D">
        <w:rPr>
          <w:noProof/>
        </w:rPr>
        <w:fldChar w:fldCharType="end"/>
      </w:r>
    </w:p>
    <w:p w:rsidR="00A465B2" w:rsidRDefault="00A465B2">
      <w:pPr>
        <w:pStyle w:val="TOC3"/>
        <w:tabs>
          <w:tab w:val="left" w:pos="880"/>
          <w:tab w:val="right" w:leader="dot" w:pos="8630"/>
        </w:tabs>
        <w:rPr>
          <w:rFonts w:asciiTheme="minorHAnsi" w:eastAsiaTheme="minorEastAsia" w:hAnsiTheme="minorHAnsi" w:cstheme="minorBidi"/>
          <w:noProof/>
          <w:sz w:val="22"/>
        </w:rPr>
      </w:pPr>
      <w:r w:rsidRPr="004F6464">
        <w:rPr>
          <w:noProof/>
        </w:rPr>
        <w:t>1.</w:t>
      </w:r>
      <w:r>
        <w:rPr>
          <w:rFonts w:asciiTheme="minorHAnsi" w:eastAsiaTheme="minorEastAsia" w:hAnsiTheme="minorHAnsi" w:cstheme="minorBidi"/>
          <w:noProof/>
          <w:sz w:val="22"/>
        </w:rPr>
        <w:tab/>
      </w:r>
      <w:r>
        <w:rPr>
          <w:noProof/>
        </w:rPr>
        <w:t>Plaintiffs Are Likely to Prevail On Their ADA Claim</w:t>
      </w:r>
      <w:r>
        <w:rPr>
          <w:noProof/>
        </w:rPr>
        <w:tab/>
      </w:r>
      <w:r w:rsidR="00726D1D">
        <w:rPr>
          <w:noProof/>
        </w:rPr>
        <w:fldChar w:fldCharType="begin"/>
      </w:r>
      <w:r>
        <w:rPr>
          <w:noProof/>
        </w:rPr>
        <w:instrText xml:space="preserve"> PAGEREF _Toc298266485 \h </w:instrText>
      </w:r>
      <w:r w:rsidR="00726D1D">
        <w:rPr>
          <w:noProof/>
        </w:rPr>
      </w:r>
      <w:r w:rsidR="00726D1D">
        <w:rPr>
          <w:noProof/>
        </w:rPr>
        <w:fldChar w:fldCharType="separate"/>
      </w:r>
      <w:r>
        <w:rPr>
          <w:noProof/>
        </w:rPr>
        <w:t>7</w:t>
      </w:r>
      <w:r w:rsidR="00726D1D">
        <w:rPr>
          <w:noProof/>
        </w:rPr>
        <w:fldChar w:fldCharType="end"/>
      </w:r>
    </w:p>
    <w:p w:rsidR="00A465B2" w:rsidRDefault="00A465B2">
      <w:pPr>
        <w:pStyle w:val="TOC4"/>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Plaintiffs have Article III standing to assert a violation of the ADA’s Integration Mandate</w:t>
      </w:r>
      <w:r>
        <w:rPr>
          <w:noProof/>
        </w:rPr>
        <w:tab/>
      </w:r>
      <w:r w:rsidR="00726D1D">
        <w:rPr>
          <w:noProof/>
        </w:rPr>
        <w:fldChar w:fldCharType="begin"/>
      </w:r>
      <w:r>
        <w:rPr>
          <w:noProof/>
        </w:rPr>
        <w:instrText xml:space="preserve"> PAGEREF _Toc298266486 \h </w:instrText>
      </w:r>
      <w:r w:rsidR="00726D1D">
        <w:rPr>
          <w:noProof/>
        </w:rPr>
      </w:r>
      <w:r w:rsidR="00726D1D">
        <w:rPr>
          <w:noProof/>
        </w:rPr>
        <w:fldChar w:fldCharType="separate"/>
      </w:r>
      <w:r>
        <w:rPr>
          <w:noProof/>
        </w:rPr>
        <w:t>8</w:t>
      </w:r>
      <w:r w:rsidR="00726D1D">
        <w:rPr>
          <w:noProof/>
        </w:rPr>
        <w:fldChar w:fldCharType="end"/>
      </w:r>
    </w:p>
    <w:p w:rsidR="00A465B2" w:rsidRDefault="00A465B2">
      <w:pPr>
        <w:pStyle w:val="TOC4"/>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Policies that place individuals with disabilities at serious risk of institutionalization violate the ADA</w:t>
      </w:r>
      <w:r>
        <w:rPr>
          <w:noProof/>
        </w:rPr>
        <w:tab/>
      </w:r>
      <w:r w:rsidR="00726D1D">
        <w:rPr>
          <w:noProof/>
        </w:rPr>
        <w:fldChar w:fldCharType="begin"/>
      </w:r>
      <w:r>
        <w:rPr>
          <w:noProof/>
        </w:rPr>
        <w:instrText xml:space="preserve"> PAGEREF _Toc298266487 \h </w:instrText>
      </w:r>
      <w:r w:rsidR="00726D1D">
        <w:rPr>
          <w:noProof/>
        </w:rPr>
      </w:r>
      <w:r w:rsidR="00726D1D">
        <w:rPr>
          <w:noProof/>
        </w:rPr>
        <w:fldChar w:fldCharType="separate"/>
      </w:r>
      <w:r>
        <w:rPr>
          <w:noProof/>
        </w:rPr>
        <w:t>9</w:t>
      </w:r>
      <w:r w:rsidR="00726D1D">
        <w:rPr>
          <w:noProof/>
        </w:rPr>
        <w:fldChar w:fldCharType="end"/>
      </w:r>
    </w:p>
    <w:p w:rsidR="00A465B2" w:rsidRDefault="00A465B2">
      <w:pPr>
        <w:pStyle w:val="TOC4"/>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Defendants’ elimination of ADHC services will place Plaintiffs and others similarly situated at serious risk of institutionalization</w:t>
      </w:r>
      <w:r>
        <w:rPr>
          <w:noProof/>
        </w:rPr>
        <w:tab/>
      </w:r>
      <w:r w:rsidR="00726D1D">
        <w:rPr>
          <w:noProof/>
        </w:rPr>
        <w:fldChar w:fldCharType="begin"/>
      </w:r>
      <w:r>
        <w:rPr>
          <w:noProof/>
        </w:rPr>
        <w:instrText xml:space="preserve"> PAGEREF _Toc298266488 \h </w:instrText>
      </w:r>
      <w:r w:rsidR="00726D1D">
        <w:rPr>
          <w:noProof/>
        </w:rPr>
      </w:r>
      <w:r w:rsidR="00726D1D">
        <w:rPr>
          <w:noProof/>
        </w:rPr>
        <w:fldChar w:fldCharType="separate"/>
      </w:r>
      <w:r>
        <w:rPr>
          <w:noProof/>
        </w:rPr>
        <w:t>13</w:t>
      </w:r>
      <w:r w:rsidR="00726D1D">
        <w:rPr>
          <w:noProof/>
        </w:rPr>
        <w:fldChar w:fldCharType="end"/>
      </w:r>
    </w:p>
    <w:p w:rsidR="00A465B2" w:rsidRDefault="00A465B2">
      <w:pPr>
        <w:pStyle w:val="TOC4"/>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The request that the implementation of AB 97 occur in a manner that minimizes disruptions in care that put Plaintiffs and others similarly situated at risk of entry into costly institutional settings is reasonable and does not fundamentally alter Defendants’ overall program of services</w:t>
      </w:r>
      <w:r>
        <w:rPr>
          <w:noProof/>
        </w:rPr>
        <w:tab/>
      </w:r>
      <w:r w:rsidR="00726D1D">
        <w:rPr>
          <w:noProof/>
        </w:rPr>
        <w:fldChar w:fldCharType="begin"/>
      </w:r>
      <w:r>
        <w:rPr>
          <w:noProof/>
        </w:rPr>
        <w:instrText xml:space="preserve"> PAGEREF _Toc298266489 \h </w:instrText>
      </w:r>
      <w:r w:rsidR="00726D1D">
        <w:rPr>
          <w:noProof/>
        </w:rPr>
      </w:r>
      <w:r w:rsidR="00726D1D">
        <w:rPr>
          <w:noProof/>
        </w:rPr>
        <w:fldChar w:fldCharType="separate"/>
      </w:r>
      <w:r>
        <w:rPr>
          <w:noProof/>
        </w:rPr>
        <w:t>19</w:t>
      </w:r>
      <w:r w:rsidR="00726D1D">
        <w:rPr>
          <w:noProof/>
        </w:rPr>
        <w:fldChar w:fldCharType="end"/>
      </w:r>
    </w:p>
    <w:p w:rsidR="00A465B2" w:rsidRDefault="00A465B2">
      <w:pPr>
        <w:pStyle w:val="TOC3"/>
        <w:tabs>
          <w:tab w:val="left" w:pos="880"/>
          <w:tab w:val="right" w:leader="dot" w:pos="8630"/>
        </w:tabs>
        <w:rPr>
          <w:rFonts w:asciiTheme="minorHAnsi" w:eastAsiaTheme="minorEastAsia" w:hAnsiTheme="minorHAnsi" w:cstheme="minorBidi"/>
          <w:noProof/>
          <w:sz w:val="22"/>
        </w:rPr>
      </w:pPr>
      <w:r w:rsidRPr="004F6464">
        <w:rPr>
          <w:noProof/>
        </w:rPr>
        <w:t>2.</w:t>
      </w:r>
      <w:r>
        <w:rPr>
          <w:rFonts w:asciiTheme="minorHAnsi" w:eastAsiaTheme="minorEastAsia" w:hAnsiTheme="minorHAnsi" w:cstheme="minorBidi"/>
          <w:noProof/>
          <w:sz w:val="22"/>
        </w:rPr>
        <w:tab/>
      </w:r>
      <w:r>
        <w:rPr>
          <w:noProof/>
        </w:rPr>
        <w:t>Plaintiffs Will Suffer Irreparable Harm Absent a Preliminary Injunction</w:t>
      </w:r>
      <w:r>
        <w:rPr>
          <w:noProof/>
        </w:rPr>
        <w:tab/>
      </w:r>
      <w:r w:rsidR="00726D1D">
        <w:rPr>
          <w:noProof/>
        </w:rPr>
        <w:fldChar w:fldCharType="begin"/>
      </w:r>
      <w:r>
        <w:rPr>
          <w:noProof/>
        </w:rPr>
        <w:instrText xml:space="preserve"> PAGEREF _Toc298266490 \h </w:instrText>
      </w:r>
      <w:r w:rsidR="00726D1D">
        <w:rPr>
          <w:noProof/>
        </w:rPr>
      </w:r>
      <w:r w:rsidR="00726D1D">
        <w:rPr>
          <w:noProof/>
        </w:rPr>
        <w:fldChar w:fldCharType="separate"/>
      </w:r>
      <w:r>
        <w:rPr>
          <w:noProof/>
        </w:rPr>
        <w:t>21</w:t>
      </w:r>
      <w:r w:rsidR="00726D1D">
        <w:rPr>
          <w:noProof/>
        </w:rPr>
        <w:fldChar w:fldCharType="end"/>
      </w:r>
    </w:p>
    <w:p w:rsidR="00A465B2" w:rsidRDefault="00A465B2">
      <w:pPr>
        <w:pStyle w:val="TOC3"/>
        <w:tabs>
          <w:tab w:val="left" w:pos="880"/>
          <w:tab w:val="right" w:leader="dot" w:pos="8630"/>
        </w:tabs>
        <w:rPr>
          <w:rFonts w:asciiTheme="minorHAnsi" w:eastAsiaTheme="minorEastAsia" w:hAnsiTheme="minorHAnsi" w:cstheme="minorBidi"/>
          <w:noProof/>
          <w:sz w:val="22"/>
        </w:rPr>
      </w:pPr>
      <w:r w:rsidRPr="004F6464">
        <w:rPr>
          <w:noProof/>
        </w:rPr>
        <w:t>3.</w:t>
      </w:r>
      <w:r>
        <w:rPr>
          <w:rFonts w:asciiTheme="minorHAnsi" w:eastAsiaTheme="minorEastAsia" w:hAnsiTheme="minorHAnsi" w:cstheme="minorBidi"/>
          <w:noProof/>
          <w:sz w:val="22"/>
        </w:rPr>
        <w:tab/>
      </w:r>
      <w:r>
        <w:rPr>
          <w:noProof/>
        </w:rPr>
        <w:t>The Balance of Hardships Weighs Heavily in Plaintiffs’ Favor and Granting Plaintiffs’ Request for a Preliminary Injunction is in the Public Interest</w:t>
      </w:r>
      <w:r>
        <w:rPr>
          <w:noProof/>
        </w:rPr>
        <w:tab/>
      </w:r>
      <w:r w:rsidR="00726D1D">
        <w:rPr>
          <w:noProof/>
        </w:rPr>
        <w:fldChar w:fldCharType="begin"/>
      </w:r>
      <w:r>
        <w:rPr>
          <w:noProof/>
        </w:rPr>
        <w:instrText xml:space="preserve"> PAGEREF _Toc298266491 \h </w:instrText>
      </w:r>
      <w:r w:rsidR="00726D1D">
        <w:rPr>
          <w:noProof/>
        </w:rPr>
      </w:r>
      <w:r w:rsidR="00726D1D">
        <w:rPr>
          <w:noProof/>
        </w:rPr>
        <w:fldChar w:fldCharType="separate"/>
      </w:r>
      <w:r>
        <w:rPr>
          <w:noProof/>
        </w:rPr>
        <w:t>22</w:t>
      </w:r>
      <w:r w:rsidR="00726D1D">
        <w:rPr>
          <w:noProof/>
        </w:rPr>
        <w:fldChar w:fldCharType="end"/>
      </w:r>
    </w:p>
    <w:p w:rsidR="00A465B2" w:rsidRDefault="00A465B2">
      <w:pPr>
        <w:pStyle w:val="TOC1"/>
        <w:rPr>
          <w:rFonts w:asciiTheme="minorHAnsi" w:eastAsiaTheme="minorEastAsia" w:hAnsiTheme="minorHAnsi" w:cstheme="minorBidi"/>
          <w:noProof/>
          <w:sz w:val="22"/>
          <w:szCs w:val="22"/>
        </w:rPr>
      </w:pPr>
      <w:r w:rsidRPr="004F6464">
        <w:rPr>
          <w:noProof/>
        </w:rPr>
        <w:t>IV.</w:t>
      </w:r>
      <w:r>
        <w:rPr>
          <w:rFonts w:asciiTheme="minorHAnsi" w:eastAsiaTheme="minorEastAsia" w:hAnsiTheme="minorHAnsi" w:cstheme="minorBidi"/>
          <w:noProof/>
          <w:sz w:val="22"/>
          <w:szCs w:val="22"/>
        </w:rPr>
        <w:tab/>
      </w:r>
      <w:r>
        <w:rPr>
          <w:noProof/>
        </w:rPr>
        <w:t>CONCLUSION</w:t>
      </w:r>
      <w:r>
        <w:rPr>
          <w:noProof/>
        </w:rPr>
        <w:tab/>
      </w:r>
      <w:r w:rsidR="00726D1D">
        <w:rPr>
          <w:noProof/>
        </w:rPr>
        <w:fldChar w:fldCharType="begin"/>
      </w:r>
      <w:r>
        <w:rPr>
          <w:noProof/>
        </w:rPr>
        <w:instrText xml:space="preserve"> PAGEREF _Toc298266492 \h </w:instrText>
      </w:r>
      <w:r w:rsidR="00726D1D">
        <w:rPr>
          <w:noProof/>
        </w:rPr>
      </w:r>
      <w:r w:rsidR="00726D1D">
        <w:rPr>
          <w:noProof/>
        </w:rPr>
        <w:fldChar w:fldCharType="separate"/>
      </w:r>
      <w:r>
        <w:rPr>
          <w:noProof/>
        </w:rPr>
        <w:t>23</w:t>
      </w:r>
      <w:r w:rsidR="00726D1D">
        <w:rPr>
          <w:noProof/>
        </w:rPr>
        <w:fldChar w:fldCharType="end"/>
      </w:r>
    </w:p>
    <w:p w:rsidR="00733583" w:rsidRDefault="00726D1D">
      <w:pPr>
        <w:sectPr w:rsidR="00733583" w:rsidSect="00391C31">
          <w:pgSz w:w="12240" w:h="15840"/>
          <w:pgMar w:top="1440" w:right="1800" w:bottom="1440" w:left="1800" w:header="720" w:footer="720" w:gutter="0"/>
          <w:pgBorders>
            <w:left w:val="double" w:sz="4" w:space="4" w:color="auto"/>
            <w:right w:val="single" w:sz="4" w:space="24" w:color="auto"/>
          </w:pgBorders>
          <w:pgNumType w:fmt="lowerRoman"/>
          <w:cols w:space="720"/>
        </w:sectPr>
      </w:pPr>
      <w:r>
        <w:fldChar w:fldCharType="end"/>
      </w:r>
    </w:p>
    <w:p w:rsidR="00733583" w:rsidRDefault="00726D1D" w:rsidP="00F81E30">
      <w:pPr>
        <w:jc w:val="center"/>
        <w:rPr>
          <w:rFonts w:ascii="Times New Roman" w:hAnsi="Times New Roman"/>
          <w:b/>
          <w:sz w:val="24"/>
          <w:szCs w:val="24"/>
        </w:rPr>
      </w:pPr>
      <w:r>
        <w:rPr>
          <w:rFonts w:ascii="Times New Roman" w:hAnsi="Times New Roman"/>
          <w:b/>
          <w:noProof/>
          <w:sz w:val="24"/>
          <w:szCs w:val="24"/>
        </w:rPr>
        <w:lastRenderedPageBreak/>
        <w:pict>
          <v:shape id="_x0000_s1028" type="#_x0000_t202" style="position:absolute;left:0;text-align:left;margin-left:-46.5pt;margin-top:-11.25pt;width:36pt;height:10in;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" o:allowincell="f" stroked="f">
            <v:textbox style="mso-next-textbox:#_x0000_s1028"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733583" w:rsidRPr="00733583">
        <w:rPr>
          <w:rFonts w:ascii="Times New Roman" w:hAnsi="Times New Roman"/>
          <w:b/>
          <w:sz w:val="24"/>
          <w:szCs w:val="24"/>
        </w:rPr>
        <w:t>Table of Authorities</w:t>
      </w:r>
    </w:p>
    <w:p w:rsidR="00A465B2" w:rsidRDefault="00726D1D">
      <w:pPr>
        <w:pStyle w:val="TOAHeading"/>
        <w:tabs>
          <w:tab w:val="right" w:leader="dot" w:pos="8630"/>
        </w:tabs>
        <w:rPr>
          <w:rFonts w:asciiTheme="minorHAnsi" w:eastAsiaTheme="minorEastAsia" w:hAnsiTheme="minorHAnsi" w:cstheme="minorBidi"/>
          <w:b w:val="0"/>
          <w:bCs w:val="0"/>
          <w:noProof/>
          <w:sz w:val="22"/>
          <w:szCs w:val="22"/>
        </w:rPr>
      </w:pPr>
      <w:r>
        <w:rPr>
          <w:b w:val="0"/>
        </w:rPr>
        <w:fldChar w:fldCharType="begin"/>
      </w:r>
      <w:r w:rsidR="00BD0704">
        <w:rPr>
          <w:b w:val="0"/>
        </w:rPr>
        <w:instrText xml:space="preserve"> TOA \h \c "1" \p </w:instrText>
      </w:r>
      <w:r>
        <w:rPr>
          <w:b w:val="0"/>
        </w:rPr>
        <w:fldChar w:fldCharType="separate"/>
      </w:r>
      <w:r w:rsidR="00A465B2">
        <w:rPr>
          <w:noProof/>
        </w:rPr>
        <w:t>Cases</w:t>
      </w:r>
    </w:p>
    <w:p w:rsidR="00A465B2" w:rsidRDefault="00A465B2">
      <w:pPr>
        <w:pStyle w:val="TableofAuthorities"/>
        <w:tabs>
          <w:tab w:val="right" w:leader="dot" w:pos="8630"/>
        </w:tabs>
        <w:rPr>
          <w:noProof/>
        </w:rPr>
      </w:pPr>
      <w:r w:rsidRPr="00944FC9">
        <w:rPr>
          <w:i/>
          <w:noProof/>
        </w:rPr>
        <w:t>Baird ex rel. Baird v. Rose</w:t>
      </w:r>
      <w:r>
        <w:rPr>
          <w:noProof/>
        </w:rPr>
        <w:t>, 192 F.3d 462 (4th Cir. 1999)</w:t>
      </w:r>
      <w:r>
        <w:rPr>
          <w:noProof/>
        </w:rPr>
        <w:tab/>
        <w:t>6</w:t>
      </w:r>
    </w:p>
    <w:p w:rsidR="00A465B2" w:rsidRDefault="00A465B2">
      <w:pPr>
        <w:pStyle w:val="TableofAuthorities"/>
        <w:tabs>
          <w:tab w:val="right" w:leader="dot" w:pos="8630"/>
        </w:tabs>
        <w:rPr>
          <w:noProof/>
        </w:rPr>
      </w:pPr>
      <w:r w:rsidRPr="00944FC9">
        <w:rPr>
          <w:i/>
          <w:iCs/>
          <w:noProof/>
        </w:rPr>
        <w:t>Ball v. Rogers</w:t>
      </w:r>
      <w:r w:rsidRPr="00944FC9">
        <w:rPr>
          <w:noProof/>
        </w:rPr>
        <w:t>, 2009 WL 13954235 (D. Ariz. April 24, 2009)</w:t>
      </w:r>
      <w:r>
        <w:rPr>
          <w:noProof/>
        </w:rPr>
        <w:tab/>
        <w:t>13, 19</w:t>
      </w:r>
    </w:p>
    <w:p w:rsidR="00A465B2" w:rsidRDefault="00A465B2">
      <w:pPr>
        <w:pStyle w:val="TableofAuthorities"/>
        <w:tabs>
          <w:tab w:val="right" w:leader="dot" w:pos="8630"/>
        </w:tabs>
        <w:rPr>
          <w:noProof/>
        </w:rPr>
      </w:pPr>
      <w:r w:rsidRPr="00944FC9">
        <w:rPr>
          <w:i/>
          <w:iCs/>
          <w:noProof/>
        </w:rPr>
        <w:t>Beno v. Shalala</w:t>
      </w:r>
      <w:r w:rsidRPr="00944FC9">
        <w:rPr>
          <w:noProof/>
        </w:rPr>
        <w:t>, 30 F. 3d 1057 (9th Cir. 1994)</w:t>
      </w:r>
      <w:r>
        <w:rPr>
          <w:noProof/>
        </w:rPr>
        <w:tab/>
        <w:t>21</w:t>
      </w:r>
    </w:p>
    <w:p w:rsidR="00A465B2" w:rsidRDefault="00A465B2">
      <w:pPr>
        <w:pStyle w:val="TableofAuthorities"/>
        <w:tabs>
          <w:tab w:val="right" w:leader="dot" w:pos="8630"/>
        </w:tabs>
        <w:rPr>
          <w:noProof/>
        </w:rPr>
      </w:pPr>
      <w:r w:rsidRPr="00944FC9">
        <w:rPr>
          <w:i/>
          <w:iCs/>
          <w:noProof/>
        </w:rPr>
        <w:t xml:space="preserve">Brantley </w:t>
      </w:r>
      <w:r w:rsidRPr="00944FC9">
        <w:rPr>
          <w:bCs/>
          <w:i/>
          <w:iCs/>
          <w:noProof/>
        </w:rPr>
        <w:t xml:space="preserve">v. Maxwell-Jolly, </w:t>
      </w:r>
      <w:r w:rsidRPr="00944FC9">
        <w:rPr>
          <w:bCs/>
          <w:noProof/>
        </w:rPr>
        <w:t>656 F. Supp. 2d 1161 (N.D. Cal. 2009)</w:t>
      </w:r>
      <w:r>
        <w:rPr>
          <w:noProof/>
        </w:rPr>
        <w:tab/>
        <w:t>passim</w:t>
      </w:r>
    </w:p>
    <w:p w:rsidR="00A465B2" w:rsidRDefault="00A465B2">
      <w:pPr>
        <w:pStyle w:val="TableofAuthorities"/>
        <w:tabs>
          <w:tab w:val="right" w:leader="dot" w:pos="8630"/>
        </w:tabs>
        <w:rPr>
          <w:noProof/>
        </w:rPr>
      </w:pPr>
      <w:r w:rsidRPr="00944FC9">
        <w:rPr>
          <w:i/>
          <w:iCs/>
          <w:noProof/>
        </w:rPr>
        <w:t>Cota v. Maxwell-Jolly</w:t>
      </w:r>
      <w:r w:rsidRPr="00944FC9">
        <w:rPr>
          <w:noProof/>
        </w:rPr>
        <w:t>, 688 F. Supp. 2d 980 (N.D. Cal. 2010)</w:t>
      </w:r>
      <w:r>
        <w:rPr>
          <w:noProof/>
        </w:rPr>
        <w:tab/>
        <w:t>passim</w:t>
      </w:r>
    </w:p>
    <w:p w:rsidR="00A465B2" w:rsidRDefault="00A465B2">
      <w:pPr>
        <w:pStyle w:val="TableofAuthorities"/>
        <w:tabs>
          <w:tab w:val="right" w:leader="dot" w:pos="8630"/>
        </w:tabs>
        <w:rPr>
          <w:noProof/>
        </w:rPr>
      </w:pPr>
      <w:r w:rsidRPr="00944FC9">
        <w:rPr>
          <w:i/>
          <w:iCs/>
          <w:noProof/>
        </w:rPr>
        <w:t>Crabtree v. Goetz</w:t>
      </w:r>
      <w:r w:rsidRPr="00944FC9">
        <w:rPr>
          <w:noProof/>
        </w:rPr>
        <w:t>, No. 08-0939, 2008 WL 5330506 (M.D. Tenn. Dec. 19, 2008)</w:t>
      </w:r>
      <w:r>
        <w:rPr>
          <w:noProof/>
        </w:rPr>
        <w:tab/>
        <w:t>22</w:t>
      </w:r>
    </w:p>
    <w:p w:rsidR="00A465B2" w:rsidRDefault="00A465B2">
      <w:pPr>
        <w:pStyle w:val="TableofAuthorities"/>
        <w:tabs>
          <w:tab w:val="right" w:leader="dot" w:pos="8630"/>
        </w:tabs>
        <w:rPr>
          <w:noProof/>
        </w:rPr>
      </w:pPr>
      <w:r w:rsidRPr="00944FC9">
        <w:rPr>
          <w:i/>
          <w:noProof/>
        </w:rPr>
        <w:t>Cruz v. Dudek</w:t>
      </w:r>
      <w:r w:rsidRPr="00944FC9">
        <w:rPr>
          <w:noProof/>
        </w:rPr>
        <w:t>, No. 10-23048, 2010 WL 4284955 (S.D. Fla. Oct 12, 2010)</w:t>
      </w:r>
      <w:r>
        <w:rPr>
          <w:noProof/>
        </w:rPr>
        <w:tab/>
        <w:t>12</w:t>
      </w:r>
    </w:p>
    <w:p w:rsidR="00A465B2" w:rsidRDefault="00A465B2">
      <w:pPr>
        <w:pStyle w:val="TableofAuthorities"/>
        <w:tabs>
          <w:tab w:val="right" w:leader="dot" w:pos="8630"/>
        </w:tabs>
        <w:rPr>
          <w:noProof/>
        </w:rPr>
      </w:pPr>
      <w:r w:rsidRPr="00944FC9">
        <w:rPr>
          <w:i/>
          <w:noProof/>
        </w:rPr>
        <w:t>Grooms v. Maram</w:t>
      </w:r>
      <w:r w:rsidRPr="00944FC9">
        <w:rPr>
          <w:noProof/>
        </w:rPr>
        <w:t>, 563 F. Supp. 2d 840 (N.D. Ill. 2008)</w:t>
      </w:r>
      <w:r>
        <w:rPr>
          <w:noProof/>
        </w:rPr>
        <w:tab/>
        <w:t>20</w:t>
      </w:r>
    </w:p>
    <w:p w:rsidR="00A465B2" w:rsidRDefault="00A465B2">
      <w:pPr>
        <w:pStyle w:val="TableofAuthorities"/>
        <w:tabs>
          <w:tab w:val="right" w:leader="dot" w:pos="8630"/>
        </w:tabs>
        <w:rPr>
          <w:noProof/>
        </w:rPr>
      </w:pPr>
      <w:r w:rsidRPr="00944FC9">
        <w:rPr>
          <w:i/>
          <w:iCs/>
          <w:noProof/>
        </w:rPr>
        <w:t>Haddad v. Arnold</w:t>
      </w:r>
      <w:r w:rsidRPr="00944FC9">
        <w:rPr>
          <w:noProof/>
        </w:rPr>
        <w:t xml:space="preserve">, No. 3:10-00414, </w:t>
      </w:r>
      <w:r w:rsidRPr="00944FC9">
        <w:rPr>
          <w:noProof/>
          <w:color w:val="000000"/>
        </w:rPr>
        <w:t>2010 WL 6650335</w:t>
      </w:r>
      <w:r w:rsidRPr="00944FC9">
        <w:rPr>
          <w:noProof/>
        </w:rPr>
        <w:t xml:space="preserve"> (M.D. Fla. July 9, 2010)</w:t>
      </w:r>
      <w:r>
        <w:rPr>
          <w:noProof/>
        </w:rPr>
        <w:tab/>
        <w:t>12, 22</w:t>
      </w:r>
    </w:p>
    <w:p w:rsidR="00A465B2" w:rsidRDefault="00A465B2">
      <w:pPr>
        <w:pStyle w:val="TableofAuthorities"/>
        <w:tabs>
          <w:tab w:val="right" w:leader="dot" w:pos="8630"/>
        </w:tabs>
        <w:rPr>
          <w:noProof/>
        </w:rPr>
      </w:pPr>
      <w:r w:rsidRPr="00944FC9">
        <w:rPr>
          <w:i/>
          <w:iCs/>
          <w:noProof/>
        </w:rPr>
        <w:t>Hiltibran v. Levy</w:t>
      </w:r>
      <w:r w:rsidRPr="00944FC9">
        <w:rPr>
          <w:noProof/>
        </w:rPr>
        <w:t>,  No. 2:10-cv-04185</w:t>
      </w:r>
      <w:r w:rsidRPr="00944FC9">
        <w:rPr>
          <w:noProof/>
          <w:color w:val="000000"/>
        </w:rPr>
        <w:t>, 2011 WL 2534332</w:t>
      </w:r>
      <w:r w:rsidRPr="00944FC9">
        <w:rPr>
          <w:noProof/>
        </w:rPr>
        <w:t xml:space="preserve"> (W.D. Mo. June 24, 2011)</w:t>
      </w:r>
      <w:r>
        <w:rPr>
          <w:noProof/>
        </w:rPr>
        <w:tab/>
        <w:t>13</w:t>
      </w:r>
    </w:p>
    <w:p w:rsidR="00A465B2" w:rsidRDefault="00A465B2">
      <w:pPr>
        <w:pStyle w:val="TableofAuthorities"/>
        <w:tabs>
          <w:tab w:val="right" w:leader="dot" w:pos="8630"/>
        </w:tabs>
        <w:rPr>
          <w:noProof/>
        </w:rPr>
      </w:pPr>
      <w:r w:rsidRPr="00944FC9">
        <w:rPr>
          <w:i/>
          <w:iCs/>
          <w:noProof/>
        </w:rPr>
        <w:t>Hiltibran v. Levy</w:t>
      </w:r>
      <w:r w:rsidRPr="00944FC9">
        <w:rPr>
          <w:noProof/>
        </w:rPr>
        <w:t>, No. 2:10-cv-04185</w:t>
      </w:r>
      <w:r w:rsidRPr="00944FC9">
        <w:rPr>
          <w:noProof/>
          <w:color w:val="000000"/>
        </w:rPr>
        <w:t>, 2010 WL 6825306</w:t>
      </w:r>
      <w:r w:rsidRPr="00944FC9">
        <w:rPr>
          <w:noProof/>
        </w:rPr>
        <w:t xml:space="preserve"> (W.D. Mo. Dec. 27, 2010)</w:t>
      </w:r>
      <w:r>
        <w:rPr>
          <w:noProof/>
        </w:rPr>
        <w:tab/>
        <w:t>13</w:t>
      </w:r>
    </w:p>
    <w:p w:rsidR="00A465B2" w:rsidRDefault="00A465B2">
      <w:pPr>
        <w:pStyle w:val="TableofAuthorities"/>
        <w:tabs>
          <w:tab w:val="right" w:leader="dot" w:pos="8630"/>
        </w:tabs>
        <w:rPr>
          <w:noProof/>
        </w:rPr>
      </w:pPr>
      <w:r w:rsidRPr="00944FC9">
        <w:rPr>
          <w:i/>
          <w:noProof/>
        </w:rPr>
        <w:t>Independent Living Ctr. Of S. Cal., Inc. v. Maxwell-Jolly</w:t>
      </w:r>
      <w:r w:rsidRPr="00944FC9">
        <w:rPr>
          <w:noProof/>
        </w:rPr>
        <w:t>, 572 F.3d 644 (9th Cir. 2009)</w:t>
      </w:r>
      <w:r>
        <w:rPr>
          <w:noProof/>
        </w:rPr>
        <w:tab/>
        <w:t>22, 23</w:t>
      </w:r>
    </w:p>
    <w:p w:rsidR="00A465B2" w:rsidRDefault="00A465B2">
      <w:pPr>
        <w:pStyle w:val="TableofAuthorities"/>
        <w:tabs>
          <w:tab w:val="right" w:leader="dot" w:pos="8630"/>
        </w:tabs>
        <w:rPr>
          <w:noProof/>
        </w:rPr>
      </w:pPr>
      <w:r w:rsidRPr="00944FC9">
        <w:rPr>
          <w:i/>
          <w:iCs/>
          <w:noProof/>
        </w:rPr>
        <w:t>Long v. Benson</w:t>
      </w:r>
      <w:r w:rsidRPr="00944FC9">
        <w:rPr>
          <w:noProof/>
        </w:rPr>
        <w:t>, No. 08cv26, 2008 WL 4571903 (N.D. Fla. Oct. 14, 2008)</w:t>
      </w:r>
      <w:r>
        <w:rPr>
          <w:noProof/>
        </w:rPr>
        <w:tab/>
        <w:t>22</w:t>
      </w:r>
    </w:p>
    <w:p w:rsidR="00A465B2" w:rsidRDefault="00A465B2">
      <w:pPr>
        <w:pStyle w:val="TableofAuthorities"/>
        <w:tabs>
          <w:tab w:val="right" w:leader="dot" w:pos="8630"/>
        </w:tabs>
        <w:rPr>
          <w:noProof/>
        </w:rPr>
      </w:pPr>
      <w:r w:rsidRPr="00944FC9">
        <w:rPr>
          <w:i/>
          <w:iCs/>
          <w:noProof/>
        </w:rPr>
        <w:t>Lujan v. Defenders of Wildlife</w:t>
      </w:r>
      <w:r w:rsidRPr="00944FC9">
        <w:rPr>
          <w:noProof/>
        </w:rPr>
        <w:t>, 504 U.S. 555 (1992)</w:t>
      </w:r>
      <w:r>
        <w:rPr>
          <w:noProof/>
        </w:rPr>
        <w:tab/>
        <w:t>8</w:t>
      </w:r>
    </w:p>
    <w:p w:rsidR="00A465B2" w:rsidRDefault="00A465B2">
      <w:pPr>
        <w:pStyle w:val="TableofAuthorities"/>
        <w:tabs>
          <w:tab w:val="right" w:leader="dot" w:pos="8630"/>
        </w:tabs>
        <w:rPr>
          <w:noProof/>
        </w:rPr>
      </w:pPr>
      <w:r w:rsidRPr="00944FC9">
        <w:rPr>
          <w:i/>
          <w:noProof/>
        </w:rPr>
        <w:t>M.A.C. v. Betit</w:t>
      </w:r>
      <w:r w:rsidRPr="00944FC9">
        <w:rPr>
          <w:noProof/>
        </w:rPr>
        <w:t>, 284 F. Supp. 2d 1298 (D. Utah 2003)</w:t>
      </w:r>
      <w:r>
        <w:rPr>
          <w:noProof/>
        </w:rPr>
        <w:tab/>
        <w:t>12</w:t>
      </w:r>
    </w:p>
    <w:p w:rsidR="00A465B2" w:rsidRDefault="00A465B2">
      <w:pPr>
        <w:pStyle w:val="TableofAuthorities"/>
        <w:tabs>
          <w:tab w:val="right" w:leader="dot" w:pos="8630"/>
        </w:tabs>
        <w:rPr>
          <w:noProof/>
        </w:rPr>
      </w:pPr>
      <w:r w:rsidRPr="00944FC9">
        <w:rPr>
          <w:i/>
          <w:noProof/>
        </w:rPr>
        <w:t>M.R. v. Dreyfus</w:t>
      </w:r>
      <w:r w:rsidRPr="00944FC9">
        <w:rPr>
          <w:noProof/>
        </w:rPr>
        <w:t>, 767 F. Supp. 2d 1149 (W.D. Wash. 2011)</w:t>
      </w:r>
      <w:r>
        <w:rPr>
          <w:noProof/>
        </w:rPr>
        <w:tab/>
        <w:t>11</w:t>
      </w:r>
    </w:p>
    <w:p w:rsidR="00A465B2" w:rsidRDefault="00A465B2">
      <w:pPr>
        <w:pStyle w:val="TableofAuthorities"/>
        <w:tabs>
          <w:tab w:val="right" w:leader="dot" w:pos="8630"/>
        </w:tabs>
        <w:rPr>
          <w:noProof/>
        </w:rPr>
      </w:pPr>
      <w:r w:rsidRPr="00944FC9">
        <w:rPr>
          <w:i/>
          <w:noProof/>
        </w:rPr>
        <w:t>Makin v. Hawaii</w:t>
      </w:r>
      <w:r w:rsidRPr="00944FC9">
        <w:rPr>
          <w:noProof/>
        </w:rPr>
        <w:t>, 114 F. Supp. 2d 1017 (D. Haw. 1999)</w:t>
      </w:r>
      <w:r>
        <w:rPr>
          <w:noProof/>
        </w:rPr>
        <w:tab/>
        <w:t>12</w:t>
      </w:r>
    </w:p>
    <w:p w:rsidR="00A465B2" w:rsidRDefault="00A465B2">
      <w:pPr>
        <w:pStyle w:val="TableofAuthorities"/>
        <w:tabs>
          <w:tab w:val="right" w:leader="dot" w:pos="8630"/>
        </w:tabs>
        <w:rPr>
          <w:noProof/>
        </w:rPr>
      </w:pPr>
      <w:r w:rsidRPr="00944FC9">
        <w:rPr>
          <w:i/>
          <w:iCs/>
          <w:noProof/>
        </w:rPr>
        <w:t>Marlo M. v. Cansler</w:t>
      </w:r>
      <w:r w:rsidRPr="00944FC9">
        <w:rPr>
          <w:noProof/>
        </w:rPr>
        <w:t>, 679 F. Supp. 2d 635 (E.D.N.C. 2010)</w:t>
      </w:r>
      <w:r>
        <w:rPr>
          <w:noProof/>
        </w:rPr>
        <w:tab/>
        <w:t>12, 22</w:t>
      </w:r>
    </w:p>
    <w:p w:rsidR="00A465B2" w:rsidRDefault="00A465B2">
      <w:pPr>
        <w:pStyle w:val="TableofAuthorities"/>
        <w:tabs>
          <w:tab w:val="right" w:leader="dot" w:pos="8630"/>
        </w:tabs>
        <w:rPr>
          <w:noProof/>
        </w:rPr>
      </w:pPr>
      <w:r w:rsidRPr="00944FC9">
        <w:rPr>
          <w:i/>
          <w:iCs/>
          <w:noProof/>
        </w:rPr>
        <w:t>Mental Disability Law Clinic v. Hogan</w:t>
      </w:r>
      <w:r w:rsidRPr="00944FC9">
        <w:rPr>
          <w:noProof/>
        </w:rPr>
        <w:t>, No. 06-cv-6320, 2008 WL 4104460 (E.D.N.Y. Aug. 26, 2008)</w:t>
      </w:r>
      <w:r>
        <w:rPr>
          <w:noProof/>
        </w:rPr>
        <w:tab/>
        <w:t>9</w:t>
      </w:r>
    </w:p>
    <w:p w:rsidR="00A465B2" w:rsidRDefault="00A465B2">
      <w:pPr>
        <w:pStyle w:val="TableofAuthorities"/>
        <w:tabs>
          <w:tab w:val="right" w:leader="dot" w:pos="8630"/>
        </w:tabs>
        <w:rPr>
          <w:noProof/>
        </w:rPr>
      </w:pPr>
      <w:r w:rsidRPr="00944FC9">
        <w:rPr>
          <w:i/>
          <w:iCs/>
          <w:noProof/>
        </w:rPr>
        <w:t>Olmstead v. L.C.</w:t>
      </w:r>
      <w:r w:rsidRPr="00944FC9">
        <w:rPr>
          <w:noProof/>
        </w:rPr>
        <w:t>, 527 U.S. 581 (1999)</w:t>
      </w:r>
      <w:r>
        <w:rPr>
          <w:noProof/>
        </w:rPr>
        <w:tab/>
        <w:t>1, 7, 23</w:t>
      </w:r>
    </w:p>
    <w:p w:rsidR="00A465B2" w:rsidRDefault="00A465B2">
      <w:pPr>
        <w:pStyle w:val="TableofAuthorities"/>
        <w:tabs>
          <w:tab w:val="right" w:leader="dot" w:pos="8630"/>
        </w:tabs>
        <w:rPr>
          <w:noProof/>
        </w:rPr>
      </w:pPr>
      <w:r w:rsidRPr="00944FC9">
        <w:rPr>
          <w:i/>
          <w:iCs/>
          <w:noProof/>
        </w:rPr>
        <w:t>Pennsylvania Protection and Advocacy, Inc. v. Pennsylvania Dept. of Pub. Welfare</w:t>
      </w:r>
      <w:r w:rsidRPr="00944FC9">
        <w:rPr>
          <w:noProof/>
        </w:rPr>
        <w:t>, 402 F.3d 374 (3d Cir. 2005)</w:t>
      </w:r>
      <w:r>
        <w:rPr>
          <w:noProof/>
        </w:rPr>
        <w:tab/>
        <w:t>21</w:t>
      </w:r>
    </w:p>
    <w:p w:rsidR="00A465B2" w:rsidRDefault="00A465B2">
      <w:pPr>
        <w:pStyle w:val="TableofAuthorities"/>
        <w:tabs>
          <w:tab w:val="right" w:leader="dot" w:pos="8630"/>
        </w:tabs>
        <w:rPr>
          <w:noProof/>
        </w:rPr>
      </w:pPr>
      <w:r w:rsidRPr="00944FC9">
        <w:rPr>
          <w:i/>
          <w:iCs/>
          <w:noProof/>
        </w:rPr>
        <w:t xml:space="preserve">Pitts v.Greenstein, </w:t>
      </w:r>
      <w:r w:rsidRPr="00944FC9">
        <w:rPr>
          <w:noProof/>
        </w:rPr>
        <w:t xml:space="preserve">No. 3:10-cv-00635, </w:t>
      </w:r>
      <w:r w:rsidRPr="00944FC9">
        <w:rPr>
          <w:noProof/>
          <w:color w:val="000000"/>
        </w:rPr>
        <w:t xml:space="preserve">2011 WL 1897552 </w:t>
      </w:r>
      <w:r w:rsidRPr="00944FC9">
        <w:rPr>
          <w:noProof/>
        </w:rPr>
        <w:t>(M.D. La. May 18, 2011)</w:t>
      </w:r>
      <w:r>
        <w:rPr>
          <w:noProof/>
        </w:rPr>
        <w:tab/>
        <w:t>13</w:t>
      </w:r>
    </w:p>
    <w:p w:rsidR="00A465B2" w:rsidRDefault="00A465B2">
      <w:pPr>
        <w:pStyle w:val="TableofAuthorities"/>
        <w:tabs>
          <w:tab w:val="right" w:leader="dot" w:pos="8630"/>
        </w:tabs>
        <w:rPr>
          <w:noProof/>
        </w:rPr>
      </w:pPr>
      <w:r w:rsidRPr="00944FC9">
        <w:rPr>
          <w:i/>
          <w:noProof/>
        </w:rPr>
        <w:t>Radaszewski ex rel. Radazewski v. Maram</w:t>
      </w:r>
      <w:r w:rsidRPr="00944FC9">
        <w:rPr>
          <w:noProof/>
        </w:rPr>
        <w:t>, 383 F.3d 599 (7th Cir. 2004)</w:t>
      </w:r>
      <w:r>
        <w:rPr>
          <w:noProof/>
        </w:rPr>
        <w:tab/>
        <w:t>20</w:t>
      </w:r>
    </w:p>
    <w:p w:rsidR="00A465B2" w:rsidRDefault="00A465B2">
      <w:pPr>
        <w:pStyle w:val="TableofAuthorities"/>
        <w:tabs>
          <w:tab w:val="right" w:leader="dot" w:pos="8630"/>
        </w:tabs>
        <w:rPr>
          <w:noProof/>
        </w:rPr>
      </w:pPr>
      <w:r w:rsidRPr="00944FC9">
        <w:rPr>
          <w:i/>
          <w:noProof/>
        </w:rPr>
        <w:t xml:space="preserve">Sanchez v. Johnson, </w:t>
      </w:r>
      <w:r>
        <w:rPr>
          <w:noProof/>
        </w:rPr>
        <w:t>416 F.3d 1051 (9th Cir. 2005)</w:t>
      </w:r>
      <w:r>
        <w:rPr>
          <w:noProof/>
        </w:rPr>
        <w:tab/>
        <w:t>6</w:t>
      </w:r>
    </w:p>
    <w:p w:rsidR="00A465B2" w:rsidRDefault="00A465B2">
      <w:pPr>
        <w:pStyle w:val="TableofAuthorities"/>
        <w:tabs>
          <w:tab w:val="right" w:leader="dot" w:pos="8630"/>
        </w:tabs>
        <w:rPr>
          <w:noProof/>
        </w:rPr>
      </w:pPr>
      <w:r w:rsidRPr="00944FC9">
        <w:rPr>
          <w:i/>
          <w:noProof/>
        </w:rPr>
        <w:t>V.L. v. Wagner</w:t>
      </w:r>
      <w:r w:rsidRPr="00944FC9">
        <w:rPr>
          <w:noProof/>
        </w:rPr>
        <w:t>, 669 F. Supp. 2d 1106 (N.D. Cal. 2009)</w:t>
      </w:r>
      <w:r>
        <w:rPr>
          <w:noProof/>
        </w:rPr>
        <w:tab/>
        <w:t>12, 21, 23</w:t>
      </w:r>
    </w:p>
    <w:p w:rsidR="00A465B2" w:rsidRDefault="00A465B2">
      <w:pPr>
        <w:pStyle w:val="TableofAuthorities"/>
        <w:tabs>
          <w:tab w:val="right" w:leader="dot" w:pos="8630"/>
        </w:tabs>
        <w:rPr>
          <w:noProof/>
        </w:rPr>
      </w:pPr>
      <w:r w:rsidRPr="00944FC9">
        <w:rPr>
          <w:i/>
          <w:iCs/>
          <w:noProof/>
        </w:rPr>
        <w:t>Winter v. Natural Res. Def. Council</w:t>
      </w:r>
      <w:r w:rsidRPr="00944FC9">
        <w:rPr>
          <w:noProof/>
        </w:rPr>
        <w:t xml:space="preserve">, </w:t>
      </w:r>
      <w:r w:rsidRPr="00944FC9">
        <w:rPr>
          <w:i/>
          <w:iCs/>
          <w:noProof/>
        </w:rPr>
        <w:t xml:space="preserve">Inc., </w:t>
      </w:r>
      <w:r w:rsidRPr="00944FC9">
        <w:rPr>
          <w:noProof/>
        </w:rPr>
        <w:t>555 U.S. 7 (2008)</w:t>
      </w:r>
      <w:r>
        <w:rPr>
          <w:noProof/>
        </w:rPr>
        <w:tab/>
        <w:t>7</w:t>
      </w:r>
    </w:p>
    <w:p w:rsidR="00A465B2" w:rsidRDefault="00A465B2">
      <w:pPr>
        <w:pStyle w:val="TableofAuthorities"/>
        <w:tabs>
          <w:tab w:val="right" w:leader="dot" w:pos="8630"/>
        </w:tabs>
        <w:rPr>
          <w:noProof/>
        </w:rPr>
      </w:pPr>
      <w:r w:rsidRPr="00944FC9">
        <w:rPr>
          <w:i/>
          <w:noProof/>
        </w:rPr>
        <w:t xml:space="preserve">Zukle v. Regents of Univ. of California, </w:t>
      </w:r>
      <w:r>
        <w:rPr>
          <w:noProof/>
        </w:rPr>
        <w:t>166 F.3d 1041 (9th Cir. 1999)</w:t>
      </w:r>
      <w:r>
        <w:rPr>
          <w:noProof/>
        </w:rPr>
        <w:tab/>
        <w:t>6</w:t>
      </w:r>
    </w:p>
    <w:p w:rsidR="00A465B2" w:rsidRDefault="00726D1D">
      <w:pPr>
        <w:pStyle w:val="TOAHeading"/>
        <w:tabs>
          <w:tab w:val="right" w:leader="dot" w:pos="8630"/>
        </w:tabs>
        <w:rPr>
          <w:rFonts w:asciiTheme="minorHAnsi" w:eastAsiaTheme="minorEastAsia" w:hAnsiTheme="minorHAnsi" w:cstheme="minorBidi"/>
          <w:b w:val="0"/>
          <w:bCs w:val="0"/>
          <w:noProof/>
          <w:sz w:val="22"/>
          <w:szCs w:val="22"/>
        </w:rPr>
      </w:pPr>
      <w:r>
        <w:rPr>
          <w:b w:val="0"/>
        </w:rPr>
        <w:fldChar w:fldCharType="end"/>
      </w:r>
      <w:r>
        <w:rPr>
          <w:b w:val="0"/>
        </w:rPr>
        <w:fldChar w:fldCharType="begin"/>
      </w:r>
      <w:r w:rsidR="00BD0704">
        <w:rPr>
          <w:b w:val="0"/>
        </w:rPr>
        <w:instrText xml:space="preserve"> TOA \h \c "2" \p </w:instrText>
      </w:r>
      <w:r>
        <w:rPr>
          <w:b w:val="0"/>
        </w:rPr>
        <w:fldChar w:fldCharType="separate"/>
      </w:r>
      <w:r w:rsidR="00A465B2">
        <w:rPr>
          <w:noProof/>
        </w:rPr>
        <w:t>Statutes</w:t>
      </w:r>
    </w:p>
    <w:p w:rsidR="00A465B2" w:rsidRDefault="00A465B2">
      <w:pPr>
        <w:pStyle w:val="TableofAuthorities"/>
        <w:tabs>
          <w:tab w:val="right" w:leader="dot" w:pos="8630"/>
        </w:tabs>
        <w:rPr>
          <w:noProof/>
        </w:rPr>
      </w:pPr>
      <w:r w:rsidRPr="00085AD4">
        <w:rPr>
          <w:noProof/>
        </w:rPr>
        <w:t>28 U.S.C. § 517</w:t>
      </w:r>
      <w:r>
        <w:rPr>
          <w:noProof/>
        </w:rPr>
        <w:tab/>
        <w:t>1</w:t>
      </w:r>
    </w:p>
    <w:p w:rsidR="00A465B2" w:rsidRDefault="00A465B2">
      <w:pPr>
        <w:pStyle w:val="TableofAuthorities"/>
        <w:tabs>
          <w:tab w:val="right" w:leader="dot" w:pos="8630"/>
        </w:tabs>
        <w:rPr>
          <w:noProof/>
        </w:rPr>
      </w:pPr>
      <w:r w:rsidRPr="00085AD4">
        <w:rPr>
          <w:noProof/>
        </w:rPr>
        <w:t>42 U.S.C. § 12101(a)(2)</w:t>
      </w:r>
      <w:r>
        <w:rPr>
          <w:noProof/>
        </w:rPr>
        <w:tab/>
        <w:t>6</w:t>
      </w:r>
    </w:p>
    <w:p w:rsidR="00A465B2" w:rsidRDefault="00A465B2">
      <w:pPr>
        <w:pStyle w:val="TableofAuthorities"/>
        <w:tabs>
          <w:tab w:val="right" w:leader="dot" w:pos="8630"/>
        </w:tabs>
        <w:rPr>
          <w:noProof/>
        </w:rPr>
      </w:pPr>
      <w:r w:rsidRPr="00085AD4">
        <w:rPr>
          <w:noProof/>
        </w:rPr>
        <w:t>42 U.S.C. § 12101(b)(1)</w:t>
      </w:r>
      <w:r>
        <w:rPr>
          <w:noProof/>
        </w:rPr>
        <w:tab/>
        <w:t>6</w:t>
      </w:r>
    </w:p>
    <w:p w:rsidR="00A465B2" w:rsidRDefault="00A465B2">
      <w:pPr>
        <w:pStyle w:val="TableofAuthorities"/>
        <w:tabs>
          <w:tab w:val="right" w:leader="dot" w:pos="8630"/>
        </w:tabs>
        <w:rPr>
          <w:noProof/>
        </w:rPr>
      </w:pPr>
      <w:r>
        <w:rPr>
          <w:noProof/>
        </w:rPr>
        <w:t>42 U.S.C. § 12117(b)</w:t>
      </w:r>
      <w:r>
        <w:rPr>
          <w:noProof/>
        </w:rPr>
        <w:tab/>
        <w:t>6</w:t>
      </w:r>
    </w:p>
    <w:p w:rsidR="00A465B2" w:rsidRDefault="00A465B2">
      <w:pPr>
        <w:pStyle w:val="TableofAuthorities"/>
        <w:tabs>
          <w:tab w:val="right" w:leader="dot" w:pos="8630"/>
        </w:tabs>
        <w:rPr>
          <w:noProof/>
        </w:rPr>
      </w:pPr>
      <w:r w:rsidRPr="00085AD4">
        <w:rPr>
          <w:noProof/>
        </w:rPr>
        <w:t>42 U.S.C. § 12131</w:t>
      </w:r>
      <w:r>
        <w:rPr>
          <w:noProof/>
        </w:rPr>
        <w:tab/>
        <w:t>1</w:t>
      </w:r>
    </w:p>
    <w:p w:rsidR="00A465B2" w:rsidRDefault="00A465B2">
      <w:pPr>
        <w:pStyle w:val="TableofAuthorities"/>
        <w:tabs>
          <w:tab w:val="right" w:leader="dot" w:pos="8630"/>
        </w:tabs>
        <w:rPr>
          <w:noProof/>
        </w:rPr>
      </w:pPr>
      <w:r w:rsidRPr="00085AD4">
        <w:rPr>
          <w:noProof/>
        </w:rPr>
        <w:t>42 U.S.C. § 12132</w:t>
      </w:r>
      <w:r>
        <w:rPr>
          <w:noProof/>
        </w:rPr>
        <w:tab/>
        <w:t>6, 11</w:t>
      </w:r>
    </w:p>
    <w:p w:rsidR="00A465B2" w:rsidRDefault="00A465B2">
      <w:pPr>
        <w:pStyle w:val="TableofAuthorities"/>
        <w:tabs>
          <w:tab w:val="right" w:leader="dot" w:pos="8630"/>
        </w:tabs>
        <w:rPr>
          <w:noProof/>
        </w:rPr>
      </w:pPr>
      <w:r w:rsidRPr="00085AD4">
        <w:rPr>
          <w:noProof/>
        </w:rPr>
        <w:t>42 U.S.C. § 12133</w:t>
      </w:r>
      <w:r>
        <w:rPr>
          <w:noProof/>
        </w:rPr>
        <w:tab/>
        <w:t>1</w:t>
      </w:r>
    </w:p>
    <w:p w:rsidR="00A465B2" w:rsidRDefault="00A465B2">
      <w:pPr>
        <w:pStyle w:val="TableofAuthorities"/>
        <w:tabs>
          <w:tab w:val="right" w:leader="dot" w:pos="8630"/>
        </w:tabs>
        <w:rPr>
          <w:noProof/>
        </w:rPr>
      </w:pPr>
      <w:r w:rsidRPr="00085AD4">
        <w:rPr>
          <w:noProof/>
        </w:rPr>
        <w:t>42 U.S.C. § 12134(a)</w:t>
      </w:r>
      <w:r>
        <w:rPr>
          <w:noProof/>
        </w:rPr>
        <w:tab/>
        <w:t>6</w:t>
      </w:r>
    </w:p>
    <w:p w:rsidR="00A465B2" w:rsidRDefault="00A465B2">
      <w:pPr>
        <w:pStyle w:val="TableofAuthorities"/>
        <w:tabs>
          <w:tab w:val="right" w:leader="dot" w:pos="8630"/>
        </w:tabs>
        <w:rPr>
          <w:noProof/>
        </w:rPr>
      </w:pPr>
      <w:r w:rsidRPr="00085AD4">
        <w:rPr>
          <w:noProof/>
        </w:rPr>
        <w:t>Cal. Health &amp; Safety Code § 1570.2</w:t>
      </w:r>
      <w:r>
        <w:rPr>
          <w:noProof/>
        </w:rPr>
        <w:tab/>
        <w:t>3</w:t>
      </w:r>
    </w:p>
    <w:p w:rsidR="00A465B2" w:rsidRDefault="00A465B2">
      <w:pPr>
        <w:pStyle w:val="TableofAuthorities"/>
        <w:tabs>
          <w:tab w:val="right" w:leader="dot" w:pos="8630"/>
        </w:tabs>
        <w:rPr>
          <w:noProof/>
        </w:rPr>
      </w:pPr>
      <w:r w:rsidRPr="00085AD4">
        <w:rPr>
          <w:noProof/>
        </w:rPr>
        <w:t>Cal. Welf. &amp; Inst. Code    § 14526.1(d)(4)</w:t>
      </w:r>
      <w:r>
        <w:rPr>
          <w:noProof/>
        </w:rPr>
        <w:tab/>
        <w:t>4</w:t>
      </w:r>
    </w:p>
    <w:p w:rsidR="00A465B2" w:rsidRDefault="00A465B2">
      <w:pPr>
        <w:pStyle w:val="TableofAuthorities"/>
        <w:tabs>
          <w:tab w:val="right" w:leader="dot" w:pos="8630"/>
        </w:tabs>
        <w:rPr>
          <w:noProof/>
        </w:rPr>
      </w:pPr>
      <w:r w:rsidRPr="00085AD4">
        <w:rPr>
          <w:noProof/>
        </w:rPr>
        <w:t>Cal. Welf. &amp; Inst. Code § 14526.1 (d)(3)</w:t>
      </w:r>
      <w:r>
        <w:rPr>
          <w:noProof/>
        </w:rPr>
        <w:tab/>
        <w:t>4</w:t>
      </w:r>
    </w:p>
    <w:p w:rsidR="00A465B2" w:rsidRDefault="00A465B2">
      <w:pPr>
        <w:pStyle w:val="TableofAuthorities"/>
        <w:tabs>
          <w:tab w:val="right" w:leader="dot" w:pos="8630"/>
        </w:tabs>
        <w:rPr>
          <w:noProof/>
        </w:rPr>
      </w:pPr>
      <w:r w:rsidRPr="00085AD4">
        <w:rPr>
          <w:noProof/>
        </w:rPr>
        <w:t>Cal. Welf. &amp; Inst. Code § 14526.1(d)</w:t>
      </w:r>
      <w:r>
        <w:rPr>
          <w:noProof/>
        </w:rPr>
        <w:tab/>
        <w:t>4</w:t>
      </w:r>
    </w:p>
    <w:p w:rsidR="00A465B2" w:rsidRDefault="00A465B2">
      <w:pPr>
        <w:pStyle w:val="TableofAuthorities"/>
        <w:tabs>
          <w:tab w:val="right" w:leader="dot" w:pos="8630"/>
        </w:tabs>
        <w:rPr>
          <w:noProof/>
        </w:rPr>
      </w:pPr>
      <w:r w:rsidRPr="00085AD4">
        <w:rPr>
          <w:noProof/>
        </w:rPr>
        <w:t>Cal. Welf. &amp; Inst. Code § 14526.1(d)(1)</w:t>
      </w:r>
      <w:r>
        <w:rPr>
          <w:noProof/>
        </w:rPr>
        <w:tab/>
        <w:t>4</w:t>
      </w:r>
    </w:p>
    <w:p w:rsidR="00A465B2" w:rsidRDefault="00A465B2">
      <w:pPr>
        <w:pStyle w:val="TableofAuthorities"/>
        <w:tabs>
          <w:tab w:val="right" w:leader="dot" w:pos="8630"/>
        </w:tabs>
        <w:rPr>
          <w:noProof/>
        </w:rPr>
      </w:pPr>
      <w:r w:rsidRPr="00085AD4">
        <w:rPr>
          <w:noProof/>
        </w:rPr>
        <w:t>Cal. Welf. &amp; Inst. Code § 14526.1(d)(5)</w:t>
      </w:r>
      <w:r>
        <w:rPr>
          <w:noProof/>
        </w:rPr>
        <w:tab/>
        <w:t>4</w:t>
      </w:r>
    </w:p>
    <w:p w:rsidR="00A465B2" w:rsidRDefault="00A465B2">
      <w:pPr>
        <w:pStyle w:val="TableofAuthorities"/>
        <w:tabs>
          <w:tab w:val="right" w:leader="dot" w:pos="8630"/>
        </w:tabs>
        <w:rPr>
          <w:noProof/>
        </w:rPr>
      </w:pPr>
      <w:r>
        <w:rPr>
          <w:noProof/>
        </w:rPr>
        <w:t>Cal. Welf. &amp; Inst. Code § 14589.5(d)</w:t>
      </w:r>
      <w:r>
        <w:rPr>
          <w:noProof/>
        </w:rPr>
        <w:tab/>
        <w:t>5</w:t>
      </w:r>
    </w:p>
    <w:p w:rsidR="00A465B2" w:rsidRDefault="00A465B2">
      <w:pPr>
        <w:pStyle w:val="TableofAuthorities"/>
        <w:tabs>
          <w:tab w:val="right" w:leader="dot" w:pos="8630"/>
        </w:tabs>
        <w:rPr>
          <w:noProof/>
        </w:rPr>
      </w:pPr>
      <w:r w:rsidRPr="00085AD4">
        <w:rPr>
          <w:noProof/>
        </w:rPr>
        <w:t>Cal. Welf. &amp; Inst. Code. § 14590 (e)</w:t>
      </w:r>
      <w:r>
        <w:rPr>
          <w:noProof/>
        </w:rPr>
        <w:tab/>
        <w:t>5</w:t>
      </w:r>
    </w:p>
    <w:p w:rsidR="00A465B2" w:rsidRDefault="00726D1D">
      <w:pPr>
        <w:pStyle w:val="TOAHeading"/>
        <w:tabs>
          <w:tab w:val="right" w:leader="dot" w:pos="8630"/>
        </w:tabs>
        <w:rPr>
          <w:rFonts w:asciiTheme="minorHAnsi" w:eastAsiaTheme="minorEastAsia" w:hAnsiTheme="minorHAnsi" w:cstheme="minorBidi"/>
          <w:b w:val="0"/>
          <w:bCs w:val="0"/>
          <w:noProof/>
          <w:sz w:val="22"/>
          <w:szCs w:val="22"/>
        </w:rPr>
      </w:pPr>
      <w:r>
        <w:rPr>
          <w:b w:val="0"/>
        </w:rPr>
        <w:fldChar w:fldCharType="end"/>
      </w:r>
      <w:r>
        <w:rPr>
          <w:b w:val="0"/>
        </w:rPr>
        <w:fldChar w:fldCharType="begin"/>
      </w:r>
      <w:r w:rsidR="00BD0704">
        <w:rPr>
          <w:b w:val="0"/>
        </w:rPr>
        <w:instrText xml:space="preserve"> TOA \h \c "3" \p </w:instrText>
      </w:r>
      <w:r>
        <w:rPr>
          <w:b w:val="0"/>
        </w:rPr>
        <w:fldChar w:fldCharType="separate"/>
      </w:r>
      <w:r w:rsidR="00A465B2">
        <w:rPr>
          <w:noProof/>
        </w:rPr>
        <w:t>Other Authorities</w:t>
      </w:r>
    </w:p>
    <w:p w:rsidR="00A465B2" w:rsidRDefault="00A465B2">
      <w:pPr>
        <w:pStyle w:val="TableofAuthorities"/>
        <w:tabs>
          <w:tab w:val="right" w:leader="dot" w:pos="8630"/>
        </w:tabs>
        <w:rPr>
          <w:noProof/>
        </w:rPr>
      </w:pPr>
      <w:r w:rsidRPr="005467AC">
        <w:rPr>
          <w:noProof/>
        </w:rPr>
        <w:t>Executive Order 12250, 45 Fed. Reg. 72995 (1980)</w:t>
      </w:r>
      <w:r>
        <w:rPr>
          <w:noProof/>
        </w:rPr>
        <w:tab/>
        <w:t>6</w:t>
      </w:r>
    </w:p>
    <w:p w:rsidR="00A465B2" w:rsidRDefault="00A465B2">
      <w:pPr>
        <w:pStyle w:val="TableofAuthorities"/>
        <w:tabs>
          <w:tab w:val="right" w:leader="dot" w:pos="8630"/>
        </w:tabs>
        <w:rPr>
          <w:noProof/>
        </w:rPr>
      </w:pPr>
      <w:r w:rsidRPr="005467AC">
        <w:rPr>
          <w:noProof/>
        </w:rPr>
        <w:t>H.R. Rep. No. 101-485</w:t>
      </w:r>
      <w:r>
        <w:rPr>
          <w:noProof/>
        </w:rPr>
        <w:tab/>
        <w:t>21</w:t>
      </w:r>
    </w:p>
    <w:p w:rsidR="00A465B2" w:rsidRDefault="00726D1D">
      <w:pPr>
        <w:pStyle w:val="TOAHeading"/>
        <w:tabs>
          <w:tab w:val="right" w:leader="dot" w:pos="8630"/>
        </w:tabs>
        <w:rPr>
          <w:rFonts w:asciiTheme="minorHAnsi" w:eastAsiaTheme="minorEastAsia" w:hAnsiTheme="minorHAnsi" w:cstheme="minorBidi"/>
          <w:b w:val="0"/>
          <w:bCs w:val="0"/>
          <w:noProof/>
          <w:sz w:val="22"/>
          <w:szCs w:val="22"/>
        </w:rPr>
      </w:pPr>
      <w:r>
        <w:rPr>
          <w:b w:val="0"/>
        </w:rPr>
        <w:fldChar w:fldCharType="end"/>
      </w:r>
      <w:r w:rsidR="002F70EC">
        <w:rPr>
          <w:b w:val="0"/>
        </w:rPr>
        <w:t xml:space="preserve"> </w:t>
      </w:r>
      <w:r w:rsidRPr="00726D1D">
        <w:rPr>
          <w:b w:val="0"/>
        </w:rPr>
        <w:fldChar w:fldCharType="begin"/>
      </w:r>
      <w:r w:rsidR="00BD0704">
        <w:rPr>
          <w:b w:val="0"/>
        </w:rPr>
        <w:instrText xml:space="preserve"> TOA \h \c "6" \p </w:instrText>
      </w:r>
      <w:r w:rsidRPr="00726D1D">
        <w:rPr>
          <w:b w:val="0"/>
        </w:rPr>
        <w:fldChar w:fldCharType="separate"/>
      </w:r>
      <w:r w:rsidR="00A465B2">
        <w:rPr>
          <w:noProof/>
        </w:rPr>
        <w:t>Regulations</w:t>
      </w:r>
    </w:p>
    <w:p w:rsidR="00A465B2" w:rsidRDefault="00A465B2">
      <w:pPr>
        <w:pStyle w:val="TableofAuthorities"/>
        <w:tabs>
          <w:tab w:val="right" w:leader="dot" w:pos="8630"/>
        </w:tabs>
        <w:rPr>
          <w:noProof/>
        </w:rPr>
      </w:pPr>
      <w:r w:rsidRPr="0063334C">
        <w:rPr>
          <w:noProof/>
        </w:rPr>
        <w:t>28 C.F.R. § 35.130(b)(7)</w:t>
      </w:r>
      <w:r>
        <w:rPr>
          <w:noProof/>
        </w:rPr>
        <w:tab/>
        <w:t>7</w:t>
      </w:r>
    </w:p>
    <w:p w:rsidR="00A465B2" w:rsidRDefault="00A465B2">
      <w:pPr>
        <w:pStyle w:val="TableofAuthorities"/>
        <w:tabs>
          <w:tab w:val="right" w:leader="dot" w:pos="8630"/>
        </w:tabs>
        <w:rPr>
          <w:noProof/>
        </w:rPr>
      </w:pPr>
      <w:r w:rsidRPr="0063334C">
        <w:rPr>
          <w:noProof/>
        </w:rPr>
        <w:t>28 C.F.R. § 35.130(d)</w:t>
      </w:r>
      <w:r>
        <w:rPr>
          <w:noProof/>
        </w:rPr>
        <w:tab/>
        <w:t>1, 6</w:t>
      </w:r>
    </w:p>
    <w:p w:rsidR="00A465B2" w:rsidRDefault="00A465B2">
      <w:pPr>
        <w:pStyle w:val="TableofAuthorities"/>
        <w:tabs>
          <w:tab w:val="right" w:leader="dot" w:pos="8630"/>
        </w:tabs>
        <w:rPr>
          <w:noProof/>
        </w:rPr>
      </w:pPr>
      <w:r w:rsidRPr="0063334C">
        <w:rPr>
          <w:noProof/>
        </w:rPr>
        <w:t>28 C.F.R. § 35.190(a)</w:t>
      </w:r>
      <w:r>
        <w:rPr>
          <w:noProof/>
        </w:rPr>
        <w:tab/>
        <w:t>6</w:t>
      </w:r>
    </w:p>
    <w:p w:rsidR="00A465B2" w:rsidRDefault="00A465B2">
      <w:pPr>
        <w:pStyle w:val="TableofAuthorities"/>
        <w:tabs>
          <w:tab w:val="right" w:leader="dot" w:pos="8630"/>
        </w:tabs>
        <w:rPr>
          <w:noProof/>
        </w:rPr>
      </w:pPr>
      <w:r w:rsidRPr="0063334C">
        <w:rPr>
          <w:noProof/>
        </w:rPr>
        <w:t>28 C.F.R. Pt. 35, App. A (2010)</w:t>
      </w:r>
      <w:r>
        <w:rPr>
          <w:noProof/>
        </w:rPr>
        <w:tab/>
        <w:t>7</w:t>
      </w:r>
    </w:p>
    <w:p w:rsidR="00A465B2" w:rsidRDefault="00A465B2">
      <w:pPr>
        <w:pStyle w:val="TableofAuthorities"/>
        <w:tabs>
          <w:tab w:val="right" w:leader="dot" w:pos="8630"/>
        </w:tabs>
        <w:rPr>
          <w:noProof/>
        </w:rPr>
      </w:pPr>
      <w:r w:rsidRPr="0063334C">
        <w:rPr>
          <w:noProof/>
        </w:rPr>
        <w:t>Cal. Code &amp; Regs. tit. 22, § 54309</w:t>
      </w:r>
      <w:r>
        <w:rPr>
          <w:noProof/>
        </w:rPr>
        <w:tab/>
        <w:t>4</w:t>
      </w:r>
    </w:p>
    <w:p w:rsidR="00BD0704" w:rsidRDefault="00726D1D" w:rsidP="00BD0704">
      <w:pPr>
        <w:rPr>
          <w:rFonts w:ascii="Times New Roman" w:hAnsi="Times New Roman"/>
          <w:b/>
          <w:sz w:val="24"/>
          <w:szCs w:val="24"/>
        </w:rPr>
      </w:pPr>
      <w:r>
        <w:rPr>
          <w:rFonts w:ascii="Times New Roman" w:hAnsi="Times New Roman"/>
          <w:b/>
          <w:sz w:val="24"/>
          <w:szCs w:val="24"/>
        </w:rPr>
        <w:fldChar w:fldCharType="end"/>
      </w:r>
    </w:p>
    <w:p w:rsidR="00BD0704" w:rsidRDefault="00BD0704" w:rsidP="00BD0704">
      <w:pPr>
        <w:rPr>
          <w:rFonts w:ascii="Times New Roman" w:hAnsi="Times New Roman"/>
          <w:sz w:val="24"/>
          <w:szCs w:val="24"/>
        </w:rPr>
      </w:pPr>
    </w:p>
    <w:p w:rsidR="00733583" w:rsidRPr="00BD0704" w:rsidRDefault="00733583" w:rsidP="00BD0704">
      <w:pPr>
        <w:rPr>
          <w:rFonts w:ascii="Times New Roman" w:hAnsi="Times New Roman"/>
          <w:sz w:val="24"/>
          <w:szCs w:val="24"/>
        </w:rPr>
        <w:sectPr w:rsidR="00733583" w:rsidRPr="00BD0704" w:rsidSect="00391C31">
          <w:pgSz w:w="12240" w:h="15840"/>
          <w:pgMar w:top="1440" w:right="1800" w:bottom="1440" w:left="1800" w:header="720" w:footer="720" w:gutter="0"/>
          <w:pgBorders>
            <w:left w:val="double" w:sz="4" w:space="4" w:color="auto"/>
            <w:right w:val="single" w:sz="4" w:space="24" w:color="auto"/>
          </w:pgBorders>
          <w:pgNumType w:fmt="lowerRoman"/>
          <w:cols w:space="720"/>
          <w:docGrid w:linePitch="299"/>
        </w:sectPr>
      </w:pPr>
    </w:p>
    <w:p w:rsidR="00733583" w:rsidRPr="00391C31" w:rsidRDefault="00726D1D" w:rsidP="00335E73">
      <w:pPr>
        <w:pStyle w:val="Heading"/>
        <w:outlineLvl w:val="0"/>
      </w:pPr>
      <w:r w:rsidRPr="00726D1D">
        <w:rPr>
          <w:bCs/>
          <w:noProof/>
        </w:rPr>
        <w:lastRenderedPageBreak/>
        <w:pict>
          <v:shape id="_x0000_s1031" type="#_x0000_t202" style="position:absolute;left:0;text-align:left;margin-left:-44.25pt;margin-top:.75pt;width:36pt;height:10in;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YcdQIAAPs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Pr>
          <w:noProof/>
        </w:rPr>
        <w:pict>
          <v:shape id="_x0000_s1030" type="#_x0000_t202" style="position:absolute;left:0;text-align:left;margin-left:-48.75pt;margin-top:-8.25pt;width:36pt;height:10in;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KGdQIAAPs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" o:allowincell="f" stroked="f">
            <v:textbox style="mso-next-textbox:#_x0000_s1030"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bookmarkStart w:id="0" w:name="_Toc298266478"/>
      <w:r w:rsidR="00733583" w:rsidRPr="00391C31">
        <w:t>INTRODUCTION</w:t>
      </w:r>
      <w:bookmarkEnd w:id="0"/>
    </w:p>
    <w:p w:rsidR="00733583" w:rsidRPr="00391C31" w:rsidRDefault="00733583" w:rsidP="00224BDF">
      <w:pPr>
        <w:spacing w:after="0" w:line="480" w:lineRule="exact"/>
        <w:ind w:firstLine="720"/>
        <w:rPr>
          <w:rFonts w:ascii="Times New Roman" w:hAnsi="Times New Roman"/>
          <w:sz w:val="24"/>
          <w:szCs w:val="24"/>
        </w:rPr>
      </w:pPr>
      <w:r w:rsidRPr="00391C31">
        <w:rPr>
          <w:rFonts w:ascii="Times New Roman" w:hAnsi="Times New Roman"/>
          <w:sz w:val="24"/>
          <w:szCs w:val="24"/>
        </w:rPr>
        <w:t>The United States respectfully submits this Statement of In</w:t>
      </w:r>
      <w:r w:rsidR="000B4526" w:rsidRPr="00391C31">
        <w:rPr>
          <w:rFonts w:ascii="Times New Roman" w:hAnsi="Times New Roman"/>
          <w:sz w:val="24"/>
          <w:szCs w:val="24"/>
        </w:rPr>
        <w:t>terest, pursuant to 28 U.S.C.</w:t>
      </w:r>
      <w:r w:rsidRPr="00391C31">
        <w:rPr>
          <w:rFonts w:ascii="Times New Roman" w:hAnsi="Times New Roman"/>
          <w:sz w:val="24"/>
          <w:szCs w:val="24"/>
        </w:rPr>
        <w:t xml:space="preserve"> </w:t>
      </w:r>
      <w:r w:rsidR="00A01D7B">
        <w:rPr>
          <w:rFonts w:ascii="Times New Roman" w:hAnsi="Times New Roman"/>
          <w:sz w:val="24"/>
          <w:szCs w:val="24"/>
        </w:rPr>
        <w:t>§ </w:t>
      </w:r>
      <w:r w:rsidRPr="00391C31">
        <w:rPr>
          <w:rFonts w:ascii="Times New Roman" w:hAnsi="Times New Roman"/>
          <w:sz w:val="24"/>
          <w:szCs w:val="24"/>
        </w:rPr>
        <w:t>517</w:t>
      </w:r>
      <w:r w:rsidR="00726D1D" w:rsidRPr="00391C31">
        <w:rPr>
          <w:rFonts w:ascii="Times New Roman" w:hAnsi="Times New Roman"/>
          <w:sz w:val="24"/>
          <w:szCs w:val="24"/>
        </w:rPr>
        <w:fldChar w:fldCharType="begin"/>
      </w:r>
      <w:r w:rsidR="00335E73" w:rsidRPr="00391C31">
        <w:rPr>
          <w:rFonts w:ascii="Times New Roman" w:hAnsi="Times New Roman"/>
          <w:sz w:val="24"/>
          <w:szCs w:val="24"/>
        </w:rPr>
        <w:instrText xml:space="preserve"> TA \l "28 U.S.C. § 517" \s "28 U.S.C. § 517" \c 2 </w:instrText>
      </w:r>
      <w:r w:rsidR="00726D1D" w:rsidRPr="00391C31">
        <w:rPr>
          <w:rFonts w:ascii="Times New Roman" w:hAnsi="Times New Roman"/>
          <w:sz w:val="24"/>
          <w:szCs w:val="24"/>
        </w:rPr>
        <w:fldChar w:fldCharType="end"/>
      </w:r>
      <w:r w:rsidRPr="00391C31">
        <w:rPr>
          <w:rFonts w:ascii="Times New Roman" w:hAnsi="Times New Roman"/>
          <w:sz w:val="24"/>
          <w:szCs w:val="24"/>
        </w:rPr>
        <w:t>,</w:t>
      </w:r>
      <w:r w:rsidRPr="00391C31">
        <w:rPr>
          <w:rStyle w:val="FootnoteReference"/>
          <w:rFonts w:ascii="Times New Roman" w:hAnsi="Times New Roman"/>
          <w:sz w:val="24"/>
          <w:szCs w:val="24"/>
        </w:rPr>
        <w:footnoteReference w:id="1"/>
      </w:r>
      <w:r w:rsidRPr="00391C31">
        <w:rPr>
          <w:rFonts w:ascii="Times New Roman" w:hAnsi="Times New Roman"/>
          <w:sz w:val="24"/>
          <w:szCs w:val="24"/>
        </w:rPr>
        <w:t xml:space="preserve"> because this litigation implicates the proper interpretation and application of title II of the Americans with Disabilities Act, 42 U.S.C. § 121</w:t>
      </w:r>
      <w:r w:rsidR="00082A05" w:rsidRPr="00391C31">
        <w:rPr>
          <w:rFonts w:ascii="Times New Roman" w:hAnsi="Times New Roman"/>
          <w:sz w:val="24"/>
          <w:szCs w:val="24"/>
        </w:rPr>
        <w:t>3</w:t>
      </w:r>
      <w:r w:rsidRPr="00391C31">
        <w:rPr>
          <w:rFonts w:ascii="Times New Roman" w:hAnsi="Times New Roman"/>
          <w:sz w:val="24"/>
          <w:szCs w:val="24"/>
        </w:rPr>
        <w:t>1</w:t>
      </w:r>
      <w:r w:rsidR="00726D1D" w:rsidRPr="00391C31">
        <w:rPr>
          <w:rFonts w:ascii="Times New Roman" w:hAnsi="Times New Roman"/>
          <w:sz w:val="24"/>
          <w:szCs w:val="24"/>
        </w:rPr>
        <w:fldChar w:fldCharType="begin"/>
      </w:r>
      <w:r w:rsidR="00335E73" w:rsidRPr="00391C31">
        <w:rPr>
          <w:rFonts w:ascii="Times New Roman" w:hAnsi="Times New Roman"/>
          <w:sz w:val="24"/>
          <w:szCs w:val="24"/>
        </w:rPr>
        <w:instrText xml:space="preserve"> TA \l "42 U.S.C. § 12131" \s "42 U.S.C. § 12131" \c 2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w:t>
      </w:r>
      <w:r w:rsidRPr="00391C31">
        <w:rPr>
          <w:rFonts w:ascii="Times New Roman" w:hAnsi="Times New Roman"/>
          <w:i/>
          <w:sz w:val="24"/>
          <w:szCs w:val="24"/>
        </w:rPr>
        <w:t>et seq.</w:t>
      </w:r>
      <w:r w:rsidRPr="00391C31">
        <w:rPr>
          <w:rFonts w:ascii="Times New Roman" w:hAnsi="Times New Roman"/>
          <w:sz w:val="24"/>
          <w:szCs w:val="24"/>
        </w:rPr>
        <w:t xml:space="preserve"> (“ADA”), and in particular, its integration mandate.  </w:t>
      </w:r>
      <w:r w:rsidRPr="00391C31">
        <w:rPr>
          <w:rFonts w:ascii="Times New Roman" w:hAnsi="Times New Roman"/>
          <w:i/>
          <w:sz w:val="24"/>
          <w:szCs w:val="24"/>
        </w:rPr>
        <w:t>See</w:t>
      </w:r>
      <w:r w:rsidRPr="00391C31">
        <w:rPr>
          <w:rFonts w:ascii="Times New Roman" w:hAnsi="Times New Roman"/>
          <w:sz w:val="24"/>
          <w:szCs w:val="24"/>
        </w:rPr>
        <w:t xml:space="preserve"> 28 C.F.R. § 35.130(d)</w:t>
      </w:r>
      <w:r w:rsidR="00726D1D">
        <w:rPr>
          <w:rFonts w:ascii="Times New Roman" w:hAnsi="Times New Roman"/>
          <w:sz w:val="24"/>
          <w:szCs w:val="24"/>
        </w:rPr>
        <w:fldChar w:fldCharType="begin"/>
      </w:r>
      <w:r w:rsidR="00F834C7">
        <w:instrText xml:space="preserve"> TA \l "</w:instrText>
      </w:r>
      <w:r w:rsidR="00F834C7" w:rsidRPr="004003DB">
        <w:rPr>
          <w:rFonts w:ascii="Times New Roman" w:hAnsi="Times New Roman"/>
          <w:sz w:val="24"/>
          <w:szCs w:val="24"/>
        </w:rPr>
        <w:instrText>28 C.F.R. § 35.130(d)</w:instrText>
      </w:r>
      <w:r w:rsidR="00F834C7">
        <w:instrText xml:space="preserve">" \s "28 C.F.R. § 35.130(d)" \c 6 </w:instrText>
      </w:r>
      <w:r w:rsidR="00726D1D">
        <w:rPr>
          <w:rFonts w:ascii="Times New Roman" w:hAnsi="Times New Roman"/>
          <w:sz w:val="24"/>
          <w:szCs w:val="24"/>
        </w:rPr>
        <w:fldChar w:fldCharType="end"/>
      </w:r>
      <w:r w:rsidRPr="00391C31">
        <w:rPr>
          <w:rFonts w:ascii="Times New Roman" w:hAnsi="Times New Roman"/>
          <w:sz w:val="24"/>
          <w:szCs w:val="24"/>
        </w:rPr>
        <w:t xml:space="preserve">; </w:t>
      </w:r>
      <w:r w:rsidRPr="00391C31">
        <w:rPr>
          <w:rFonts w:ascii="Times New Roman" w:hAnsi="Times New Roman"/>
          <w:i/>
          <w:iCs/>
          <w:sz w:val="24"/>
          <w:szCs w:val="24"/>
        </w:rPr>
        <w:t>Olmstead v. L.C.</w:t>
      </w:r>
      <w:r w:rsidRPr="00391C31">
        <w:rPr>
          <w:rFonts w:ascii="Times New Roman" w:hAnsi="Times New Roman"/>
          <w:sz w:val="24"/>
          <w:szCs w:val="24"/>
        </w:rPr>
        <w:t>, 527 U.S. 581 (1999</w:t>
      </w:r>
      <w:r w:rsidR="00C6628B" w:rsidRPr="00391C31">
        <w:rPr>
          <w:rFonts w:ascii="Times New Roman" w:hAnsi="Times New Roman"/>
          <w:sz w:val="24"/>
          <w:szCs w:val="24"/>
        </w:rPr>
        <w:t>)</w:t>
      </w:r>
      <w:r w:rsidR="00726D1D"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\l "</w:instrText>
      </w:r>
      <w:r w:rsidR="00C6628B" w:rsidRPr="00391C31">
        <w:rPr>
          <w:rFonts w:ascii="Times New Roman" w:hAnsi="Times New Roman"/>
          <w:i/>
          <w:iCs/>
          <w:sz w:val="24"/>
          <w:szCs w:val="24"/>
        </w:rPr>
        <w:instrText>Olmstead v. L.C.</w:instrText>
      </w:r>
      <w:r w:rsidR="00C6628B" w:rsidRPr="00391C31">
        <w:rPr>
          <w:rFonts w:ascii="Times New Roman" w:hAnsi="Times New Roman"/>
          <w:sz w:val="24"/>
          <w:szCs w:val="24"/>
        </w:rPr>
        <w:instrText xml:space="preserve">, 527 U.S. 581 (1999)" \s "Olmstead v. L.C., 527 U.S. 581 (1999)" \c 1 </w:instrText>
      </w:r>
      <w:r w:rsidR="00726D1D" w:rsidRPr="00391C31">
        <w:rPr>
          <w:rFonts w:ascii="Times New Roman" w:hAnsi="Times New Roman"/>
          <w:sz w:val="24"/>
          <w:szCs w:val="24"/>
        </w:rPr>
        <w:fldChar w:fldCharType="end"/>
      </w:r>
      <w:r w:rsidRPr="00391C31">
        <w:rPr>
          <w:rFonts w:ascii="Times New Roman" w:hAnsi="Times New Roman"/>
          <w:sz w:val="24"/>
          <w:szCs w:val="24"/>
        </w:rPr>
        <w:t>.  The Department of Justice has authority to</w:t>
      </w:r>
      <w:r w:rsidR="006E4EE8" w:rsidRPr="00391C31">
        <w:rPr>
          <w:rFonts w:ascii="Times New Roman" w:hAnsi="Times New Roman"/>
          <w:sz w:val="24"/>
          <w:szCs w:val="24"/>
        </w:rPr>
        <w:t xml:space="preserve"> enforce title II</w:t>
      </w:r>
      <w:r w:rsidRPr="00391C31">
        <w:rPr>
          <w:rFonts w:ascii="Times New Roman" w:hAnsi="Times New Roman"/>
          <w:sz w:val="24"/>
          <w:szCs w:val="24"/>
        </w:rPr>
        <w:t xml:space="preserve"> and to issue regulations implementing the statute</w:t>
      </w:r>
      <w:r w:rsidR="006E4EE8" w:rsidRPr="00391C31">
        <w:rPr>
          <w:rFonts w:ascii="Times New Roman" w:hAnsi="Times New Roman"/>
          <w:sz w:val="24"/>
          <w:szCs w:val="24"/>
        </w:rPr>
        <w:t>.</w:t>
      </w:r>
      <w:r w:rsidR="000A7453" w:rsidRPr="00391C31">
        <w:rPr>
          <w:rFonts w:ascii="Times New Roman" w:hAnsi="Times New Roman"/>
          <w:sz w:val="24"/>
          <w:szCs w:val="24"/>
        </w:rPr>
        <w:t xml:space="preserve"> </w:t>
      </w:r>
      <w:r w:rsidRPr="00391C31">
        <w:rPr>
          <w:rFonts w:ascii="Times New Roman" w:hAnsi="Times New Roman"/>
          <w:sz w:val="24"/>
          <w:szCs w:val="24"/>
        </w:rPr>
        <w:t xml:space="preserve"> 42 U.S.C. §</w:t>
      </w:r>
      <w:r w:rsidR="006E4EE8" w:rsidRPr="00391C31">
        <w:rPr>
          <w:rFonts w:ascii="Times New Roman" w:hAnsi="Times New Roman"/>
          <w:sz w:val="24"/>
          <w:szCs w:val="24"/>
        </w:rPr>
        <w:t>§</w:t>
      </w:r>
      <w:r w:rsidRPr="00391C31">
        <w:rPr>
          <w:rFonts w:ascii="Times New Roman" w:hAnsi="Times New Roman"/>
          <w:sz w:val="24"/>
          <w:szCs w:val="24"/>
        </w:rPr>
        <w:t xml:space="preserve"> 1213</w:t>
      </w:r>
      <w:r w:rsidR="006E4EE8" w:rsidRPr="00391C31">
        <w:rPr>
          <w:rFonts w:ascii="Times New Roman" w:hAnsi="Times New Roman"/>
          <w:sz w:val="24"/>
          <w:szCs w:val="24"/>
        </w:rPr>
        <w:t>3</w:t>
      </w:r>
      <w:r w:rsidR="00726D1D" w:rsidRPr="00391C31">
        <w:rPr>
          <w:rFonts w:ascii="Times New Roman" w:hAnsi="Times New Roman"/>
          <w:sz w:val="24"/>
          <w:szCs w:val="24"/>
        </w:rPr>
        <w:fldChar w:fldCharType="begin"/>
      </w:r>
      <w:r w:rsidR="00D50891">
        <w:rPr>
          <w:rFonts w:ascii="Times New Roman" w:hAnsi="Times New Roman"/>
          <w:sz w:val="24"/>
          <w:szCs w:val="24"/>
        </w:rPr>
        <w:instrText xml:space="preserve"> TA \l "42 U.S.C. §</w:instrText>
      </w:r>
      <w:r w:rsidR="00335E73" w:rsidRPr="00391C31">
        <w:rPr>
          <w:rFonts w:ascii="Times New Roman" w:hAnsi="Times New Roman"/>
          <w:sz w:val="24"/>
          <w:szCs w:val="24"/>
        </w:rPr>
        <w:instrText xml:space="preserve"> 12133" \s "42 U.S.C. § 12133" \c 2 </w:instrText>
      </w:r>
      <w:r w:rsidR="00726D1D" w:rsidRPr="00391C31">
        <w:rPr>
          <w:rFonts w:ascii="Times New Roman" w:hAnsi="Times New Roman"/>
          <w:sz w:val="24"/>
          <w:szCs w:val="24"/>
        </w:rPr>
        <w:fldChar w:fldCharType="end"/>
      </w:r>
      <w:r w:rsidR="006E4EE8" w:rsidRPr="00391C31">
        <w:rPr>
          <w:rFonts w:ascii="Times New Roman" w:hAnsi="Times New Roman"/>
          <w:sz w:val="24"/>
          <w:szCs w:val="24"/>
        </w:rPr>
        <w:t>-3</w:t>
      </w:r>
      <w:r w:rsidRPr="00391C31">
        <w:rPr>
          <w:rFonts w:ascii="Times New Roman" w:hAnsi="Times New Roman"/>
          <w:sz w:val="24"/>
          <w:szCs w:val="24"/>
        </w:rPr>
        <w:t xml:space="preserve">4.  The United States thus has a strong interest in the resolution of this matter.  </w:t>
      </w:r>
    </w:p>
    <w:p w:rsidR="00B33643" w:rsidRPr="00391C31" w:rsidRDefault="004E6378" w:rsidP="00391C31">
      <w:pPr>
        <w:spacing w:after="0" w:line="480" w:lineRule="exact"/>
        <w:ind w:firstLine="720"/>
        <w:rPr>
          <w:rFonts w:ascii="Times New Roman" w:hAnsi="Times New Roman"/>
          <w:sz w:val="24"/>
          <w:szCs w:val="24"/>
        </w:rPr>
      </w:pPr>
      <w:r w:rsidRPr="00391C31">
        <w:rPr>
          <w:rFonts w:ascii="Times New Roman" w:hAnsi="Times New Roman"/>
          <w:sz w:val="24"/>
          <w:szCs w:val="24"/>
        </w:rPr>
        <w:t xml:space="preserve">This lawsuit alleges that the State of California’s </w:t>
      </w:r>
      <w:r w:rsidR="007F5D19" w:rsidRPr="00391C31">
        <w:rPr>
          <w:rFonts w:ascii="Times New Roman" w:hAnsi="Times New Roman"/>
          <w:sz w:val="24"/>
          <w:szCs w:val="24"/>
        </w:rPr>
        <w:t xml:space="preserve">action </w:t>
      </w:r>
      <w:r w:rsidRPr="00391C31">
        <w:rPr>
          <w:rFonts w:ascii="Times New Roman" w:hAnsi="Times New Roman"/>
          <w:sz w:val="24"/>
          <w:szCs w:val="24"/>
        </w:rPr>
        <w:t>to eliminate Adult Day Health Care (</w:t>
      </w:r>
      <w:r w:rsidR="000A7453" w:rsidRPr="00391C31">
        <w:rPr>
          <w:rFonts w:ascii="Times New Roman" w:hAnsi="Times New Roman"/>
          <w:sz w:val="24"/>
          <w:szCs w:val="24"/>
        </w:rPr>
        <w:t>“</w:t>
      </w:r>
      <w:r w:rsidRPr="00391C31">
        <w:rPr>
          <w:rFonts w:ascii="Times New Roman" w:hAnsi="Times New Roman"/>
          <w:sz w:val="24"/>
          <w:szCs w:val="24"/>
        </w:rPr>
        <w:t>ADHC</w:t>
      </w:r>
      <w:r w:rsidR="000A7453" w:rsidRPr="00391C31">
        <w:rPr>
          <w:rFonts w:ascii="Times New Roman" w:hAnsi="Times New Roman"/>
          <w:sz w:val="24"/>
          <w:szCs w:val="24"/>
        </w:rPr>
        <w:t>”</w:t>
      </w:r>
      <w:r w:rsidRPr="00391C31">
        <w:rPr>
          <w:rFonts w:ascii="Times New Roman" w:hAnsi="Times New Roman"/>
          <w:sz w:val="24"/>
          <w:szCs w:val="24"/>
        </w:rPr>
        <w:t>)</w:t>
      </w:r>
      <w:r w:rsidR="009E7AB8" w:rsidRPr="00391C31">
        <w:rPr>
          <w:rFonts w:ascii="Times New Roman" w:hAnsi="Times New Roman"/>
          <w:sz w:val="24"/>
          <w:szCs w:val="24"/>
        </w:rPr>
        <w:t xml:space="preserve"> services</w:t>
      </w:r>
      <w:r w:rsidR="007F5D19" w:rsidRPr="00391C31">
        <w:rPr>
          <w:rFonts w:ascii="Times New Roman" w:hAnsi="Times New Roman"/>
          <w:sz w:val="24"/>
          <w:szCs w:val="24"/>
        </w:rPr>
        <w:t xml:space="preserve"> on September 1, 2011</w:t>
      </w:r>
      <w:r w:rsidR="00FB6E07" w:rsidRPr="00391C31">
        <w:rPr>
          <w:rFonts w:ascii="Times New Roman" w:hAnsi="Times New Roman"/>
          <w:sz w:val="24"/>
          <w:szCs w:val="24"/>
        </w:rPr>
        <w:t>,</w:t>
      </w:r>
      <w:r w:rsidRPr="00391C31">
        <w:rPr>
          <w:rFonts w:ascii="Times New Roman" w:hAnsi="Times New Roman"/>
          <w:sz w:val="24"/>
          <w:szCs w:val="24"/>
        </w:rPr>
        <w:t xml:space="preserve"> </w:t>
      </w:r>
      <w:r w:rsidR="005C27FB" w:rsidRPr="00391C31">
        <w:rPr>
          <w:rFonts w:ascii="Times New Roman" w:hAnsi="Times New Roman"/>
          <w:sz w:val="24"/>
          <w:szCs w:val="24"/>
        </w:rPr>
        <w:t xml:space="preserve">without </w:t>
      </w:r>
      <w:r w:rsidR="008C7DB5" w:rsidRPr="00391C31">
        <w:rPr>
          <w:rFonts w:ascii="Times New Roman" w:hAnsi="Times New Roman"/>
          <w:sz w:val="24"/>
          <w:szCs w:val="24"/>
        </w:rPr>
        <w:t xml:space="preserve">ensuring </w:t>
      </w:r>
      <w:r w:rsidR="005C27FB" w:rsidRPr="00391C31">
        <w:rPr>
          <w:rFonts w:ascii="Times New Roman" w:hAnsi="Times New Roman"/>
          <w:sz w:val="24"/>
          <w:szCs w:val="24"/>
        </w:rPr>
        <w:t>sufficient alternative services</w:t>
      </w:r>
      <w:r w:rsidR="008C7DB5" w:rsidRPr="00391C31">
        <w:rPr>
          <w:rFonts w:ascii="Times New Roman" w:hAnsi="Times New Roman"/>
          <w:sz w:val="24"/>
          <w:szCs w:val="24"/>
        </w:rPr>
        <w:t xml:space="preserve"> are available</w:t>
      </w:r>
      <w:r w:rsidR="00FB6E07" w:rsidRPr="00391C31">
        <w:rPr>
          <w:rFonts w:ascii="Times New Roman" w:hAnsi="Times New Roman"/>
          <w:sz w:val="24"/>
          <w:szCs w:val="24"/>
        </w:rPr>
        <w:t>,</w:t>
      </w:r>
      <w:r w:rsidRPr="00391C31">
        <w:rPr>
          <w:rFonts w:ascii="Times New Roman" w:hAnsi="Times New Roman"/>
          <w:sz w:val="24"/>
          <w:szCs w:val="24"/>
        </w:rPr>
        <w:t xml:space="preserve"> will place </w:t>
      </w:r>
      <w:r w:rsidR="005C27FB" w:rsidRPr="00391C31">
        <w:rPr>
          <w:rFonts w:ascii="Times New Roman" w:hAnsi="Times New Roman"/>
          <w:sz w:val="24"/>
          <w:szCs w:val="24"/>
        </w:rPr>
        <w:t xml:space="preserve">thousands of </w:t>
      </w:r>
      <w:r w:rsidRPr="00391C31">
        <w:rPr>
          <w:rFonts w:ascii="Times New Roman" w:hAnsi="Times New Roman"/>
          <w:sz w:val="24"/>
          <w:szCs w:val="24"/>
        </w:rPr>
        <w:t xml:space="preserve">individuals with </w:t>
      </w:r>
      <w:r w:rsidR="007F5D19" w:rsidRPr="00391C31">
        <w:rPr>
          <w:rFonts w:ascii="Times New Roman" w:hAnsi="Times New Roman"/>
          <w:sz w:val="24"/>
          <w:szCs w:val="24"/>
        </w:rPr>
        <w:t>disabilities</w:t>
      </w:r>
      <w:r w:rsidRPr="00391C31">
        <w:rPr>
          <w:rFonts w:ascii="Times New Roman" w:hAnsi="Times New Roman"/>
          <w:sz w:val="24"/>
          <w:szCs w:val="24"/>
        </w:rPr>
        <w:t xml:space="preserve"> who currently receive ADHC services at</w:t>
      </w:r>
      <w:r w:rsidR="00BC16D5" w:rsidRPr="00391C31">
        <w:rPr>
          <w:rFonts w:ascii="Times New Roman" w:hAnsi="Times New Roman"/>
          <w:sz w:val="24"/>
          <w:szCs w:val="24"/>
        </w:rPr>
        <w:t xml:space="preserve"> serious</w:t>
      </w:r>
      <w:r w:rsidRPr="00391C31">
        <w:rPr>
          <w:rFonts w:ascii="Times New Roman" w:hAnsi="Times New Roman"/>
          <w:sz w:val="24"/>
          <w:szCs w:val="24"/>
        </w:rPr>
        <w:t xml:space="preserve"> risk of institutionalization</w:t>
      </w:r>
      <w:r w:rsidR="000B4526" w:rsidRPr="00391C31">
        <w:rPr>
          <w:rFonts w:ascii="Times New Roman" w:hAnsi="Times New Roman"/>
          <w:sz w:val="24"/>
          <w:szCs w:val="24"/>
        </w:rPr>
        <w:t>,</w:t>
      </w:r>
      <w:r w:rsidRPr="00391C31">
        <w:rPr>
          <w:rFonts w:ascii="Times New Roman" w:hAnsi="Times New Roman"/>
          <w:sz w:val="24"/>
          <w:szCs w:val="24"/>
        </w:rPr>
        <w:t xml:space="preserve"> in violation of the ADA.  (Second Am. Compl.</w:t>
      </w:r>
      <w:r w:rsidR="00BC16D5" w:rsidRPr="00391C31">
        <w:rPr>
          <w:rFonts w:ascii="Times New Roman" w:hAnsi="Times New Roman"/>
          <w:sz w:val="24"/>
          <w:szCs w:val="24"/>
        </w:rPr>
        <w:t>, ECF No. 218 (Jun. 2, 2011),</w:t>
      </w:r>
      <w:r w:rsidRPr="00391C31">
        <w:rPr>
          <w:rFonts w:ascii="Times New Roman" w:hAnsi="Times New Roman"/>
          <w:sz w:val="24"/>
          <w:szCs w:val="24"/>
        </w:rPr>
        <w:t xml:space="preserve"> ¶¶ 1, 7.)  </w:t>
      </w:r>
      <w:r w:rsidRPr="00391C31">
        <w:rPr>
          <w:rFonts w:ascii="Times New Roman" w:hAnsi="Times New Roman"/>
          <w:i/>
          <w:sz w:val="24"/>
          <w:szCs w:val="24"/>
        </w:rPr>
        <w:t>See</w:t>
      </w:r>
      <w:r w:rsidR="001A63E8" w:rsidRPr="00391C31">
        <w:rPr>
          <w:rFonts w:ascii="Times New Roman" w:hAnsi="Times New Roman"/>
          <w:i/>
          <w:sz w:val="24"/>
          <w:szCs w:val="24"/>
        </w:rPr>
        <w:t xml:space="preserve"> also</w:t>
      </w:r>
      <w:r w:rsidRPr="00391C31">
        <w:rPr>
          <w:rFonts w:ascii="Times New Roman" w:hAnsi="Times New Roman"/>
          <w:sz w:val="24"/>
          <w:szCs w:val="24"/>
        </w:rPr>
        <w:t xml:space="preserve"> Cal. Welf. &amp; Inst. Code §§ 14589(b)</w:t>
      </w:r>
      <w:r w:rsidR="00726D1D" w:rsidRPr="00391C31">
        <w:rPr>
          <w:rFonts w:ascii="Times New Roman" w:hAnsi="Times New Roman"/>
          <w:sz w:val="24"/>
          <w:szCs w:val="24"/>
        </w:rPr>
        <w:fldChar w:fldCharType="begin"/>
      </w:r>
      <w:r w:rsidR="00DE06E5" w:rsidRPr="00391C31">
        <w:rPr>
          <w:rFonts w:ascii="Times New Roman" w:hAnsi="Times New Roman"/>
          <w:sz w:val="24"/>
          <w:szCs w:val="24"/>
        </w:rPr>
        <w:instrText xml:space="preserve"> TA \s "Cal. Welf. &amp; Inst. Code § 14589(b)" </w:instrText>
      </w:r>
      <w:r w:rsidR="00726D1D" w:rsidRPr="00391C31">
        <w:rPr>
          <w:rFonts w:ascii="Times New Roman" w:hAnsi="Times New Roman"/>
          <w:sz w:val="24"/>
          <w:szCs w:val="24"/>
        </w:rPr>
        <w:fldChar w:fldCharType="end"/>
      </w:r>
      <w:r w:rsidRPr="00391C31">
        <w:rPr>
          <w:rFonts w:ascii="Times New Roman" w:hAnsi="Times New Roman"/>
          <w:sz w:val="24"/>
          <w:szCs w:val="24"/>
        </w:rPr>
        <w:t>, 14589.5(a) (eliminating</w:t>
      </w:r>
      <w:r w:rsidR="005C27FB" w:rsidRPr="00391C31">
        <w:rPr>
          <w:rFonts w:ascii="Times New Roman" w:hAnsi="Times New Roman"/>
          <w:sz w:val="24"/>
          <w:szCs w:val="24"/>
        </w:rPr>
        <w:t xml:space="preserve"> ADHC</w:t>
      </w:r>
      <w:r w:rsidRPr="00391C31">
        <w:rPr>
          <w:rFonts w:ascii="Times New Roman" w:hAnsi="Times New Roman"/>
          <w:sz w:val="24"/>
          <w:szCs w:val="24"/>
        </w:rPr>
        <w:t>)</w:t>
      </w:r>
      <w:r w:rsidR="005C27FB" w:rsidRPr="00391C31">
        <w:rPr>
          <w:rFonts w:ascii="Times New Roman" w:hAnsi="Times New Roman"/>
          <w:sz w:val="24"/>
          <w:szCs w:val="24"/>
        </w:rPr>
        <w:t>.</w:t>
      </w:r>
      <w:r w:rsidRPr="00391C31">
        <w:rPr>
          <w:rFonts w:ascii="Times New Roman" w:hAnsi="Times New Roman"/>
          <w:sz w:val="24"/>
          <w:szCs w:val="24"/>
        </w:rPr>
        <w:t xml:space="preserve">  </w:t>
      </w:r>
      <w:r w:rsidR="00B33643" w:rsidRPr="00391C31">
        <w:rPr>
          <w:rFonts w:ascii="Times New Roman" w:hAnsi="Times New Roman"/>
          <w:sz w:val="24"/>
          <w:szCs w:val="24"/>
        </w:rPr>
        <w:t>In</w:t>
      </w:r>
      <w:r w:rsidRPr="00391C31">
        <w:rPr>
          <w:rFonts w:ascii="Times New Roman" w:hAnsi="Times New Roman"/>
          <w:sz w:val="24"/>
          <w:szCs w:val="24"/>
        </w:rPr>
        <w:t xml:space="preserve"> the</w:t>
      </w:r>
      <w:r w:rsidR="00E808B0" w:rsidRPr="00391C31">
        <w:rPr>
          <w:rFonts w:ascii="Times New Roman" w:hAnsi="Times New Roman"/>
          <w:sz w:val="24"/>
          <w:szCs w:val="24"/>
        </w:rPr>
        <w:t>ir</w:t>
      </w:r>
      <w:r w:rsidRPr="00391C31">
        <w:rPr>
          <w:rFonts w:ascii="Times New Roman" w:hAnsi="Times New Roman"/>
          <w:sz w:val="24"/>
          <w:szCs w:val="24"/>
        </w:rPr>
        <w:t xml:space="preserve"> Motion for Preliminary Injunction</w:t>
      </w:r>
      <w:r w:rsidR="00B33643" w:rsidRPr="00391C31">
        <w:rPr>
          <w:rFonts w:ascii="Times New Roman" w:hAnsi="Times New Roman"/>
          <w:sz w:val="24"/>
          <w:szCs w:val="24"/>
        </w:rPr>
        <w:t xml:space="preserve">, Plaintiffs seek an order </w:t>
      </w:r>
      <w:r w:rsidR="00865ADD" w:rsidRPr="00391C31">
        <w:rPr>
          <w:rFonts w:ascii="Times New Roman" w:hAnsi="Times New Roman"/>
          <w:sz w:val="24"/>
          <w:szCs w:val="24"/>
        </w:rPr>
        <w:t>enjoin</w:t>
      </w:r>
      <w:r w:rsidR="00B33643" w:rsidRPr="00391C31">
        <w:rPr>
          <w:rFonts w:ascii="Times New Roman" w:hAnsi="Times New Roman"/>
          <w:sz w:val="24"/>
          <w:szCs w:val="24"/>
        </w:rPr>
        <w:t>ing the</w:t>
      </w:r>
      <w:r w:rsidRPr="00391C31">
        <w:rPr>
          <w:rFonts w:ascii="Times New Roman" w:hAnsi="Times New Roman"/>
          <w:sz w:val="24"/>
          <w:szCs w:val="24"/>
        </w:rPr>
        <w:t xml:space="preserve"> California Department of Health Care Services (</w:t>
      </w:r>
      <w:r w:rsidR="000A7453" w:rsidRPr="00391C31">
        <w:rPr>
          <w:rFonts w:ascii="Times New Roman" w:hAnsi="Times New Roman"/>
          <w:sz w:val="24"/>
          <w:szCs w:val="24"/>
        </w:rPr>
        <w:t>“</w:t>
      </w:r>
      <w:r w:rsidRPr="00391C31">
        <w:rPr>
          <w:rFonts w:ascii="Times New Roman" w:hAnsi="Times New Roman"/>
          <w:sz w:val="24"/>
          <w:szCs w:val="24"/>
        </w:rPr>
        <w:t>DHCS</w:t>
      </w:r>
      <w:r w:rsidR="000A7453" w:rsidRPr="00391C31">
        <w:rPr>
          <w:rFonts w:ascii="Times New Roman" w:hAnsi="Times New Roman"/>
          <w:sz w:val="24"/>
          <w:szCs w:val="24"/>
        </w:rPr>
        <w:t>”</w:t>
      </w:r>
      <w:r w:rsidRPr="00391C31">
        <w:rPr>
          <w:rFonts w:ascii="Times New Roman" w:hAnsi="Times New Roman"/>
          <w:sz w:val="24"/>
          <w:szCs w:val="24"/>
        </w:rPr>
        <w:t xml:space="preserve">) </w:t>
      </w:r>
      <w:r w:rsidR="00865ADD" w:rsidRPr="00391C31">
        <w:rPr>
          <w:rFonts w:ascii="Times New Roman" w:hAnsi="Times New Roman"/>
          <w:sz w:val="24"/>
          <w:szCs w:val="24"/>
        </w:rPr>
        <w:t xml:space="preserve">and its director, Toby Douglas (collectively, “Defendants”) from </w:t>
      </w:r>
      <w:r w:rsidR="000B4526" w:rsidRPr="00391C31">
        <w:rPr>
          <w:rFonts w:ascii="Times New Roman" w:hAnsi="Times New Roman"/>
          <w:sz w:val="24"/>
          <w:szCs w:val="24"/>
        </w:rPr>
        <w:t>eliminati</w:t>
      </w:r>
      <w:r w:rsidR="00BC4776">
        <w:rPr>
          <w:rFonts w:ascii="Times New Roman" w:hAnsi="Times New Roman"/>
          <w:sz w:val="24"/>
          <w:szCs w:val="24"/>
        </w:rPr>
        <w:t>ng</w:t>
      </w:r>
      <w:r w:rsidR="000B4526" w:rsidRPr="00391C31">
        <w:rPr>
          <w:rFonts w:ascii="Times New Roman" w:hAnsi="Times New Roman"/>
          <w:sz w:val="24"/>
          <w:szCs w:val="24"/>
        </w:rPr>
        <w:t xml:space="preserve"> ADHC</w:t>
      </w:r>
      <w:r w:rsidRPr="00391C31">
        <w:rPr>
          <w:rFonts w:ascii="Times New Roman" w:hAnsi="Times New Roman"/>
          <w:sz w:val="24"/>
          <w:szCs w:val="24"/>
        </w:rPr>
        <w:t xml:space="preserve"> </w:t>
      </w:r>
      <w:r w:rsidR="009E7AB8" w:rsidRPr="00391C31">
        <w:rPr>
          <w:rFonts w:ascii="Times New Roman" w:hAnsi="Times New Roman"/>
          <w:sz w:val="24"/>
          <w:szCs w:val="24"/>
        </w:rPr>
        <w:t xml:space="preserve">services </w:t>
      </w:r>
      <w:r w:rsidRPr="00391C31">
        <w:rPr>
          <w:rFonts w:ascii="Times New Roman" w:hAnsi="Times New Roman"/>
          <w:sz w:val="24"/>
          <w:szCs w:val="24"/>
        </w:rPr>
        <w:t xml:space="preserve">until adequate, appropriate, and uninterrupted services are </w:t>
      </w:r>
      <w:r w:rsidR="00B33643" w:rsidRPr="00391C31">
        <w:rPr>
          <w:rFonts w:ascii="Times New Roman" w:hAnsi="Times New Roman"/>
          <w:sz w:val="24"/>
          <w:szCs w:val="24"/>
        </w:rPr>
        <w:t>available</w:t>
      </w:r>
      <w:r w:rsidR="005C27FB" w:rsidRPr="00391C31">
        <w:rPr>
          <w:rFonts w:ascii="Times New Roman" w:hAnsi="Times New Roman"/>
          <w:sz w:val="24"/>
          <w:szCs w:val="24"/>
        </w:rPr>
        <w:t xml:space="preserve"> to avoid unnecessarily forcing</w:t>
      </w:r>
      <w:r w:rsidR="00B33643" w:rsidRPr="00391C31">
        <w:rPr>
          <w:rFonts w:ascii="Times New Roman" w:hAnsi="Times New Roman"/>
          <w:sz w:val="24"/>
          <w:szCs w:val="24"/>
        </w:rPr>
        <w:t xml:space="preserve"> Plaintiffs </w:t>
      </w:r>
      <w:r w:rsidR="005C27FB" w:rsidRPr="00391C31">
        <w:rPr>
          <w:rFonts w:ascii="Times New Roman" w:hAnsi="Times New Roman"/>
          <w:sz w:val="24"/>
          <w:szCs w:val="24"/>
        </w:rPr>
        <w:t>into segregated, institutional settings</w:t>
      </w:r>
      <w:r w:rsidRPr="00391C31">
        <w:rPr>
          <w:rFonts w:ascii="Times New Roman" w:hAnsi="Times New Roman"/>
          <w:sz w:val="24"/>
          <w:szCs w:val="24"/>
        </w:rPr>
        <w:t xml:space="preserve">. </w:t>
      </w:r>
      <w:r w:rsidR="000B4526" w:rsidRPr="00391C31">
        <w:rPr>
          <w:rFonts w:ascii="Times New Roman" w:hAnsi="Times New Roman"/>
          <w:sz w:val="24"/>
          <w:szCs w:val="24"/>
        </w:rPr>
        <w:t xml:space="preserve"> </w:t>
      </w:r>
      <w:r w:rsidR="00865ADD" w:rsidRPr="00391C31">
        <w:rPr>
          <w:rFonts w:ascii="Times New Roman" w:hAnsi="Times New Roman"/>
          <w:sz w:val="24"/>
          <w:szCs w:val="24"/>
        </w:rPr>
        <w:t>(</w:t>
      </w:r>
      <w:r w:rsidR="000B4526" w:rsidRPr="00391C31">
        <w:rPr>
          <w:rFonts w:ascii="Times New Roman" w:hAnsi="Times New Roman"/>
          <w:sz w:val="24"/>
          <w:szCs w:val="24"/>
        </w:rPr>
        <w:t>Pls.’ Mot. for Prelim. Inj.</w:t>
      </w:r>
      <w:r w:rsidR="00BC16D5" w:rsidRPr="00391C31">
        <w:rPr>
          <w:rFonts w:ascii="Times New Roman" w:hAnsi="Times New Roman"/>
          <w:sz w:val="24"/>
          <w:szCs w:val="24"/>
        </w:rPr>
        <w:t>, ECF No. 225 (Jun. 9, 2011)</w:t>
      </w:r>
      <w:r w:rsidR="00533469" w:rsidRPr="00391C31">
        <w:rPr>
          <w:rFonts w:ascii="Times New Roman" w:hAnsi="Times New Roman"/>
          <w:sz w:val="24"/>
          <w:szCs w:val="24"/>
        </w:rPr>
        <w:t xml:space="preserve"> (“Pls.’ Mot.”)</w:t>
      </w:r>
      <w:r w:rsidR="000B4526" w:rsidRPr="00391C31">
        <w:rPr>
          <w:rFonts w:ascii="Times New Roman" w:hAnsi="Times New Roman"/>
          <w:sz w:val="24"/>
          <w:szCs w:val="24"/>
        </w:rPr>
        <w:t xml:space="preserve"> at 1-2</w:t>
      </w:r>
      <w:r w:rsidR="00865ADD" w:rsidRPr="00391C31">
        <w:rPr>
          <w:rFonts w:ascii="Times New Roman" w:hAnsi="Times New Roman"/>
          <w:sz w:val="24"/>
          <w:szCs w:val="24"/>
        </w:rPr>
        <w:t>)</w:t>
      </w:r>
      <w:r w:rsidR="00423811">
        <w:rPr>
          <w:rStyle w:val="FootnoteReference"/>
          <w:rFonts w:ascii="Times New Roman" w:hAnsi="Times New Roman"/>
          <w:sz w:val="24"/>
          <w:szCs w:val="24"/>
        </w:rPr>
        <w:footnoteReference w:id="2"/>
      </w:r>
    </w:p>
    <w:p w:rsidR="00B33643" w:rsidRPr="00391C31" w:rsidRDefault="00CA6D6E" w:rsidP="00391C31">
      <w:pPr>
        <w:spacing w:after="0" w:line="480" w:lineRule="exact"/>
        <w:ind w:firstLine="720"/>
        <w:rPr>
          <w:rFonts w:ascii="Times New Roman" w:hAnsi="Times New Roman"/>
          <w:sz w:val="24"/>
          <w:szCs w:val="24"/>
        </w:rPr>
      </w:pPr>
      <w:r w:rsidRPr="00391C31">
        <w:rPr>
          <w:rFonts w:ascii="Times New Roman" w:hAnsi="Times New Roman"/>
          <w:bCs/>
          <w:sz w:val="24"/>
          <w:szCs w:val="24"/>
        </w:rPr>
        <w:t xml:space="preserve">This Court has already twice granted Plaintiffs’ requests for preliminary injunction, enjoining </w:t>
      </w:r>
      <w:r w:rsidR="004E6378" w:rsidRPr="00391C31">
        <w:rPr>
          <w:rFonts w:ascii="Times New Roman" w:hAnsi="Times New Roman"/>
          <w:bCs/>
          <w:sz w:val="24"/>
          <w:szCs w:val="24"/>
        </w:rPr>
        <w:t xml:space="preserve">the </w:t>
      </w:r>
      <w:r w:rsidR="001A63E8" w:rsidRPr="00391C31">
        <w:rPr>
          <w:rFonts w:ascii="Times New Roman" w:hAnsi="Times New Roman"/>
          <w:bCs/>
          <w:sz w:val="24"/>
          <w:szCs w:val="24"/>
        </w:rPr>
        <w:t>S</w:t>
      </w:r>
      <w:r w:rsidR="004E6378" w:rsidRPr="00391C31">
        <w:rPr>
          <w:rFonts w:ascii="Times New Roman" w:hAnsi="Times New Roman"/>
          <w:bCs/>
          <w:sz w:val="24"/>
          <w:szCs w:val="24"/>
        </w:rPr>
        <w:t xml:space="preserve">tate from (1) reducing the maximum number of days of available ADHC services per week, and (2) implementing more restrictive eligibility criteria for the ADHC service.  </w:t>
      </w:r>
      <w:r w:rsidR="00B33643" w:rsidRPr="00391C31">
        <w:rPr>
          <w:rFonts w:ascii="Times New Roman" w:hAnsi="Times New Roman"/>
          <w:i/>
          <w:iCs/>
          <w:sz w:val="24"/>
          <w:szCs w:val="24"/>
        </w:rPr>
        <w:t xml:space="preserve">See Brantley </w:t>
      </w:r>
      <w:r w:rsidR="00B33643" w:rsidRPr="00391C31">
        <w:rPr>
          <w:rFonts w:ascii="Times New Roman" w:hAnsi="Times New Roman"/>
          <w:bCs/>
          <w:i/>
          <w:iCs/>
          <w:sz w:val="24"/>
          <w:szCs w:val="24"/>
        </w:rPr>
        <w:t xml:space="preserve">v. Maxwell-Jolly, </w:t>
      </w:r>
      <w:r w:rsidR="00B33643" w:rsidRPr="00391C31">
        <w:rPr>
          <w:rFonts w:ascii="Times New Roman" w:hAnsi="Times New Roman"/>
          <w:bCs/>
          <w:sz w:val="24"/>
          <w:szCs w:val="24"/>
        </w:rPr>
        <w:t>656 F.</w:t>
      </w:r>
      <w:r w:rsidR="00E808B0" w:rsidRPr="00391C31">
        <w:rPr>
          <w:rFonts w:ascii="Times New Roman" w:hAnsi="Times New Roman"/>
          <w:bCs/>
          <w:sz w:val="24"/>
          <w:szCs w:val="24"/>
        </w:rPr>
        <w:t xml:space="preserve"> </w:t>
      </w:r>
      <w:r w:rsidR="00B33643" w:rsidRPr="00391C31">
        <w:rPr>
          <w:rFonts w:ascii="Times New Roman" w:hAnsi="Times New Roman"/>
          <w:bCs/>
          <w:sz w:val="24"/>
          <w:szCs w:val="24"/>
        </w:rPr>
        <w:t>Supp. 2d 1161 (N.D. Cal. 2009)</w:t>
      </w:r>
      <w:r w:rsidR="00726D1D" w:rsidRPr="00391C31">
        <w:rPr>
          <w:rFonts w:ascii="Times New Roman" w:hAnsi="Times New Roman"/>
          <w:bCs/>
          <w:sz w:val="24"/>
          <w:szCs w:val="24"/>
        </w:rPr>
        <w:fldChar w:fldCharType="begin"/>
      </w:r>
      <w:r w:rsidR="00C6628B" w:rsidRPr="00391C31">
        <w:rPr>
          <w:rFonts w:ascii="Times New Roman" w:hAnsi="Times New Roman"/>
          <w:sz w:val="24"/>
          <w:szCs w:val="24"/>
        </w:rPr>
        <w:instrText xml:space="preserve"> TA \l "</w:instrText>
      </w:r>
      <w:r w:rsidR="00C6628B" w:rsidRPr="00391C31">
        <w:rPr>
          <w:rFonts w:ascii="Times New Roman" w:hAnsi="Times New Roman"/>
          <w:i/>
          <w:iCs/>
          <w:sz w:val="24"/>
          <w:szCs w:val="24"/>
        </w:rPr>
        <w:instrText xml:space="preserve">Brantley </w:instrText>
      </w:r>
      <w:r w:rsidR="00C6628B" w:rsidRPr="00391C31">
        <w:rPr>
          <w:rFonts w:ascii="Times New Roman" w:hAnsi="Times New Roman"/>
          <w:bCs/>
          <w:i/>
          <w:iCs/>
          <w:sz w:val="24"/>
          <w:szCs w:val="24"/>
        </w:rPr>
        <w:instrText xml:space="preserve">v. Maxwell-Jolly, </w:instrText>
      </w:r>
      <w:r w:rsidR="00C6628B" w:rsidRPr="00391C31">
        <w:rPr>
          <w:rFonts w:ascii="Times New Roman" w:hAnsi="Times New Roman"/>
          <w:bCs/>
          <w:sz w:val="24"/>
          <w:szCs w:val="24"/>
        </w:rPr>
        <w:instrText>656 F. Supp. 2d 1161 (N.D. Cal. 2009)</w:instrText>
      </w:r>
      <w:r w:rsidR="00C6628B" w:rsidRPr="00391C31">
        <w:rPr>
          <w:rFonts w:ascii="Times New Roman" w:hAnsi="Times New Roman"/>
          <w:sz w:val="24"/>
          <w:szCs w:val="24"/>
        </w:rPr>
        <w:instrText xml:space="preserve">" \s "Brantley v. Maxwell-Jolly, 656 F. Supp. 2d 1161 (N.D. Cal. 2009)" \c 1 </w:instrText>
      </w:r>
      <w:r w:rsidR="00726D1D" w:rsidRPr="00391C31">
        <w:rPr>
          <w:rFonts w:ascii="Times New Roman" w:hAnsi="Times New Roman"/>
          <w:bCs/>
          <w:sz w:val="24"/>
          <w:szCs w:val="24"/>
        </w:rPr>
        <w:fldChar w:fldCharType="end"/>
      </w:r>
      <w:r w:rsidR="00B33643" w:rsidRPr="00391C31">
        <w:rPr>
          <w:rFonts w:ascii="Times New Roman" w:hAnsi="Times New Roman"/>
          <w:sz w:val="24"/>
          <w:szCs w:val="24"/>
        </w:rPr>
        <w:t xml:space="preserve">; </w:t>
      </w:r>
      <w:r w:rsidR="00B33643" w:rsidRPr="00391C31">
        <w:rPr>
          <w:rFonts w:ascii="Times New Roman" w:hAnsi="Times New Roman"/>
          <w:i/>
          <w:iCs/>
          <w:sz w:val="24"/>
          <w:szCs w:val="24"/>
        </w:rPr>
        <w:t>Cota v. Maxwell-Jolly</w:t>
      </w:r>
      <w:r w:rsidR="00B33643" w:rsidRPr="00391C31">
        <w:rPr>
          <w:rFonts w:ascii="Times New Roman" w:hAnsi="Times New Roman"/>
          <w:sz w:val="24"/>
          <w:szCs w:val="24"/>
        </w:rPr>
        <w:t>, 688 F. Supp. 2d 980 (N.D. Cal. 2010)</w:t>
      </w:r>
      <w:r w:rsidR="00726D1D"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\l "</w:instrText>
      </w:r>
      <w:r w:rsidR="00C6628B" w:rsidRPr="00391C31">
        <w:rPr>
          <w:rFonts w:ascii="Times New Roman" w:hAnsi="Times New Roman"/>
          <w:i/>
          <w:iCs/>
          <w:sz w:val="24"/>
          <w:szCs w:val="24"/>
        </w:rPr>
        <w:instrText>Cota v. Maxwell-Jolly</w:instrText>
      </w:r>
      <w:r w:rsidR="00C6628B" w:rsidRPr="00391C31">
        <w:rPr>
          <w:rFonts w:ascii="Times New Roman" w:hAnsi="Times New Roman"/>
          <w:sz w:val="24"/>
          <w:szCs w:val="24"/>
        </w:rPr>
        <w:instrText xml:space="preserve">, 688 F. Supp. 2d 980 (N.D. Cal. 2010)" \s "Cota v. Maxwell-Jolly, 688 F. Supp. 2d 980 (N.D. Cal. 2010)" \c 1 </w:instrText>
      </w:r>
      <w:r w:rsidR="00726D1D" w:rsidRPr="00391C31">
        <w:rPr>
          <w:rFonts w:ascii="Times New Roman" w:hAnsi="Times New Roman"/>
          <w:sz w:val="24"/>
          <w:szCs w:val="24"/>
        </w:rPr>
        <w:fldChar w:fldCharType="end"/>
      </w:r>
      <w:r w:rsidR="0085281C" w:rsidRPr="00391C31">
        <w:rPr>
          <w:rFonts w:ascii="Times New Roman" w:hAnsi="Times New Roman"/>
          <w:sz w:val="24"/>
          <w:szCs w:val="24"/>
        </w:rPr>
        <w:t xml:space="preserve">, </w:t>
      </w:r>
      <w:r w:rsidR="0085281C" w:rsidRPr="00391C31">
        <w:rPr>
          <w:rFonts w:ascii="Times New Roman" w:hAnsi="Times New Roman"/>
          <w:i/>
          <w:sz w:val="24"/>
          <w:szCs w:val="24"/>
        </w:rPr>
        <w:t xml:space="preserve">appeal </w:t>
      </w:r>
      <w:r w:rsidR="000A7453" w:rsidRPr="00391C31">
        <w:rPr>
          <w:rFonts w:ascii="Times New Roman" w:hAnsi="Times New Roman"/>
          <w:i/>
          <w:sz w:val="24"/>
          <w:szCs w:val="24"/>
        </w:rPr>
        <w:t>pending</w:t>
      </w:r>
      <w:r w:rsidR="0085281C" w:rsidRPr="00391C31">
        <w:rPr>
          <w:rFonts w:ascii="Times New Roman" w:hAnsi="Times New Roman"/>
          <w:i/>
          <w:sz w:val="24"/>
          <w:szCs w:val="24"/>
        </w:rPr>
        <w:t xml:space="preserve">, </w:t>
      </w:r>
      <w:r w:rsidR="0085281C" w:rsidRPr="00391C31">
        <w:rPr>
          <w:rFonts w:ascii="Times New Roman" w:hAnsi="Times New Roman"/>
          <w:sz w:val="24"/>
          <w:szCs w:val="24"/>
        </w:rPr>
        <w:t xml:space="preserve">No. 10-15635 (9th Cir. </w:t>
      </w:r>
      <w:r w:rsidR="00284FFD" w:rsidRPr="00391C31">
        <w:rPr>
          <w:rFonts w:ascii="Times New Roman" w:hAnsi="Times New Roman"/>
          <w:sz w:val="24"/>
          <w:szCs w:val="24"/>
        </w:rPr>
        <w:t xml:space="preserve">filed </w:t>
      </w:r>
      <w:r w:rsidR="0085281C" w:rsidRPr="00391C31">
        <w:rPr>
          <w:rFonts w:ascii="Times New Roman" w:hAnsi="Times New Roman"/>
          <w:sz w:val="24"/>
          <w:szCs w:val="24"/>
        </w:rPr>
        <w:t>Mar. 24, 2010)</w:t>
      </w:r>
      <w:r w:rsidR="00B33643" w:rsidRPr="00391C31">
        <w:rPr>
          <w:rFonts w:ascii="Times New Roman" w:hAnsi="Times New Roman"/>
          <w:sz w:val="24"/>
          <w:szCs w:val="24"/>
        </w:rPr>
        <w:t xml:space="preserve">.  </w:t>
      </w:r>
      <w:r w:rsidR="004E6378" w:rsidRPr="00391C31">
        <w:rPr>
          <w:rFonts w:ascii="Times New Roman" w:hAnsi="Times New Roman"/>
          <w:bCs/>
          <w:sz w:val="24"/>
          <w:szCs w:val="24"/>
        </w:rPr>
        <w:t xml:space="preserve">Both injunctions </w:t>
      </w:r>
      <w:r w:rsidR="000B4526" w:rsidRPr="00391C31">
        <w:rPr>
          <w:rFonts w:ascii="Times New Roman" w:hAnsi="Times New Roman"/>
          <w:bCs/>
          <w:sz w:val="24"/>
          <w:szCs w:val="24"/>
        </w:rPr>
        <w:t>rested</w:t>
      </w:r>
      <w:r w:rsidR="008F180C" w:rsidRPr="00391C31">
        <w:rPr>
          <w:rFonts w:ascii="Times New Roman" w:hAnsi="Times New Roman"/>
          <w:bCs/>
          <w:sz w:val="24"/>
          <w:szCs w:val="24"/>
        </w:rPr>
        <w:t>,</w:t>
      </w:r>
      <w:r w:rsidR="000B4526" w:rsidRPr="00391C31">
        <w:rPr>
          <w:rFonts w:ascii="Times New Roman" w:hAnsi="Times New Roman"/>
          <w:bCs/>
          <w:sz w:val="24"/>
          <w:szCs w:val="24"/>
        </w:rPr>
        <w:t xml:space="preserve"> in part, </w:t>
      </w:r>
      <w:r w:rsidR="00F42088" w:rsidRPr="00391C31">
        <w:rPr>
          <w:rFonts w:ascii="Times New Roman" w:hAnsi="Times New Roman"/>
          <w:bCs/>
          <w:sz w:val="24"/>
          <w:szCs w:val="24"/>
        </w:rPr>
        <w:t>on a finding</w:t>
      </w:r>
      <w:r w:rsidR="001A63E8" w:rsidRPr="00391C31">
        <w:rPr>
          <w:rFonts w:ascii="Times New Roman" w:hAnsi="Times New Roman"/>
          <w:bCs/>
          <w:sz w:val="24"/>
          <w:szCs w:val="24"/>
        </w:rPr>
        <w:t xml:space="preserve"> that</w:t>
      </w:r>
      <w:r w:rsidR="004E6378" w:rsidRPr="00391C31">
        <w:rPr>
          <w:rFonts w:ascii="Times New Roman" w:hAnsi="Times New Roman"/>
          <w:bCs/>
          <w:sz w:val="24"/>
          <w:szCs w:val="24"/>
        </w:rPr>
        <w:t xml:space="preserve"> </w:t>
      </w:r>
      <w:r w:rsidR="005A5A74" w:rsidRPr="00391C31">
        <w:rPr>
          <w:rFonts w:ascii="Times New Roman" w:hAnsi="Times New Roman"/>
          <w:bCs/>
          <w:sz w:val="24"/>
          <w:szCs w:val="24"/>
        </w:rPr>
        <w:t xml:space="preserve">Defendants’ </w:t>
      </w:r>
      <w:r w:rsidR="008F180C" w:rsidRPr="00391C31">
        <w:rPr>
          <w:rFonts w:ascii="Times New Roman" w:hAnsi="Times New Roman"/>
          <w:bCs/>
          <w:sz w:val="24"/>
          <w:szCs w:val="24"/>
        </w:rPr>
        <w:t>reduction in available ADHC services</w:t>
      </w:r>
      <w:r w:rsidRPr="00391C31">
        <w:rPr>
          <w:rFonts w:ascii="Times New Roman" w:hAnsi="Times New Roman"/>
          <w:bCs/>
          <w:sz w:val="24"/>
          <w:szCs w:val="24"/>
        </w:rPr>
        <w:t xml:space="preserve">, without </w:t>
      </w:r>
      <w:r w:rsidR="00DC1A92" w:rsidRPr="00391C31">
        <w:rPr>
          <w:rFonts w:ascii="Times New Roman" w:hAnsi="Times New Roman"/>
          <w:bCs/>
          <w:sz w:val="24"/>
          <w:szCs w:val="24"/>
        </w:rPr>
        <w:t xml:space="preserve">ensuring provision </w:t>
      </w:r>
      <w:r w:rsidR="008F180C" w:rsidRPr="00391C31">
        <w:rPr>
          <w:rFonts w:ascii="Times New Roman" w:hAnsi="Times New Roman"/>
          <w:bCs/>
          <w:sz w:val="24"/>
          <w:szCs w:val="24"/>
        </w:rPr>
        <w:t xml:space="preserve">of </w:t>
      </w:r>
      <w:r w:rsidRPr="00391C31">
        <w:rPr>
          <w:rFonts w:ascii="Times New Roman" w:hAnsi="Times New Roman"/>
          <w:bCs/>
          <w:sz w:val="24"/>
          <w:szCs w:val="24"/>
        </w:rPr>
        <w:t xml:space="preserve">sufficient replacement services, </w:t>
      </w:r>
      <w:r w:rsidR="004E6378" w:rsidRPr="00391C31">
        <w:rPr>
          <w:rFonts w:ascii="Times New Roman" w:hAnsi="Times New Roman"/>
          <w:bCs/>
          <w:sz w:val="24"/>
          <w:szCs w:val="24"/>
        </w:rPr>
        <w:t xml:space="preserve">would place </w:t>
      </w:r>
      <w:r w:rsidRPr="00391C31">
        <w:rPr>
          <w:rFonts w:ascii="Times New Roman" w:hAnsi="Times New Roman"/>
          <w:bCs/>
          <w:sz w:val="24"/>
          <w:szCs w:val="24"/>
        </w:rPr>
        <w:t xml:space="preserve">impacted </w:t>
      </w:r>
      <w:r w:rsidR="004E6378" w:rsidRPr="00391C31">
        <w:rPr>
          <w:rFonts w:ascii="Times New Roman" w:hAnsi="Times New Roman"/>
          <w:bCs/>
          <w:sz w:val="24"/>
          <w:szCs w:val="24"/>
        </w:rPr>
        <w:t>ADHC recipients at risk of institutionaliz</w:t>
      </w:r>
      <w:r w:rsidR="00082A05" w:rsidRPr="00391C31">
        <w:rPr>
          <w:rFonts w:ascii="Times New Roman" w:hAnsi="Times New Roman"/>
          <w:bCs/>
          <w:sz w:val="24"/>
          <w:szCs w:val="24"/>
        </w:rPr>
        <w:t>ation</w:t>
      </w:r>
      <w:r w:rsidR="004E6378" w:rsidRPr="00391C31">
        <w:rPr>
          <w:rFonts w:ascii="Times New Roman" w:hAnsi="Times New Roman"/>
          <w:bCs/>
          <w:sz w:val="24"/>
          <w:szCs w:val="24"/>
        </w:rPr>
        <w:t xml:space="preserve"> in violation of the ADA</w:t>
      </w:r>
      <w:r w:rsidR="004E6378" w:rsidRPr="00391C31">
        <w:rPr>
          <w:rFonts w:ascii="Times New Roman" w:hAnsi="Times New Roman"/>
          <w:sz w:val="24"/>
          <w:szCs w:val="24"/>
        </w:rPr>
        <w:t xml:space="preserve">. </w:t>
      </w:r>
      <w:r w:rsidR="000B4526" w:rsidRPr="00391C31">
        <w:rPr>
          <w:rFonts w:ascii="Times New Roman" w:hAnsi="Times New Roman"/>
          <w:sz w:val="24"/>
          <w:szCs w:val="24"/>
        </w:rPr>
        <w:t xml:space="preserve"> </w:t>
      </w:r>
      <w:r w:rsidR="000B4526" w:rsidRPr="00391C31">
        <w:rPr>
          <w:rFonts w:ascii="Times New Roman" w:hAnsi="Times New Roman"/>
          <w:i/>
          <w:sz w:val="24"/>
          <w:szCs w:val="24"/>
        </w:rPr>
        <w:t>See Brantley</w:t>
      </w:r>
      <w:r w:rsidR="000B4526" w:rsidRPr="00391C31">
        <w:rPr>
          <w:rFonts w:ascii="Times New Roman" w:hAnsi="Times New Roman"/>
          <w:sz w:val="24"/>
          <w:szCs w:val="24"/>
        </w:rPr>
        <w:t>, 656 F. Supp. 2d at 1175</w:t>
      </w:r>
      <w:r w:rsidR="00726D1D"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000B4526" w:rsidRPr="00391C31">
        <w:rPr>
          <w:rFonts w:ascii="Times New Roman" w:hAnsi="Times New Roman"/>
          <w:sz w:val="24"/>
          <w:szCs w:val="24"/>
        </w:rPr>
        <w:t xml:space="preserve">; </w:t>
      </w:r>
      <w:r w:rsidR="000B4526" w:rsidRPr="00391C31">
        <w:rPr>
          <w:rFonts w:ascii="Times New Roman" w:hAnsi="Times New Roman"/>
          <w:i/>
          <w:sz w:val="24"/>
          <w:szCs w:val="24"/>
        </w:rPr>
        <w:t>Cota</w:t>
      </w:r>
      <w:r w:rsidR="000B4526" w:rsidRPr="00391C31">
        <w:rPr>
          <w:rFonts w:ascii="Times New Roman" w:hAnsi="Times New Roman"/>
          <w:sz w:val="24"/>
          <w:szCs w:val="24"/>
        </w:rPr>
        <w:t>, 688 F. Supp. 2d at 994-95</w:t>
      </w:r>
      <w:r w:rsidR="00726D1D"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\s "Cota v. Maxwell-Jolly, 688 F. Supp. 2d 980 (N.D. Cal. 2010)" </w:instrText>
      </w:r>
      <w:r w:rsidR="00726D1D" w:rsidRPr="00391C31">
        <w:rPr>
          <w:rFonts w:ascii="Times New Roman" w:hAnsi="Times New Roman"/>
          <w:sz w:val="24"/>
          <w:szCs w:val="24"/>
        </w:rPr>
        <w:fldChar w:fldCharType="end"/>
      </w:r>
      <w:r w:rsidR="000B4526" w:rsidRPr="00391C31">
        <w:rPr>
          <w:rFonts w:ascii="Times New Roman" w:hAnsi="Times New Roman"/>
          <w:sz w:val="24"/>
          <w:szCs w:val="24"/>
        </w:rPr>
        <w:t>.</w:t>
      </w:r>
      <w:r w:rsidR="00B33643" w:rsidRPr="00391C31">
        <w:rPr>
          <w:rFonts w:ascii="Times New Roman" w:hAnsi="Times New Roman"/>
          <w:sz w:val="24"/>
          <w:szCs w:val="24"/>
        </w:rPr>
        <w:t xml:space="preserve">  </w:t>
      </w:r>
    </w:p>
    <w:p w:rsidR="00733583" w:rsidRPr="00391C31" w:rsidRDefault="00726D1D" w:rsidP="00391C31">
      <w:pPr>
        <w:autoSpaceDE w:val="0"/>
        <w:autoSpaceDN w:val="0"/>
        <w:adjustRightInd w:val="0"/>
        <w:spacing w:after="0" w:line="480" w:lineRule="exact"/>
        <w:ind w:firstLine="720"/>
        <w:rPr>
          <w:rFonts w:ascii="Times New Roman" w:hAnsi="Times New Roman"/>
          <w:sz w:val="24"/>
          <w:szCs w:val="24"/>
        </w:rPr>
      </w:pPr>
      <w:r w:rsidRPr="00726D1D">
        <w:rPr>
          <w:rFonts w:ascii="Times New Roman" w:hAnsi="Times New Roman"/>
          <w:i/>
          <w:iCs/>
          <w:noProof/>
          <w:sz w:val="24"/>
          <w:szCs w:val="24"/>
        </w:rPr>
        <w:pict>
          <v:shape id="_x0000_s1060" type="#_x0000_t202" style="position:absolute;left:0;text-align:left;margin-left:-46.75pt;margin-top:-.35pt;width:36pt;height:10in;z-index:2516920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YcdQIAAPs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" o:allowincell="f" stroked="f">
            <v:textbox inset="0,0,0,0">
              <w:txbxContent>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BC625A">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BC625A">
                  <w:pPr>
                    <w:spacing w:after="0" w:line="480" w:lineRule="exact"/>
                    <w:jc w:val="right"/>
                  </w:pPr>
                </w:p>
              </w:txbxContent>
            </v:textbox>
            <w10:wrap anchorx="margin" anchory="margin"/>
          </v:shape>
        </w:pict>
      </w:r>
      <w:r w:rsidR="00865ADD" w:rsidRPr="00391C31">
        <w:rPr>
          <w:rFonts w:ascii="Times New Roman" w:hAnsi="Times New Roman"/>
          <w:sz w:val="24"/>
          <w:szCs w:val="24"/>
        </w:rPr>
        <w:t xml:space="preserve">The </w:t>
      </w:r>
      <w:r w:rsidR="00F42088" w:rsidRPr="00391C31">
        <w:rPr>
          <w:rFonts w:ascii="Times New Roman" w:hAnsi="Times New Roman"/>
          <w:sz w:val="24"/>
          <w:szCs w:val="24"/>
        </w:rPr>
        <w:t>rationale</w:t>
      </w:r>
      <w:r w:rsidR="00865ADD" w:rsidRPr="00391C31">
        <w:rPr>
          <w:rFonts w:ascii="Times New Roman" w:hAnsi="Times New Roman"/>
          <w:sz w:val="24"/>
          <w:szCs w:val="24"/>
        </w:rPr>
        <w:t xml:space="preserve"> supporting the issuance of </w:t>
      </w:r>
      <w:r w:rsidR="0071527F" w:rsidRPr="00391C31">
        <w:rPr>
          <w:rFonts w:ascii="Times New Roman" w:hAnsi="Times New Roman"/>
          <w:sz w:val="24"/>
          <w:szCs w:val="24"/>
        </w:rPr>
        <w:t>this Court’s</w:t>
      </w:r>
      <w:r w:rsidR="00865ADD" w:rsidRPr="00391C31">
        <w:rPr>
          <w:rFonts w:ascii="Times New Roman" w:hAnsi="Times New Roman"/>
          <w:sz w:val="24"/>
          <w:szCs w:val="24"/>
        </w:rPr>
        <w:t xml:space="preserve"> two prior injunctions </w:t>
      </w:r>
      <w:r w:rsidR="00F42088" w:rsidRPr="00391C31">
        <w:rPr>
          <w:rFonts w:ascii="Times New Roman" w:hAnsi="Times New Roman"/>
          <w:sz w:val="24"/>
          <w:szCs w:val="24"/>
        </w:rPr>
        <w:t xml:space="preserve">applies with even more force to Plaintiffs’ present motion for preliminary injunction.  </w:t>
      </w:r>
      <w:r w:rsidR="00CA6D6E" w:rsidRPr="00391C31">
        <w:rPr>
          <w:rFonts w:ascii="Times New Roman" w:hAnsi="Times New Roman"/>
          <w:sz w:val="24"/>
          <w:szCs w:val="24"/>
        </w:rPr>
        <w:t>Now</w:t>
      </w:r>
      <w:r w:rsidR="00B33643" w:rsidRPr="00391C31">
        <w:rPr>
          <w:rFonts w:ascii="Times New Roman" w:hAnsi="Times New Roman"/>
          <w:sz w:val="24"/>
          <w:szCs w:val="24"/>
        </w:rPr>
        <w:t xml:space="preserve">, </w:t>
      </w:r>
      <w:r w:rsidR="001E6F92" w:rsidRPr="00391C31">
        <w:rPr>
          <w:rFonts w:ascii="Times New Roman" w:hAnsi="Times New Roman"/>
          <w:sz w:val="24"/>
          <w:szCs w:val="24"/>
        </w:rPr>
        <w:t xml:space="preserve">the </w:t>
      </w:r>
      <w:r w:rsidR="00B51E3F">
        <w:rPr>
          <w:rFonts w:ascii="Times New Roman" w:hAnsi="Times New Roman"/>
          <w:sz w:val="24"/>
          <w:szCs w:val="24"/>
        </w:rPr>
        <w:t xml:space="preserve">State </w:t>
      </w:r>
      <w:r w:rsidR="008E53E5">
        <w:rPr>
          <w:rFonts w:ascii="Times New Roman" w:hAnsi="Times New Roman"/>
          <w:sz w:val="24"/>
          <w:szCs w:val="24"/>
        </w:rPr>
        <w:t>is not only reducing, but entirely eliminating</w:t>
      </w:r>
      <w:r w:rsidR="001E6F92" w:rsidRPr="00391C31">
        <w:rPr>
          <w:rFonts w:ascii="Times New Roman" w:hAnsi="Times New Roman"/>
          <w:sz w:val="24"/>
          <w:szCs w:val="24"/>
        </w:rPr>
        <w:t xml:space="preserve"> a service that this Court </w:t>
      </w:r>
      <w:r w:rsidR="00C37B21" w:rsidRPr="00391C31">
        <w:rPr>
          <w:rFonts w:ascii="Times New Roman" w:hAnsi="Times New Roman"/>
          <w:sz w:val="24"/>
          <w:szCs w:val="24"/>
        </w:rPr>
        <w:t xml:space="preserve">has </w:t>
      </w:r>
      <w:r w:rsidR="001E6F92" w:rsidRPr="00391C31">
        <w:rPr>
          <w:rFonts w:ascii="Times New Roman" w:hAnsi="Times New Roman"/>
          <w:sz w:val="24"/>
          <w:szCs w:val="24"/>
        </w:rPr>
        <w:t xml:space="preserve">found to be </w:t>
      </w:r>
      <w:r w:rsidR="00C37B21" w:rsidRPr="00391C31">
        <w:rPr>
          <w:rFonts w:ascii="Times New Roman" w:hAnsi="Times New Roman"/>
          <w:sz w:val="24"/>
          <w:szCs w:val="24"/>
        </w:rPr>
        <w:t>“critical to [Plaintiffs’] ability to avoid institutionalization, and to remain in a community setting</w:t>
      </w:r>
      <w:r w:rsidR="001E6F92" w:rsidRPr="00391C31">
        <w:rPr>
          <w:rFonts w:ascii="Times New Roman" w:hAnsi="Times New Roman"/>
          <w:sz w:val="24"/>
          <w:szCs w:val="24"/>
        </w:rPr>
        <w:t>.</w:t>
      </w:r>
      <w:r w:rsidR="00C37B21" w:rsidRPr="00391C31">
        <w:rPr>
          <w:rFonts w:ascii="Times New Roman" w:hAnsi="Times New Roman"/>
          <w:sz w:val="24"/>
          <w:szCs w:val="24"/>
        </w:rPr>
        <w:t>”</w:t>
      </w:r>
      <w:r w:rsidR="001E6F92" w:rsidRPr="00391C31">
        <w:rPr>
          <w:rFonts w:ascii="Times New Roman" w:hAnsi="Times New Roman"/>
          <w:sz w:val="24"/>
          <w:szCs w:val="24"/>
        </w:rPr>
        <w:t xml:space="preserve"> </w:t>
      </w:r>
      <w:r w:rsidR="00DC1A92" w:rsidRPr="00391C31">
        <w:rPr>
          <w:rFonts w:ascii="Times New Roman" w:hAnsi="Times New Roman"/>
          <w:i/>
          <w:sz w:val="24"/>
          <w:szCs w:val="24"/>
        </w:rPr>
        <w:t>Cota</w:t>
      </w:r>
      <w:r w:rsidR="00DC1A92" w:rsidRPr="00391C31">
        <w:rPr>
          <w:rFonts w:ascii="Times New Roman" w:hAnsi="Times New Roman"/>
          <w:sz w:val="24"/>
          <w:szCs w:val="24"/>
        </w:rPr>
        <w:t>,</w:t>
      </w:r>
      <w:r w:rsidR="00DC1A92" w:rsidRPr="00391C31">
        <w:rPr>
          <w:rFonts w:ascii="Times New Roman" w:hAnsi="Times New Roman"/>
          <w:i/>
          <w:sz w:val="24"/>
          <w:szCs w:val="24"/>
        </w:rPr>
        <w:t xml:space="preserve"> </w:t>
      </w:r>
      <w:r w:rsidR="00DC1A92" w:rsidRPr="00391C31">
        <w:rPr>
          <w:rFonts w:ascii="Times New Roman" w:hAnsi="Times New Roman"/>
          <w:sz w:val="24"/>
          <w:szCs w:val="24"/>
        </w:rPr>
        <w:t>688</w:t>
      </w:r>
      <w:r w:rsidR="00DC1A92" w:rsidRPr="00391C31">
        <w:rPr>
          <w:rFonts w:ascii="Times New Roman" w:hAnsi="Times New Roman"/>
          <w:i/>
          <w:sz w:val="24"/>
          <w:szCs w:val="24"/>
        </w:rPr>
        <w:t xml:space="preserve"> </w:t>
      </w:r>
      <w:r w:rsidR="00DC1A92" w:rsidRPr="00391C31">
        <w:rPr>
          <w:rFonts w:ascii="Times New Roman" w:hAnsi="Times New Roman"/>
          <w:sz w:val="24"/>
          <w:szCs w:val="24"/>
        </w:rPr>
        <w:t>F. Supp. 2d</w:t>
      </w:r>
      <w:r w:rsidR="00C37B21" w:rsidRPr="00391C31">
        <w:rPr>
          <w:rFonts w:ascii="Times New Roman" w:hAnsi="Times New Roman"/>
          <w:sz w:val="24"/>
          <w:szCs w:val="24"/>
        </w:rPr>
        <w:t xml:space="preserve"> at 994</w:t>
      </w:r>
      <w:r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\s "Cota v. Maxwell-Jolly, 688 F. Supp. 2d 980 (N.D. Cal. 2010)" </w:instrText>
      </w:r>
      <w:r w:rsidRPr="00391C31">
        <w:rPr>
          <w:rFonts w:ascii="Times New Roman" w:hAnsi="Times New Roman"/>
          <w:sz w:val="24"/>
          <w:szCs w:val="24"/>
        </w:rPr>
        <w:fldChar w:fldCharType="end"/>
      </w:r>
      <w:r w:rsidR="00C37B21" w:rsidRPr="00391C31">
        <w:rPr>
          <w:rFonts w:ascii="Times New Roman" w:hAnsi="Times New Roman"/>
          <w:sz w:val="24"/>
          <w:szCs w:val="24"/>
        </w:rPr>
        <w:t xml:space="preserve">; </w:t>
      </w:r>
      <w:r w:rsidR="00C37B21" w:rsidRPr="00391C31">
        <w:rPr>
          <w:rFonts w:ascii="Times New Roman" w:hAnsi="Times New Roman"/>
          <w:i/>
          <w:sz w:val="24"/>
          <w:szCs w:val="24"/>
        </w:rPr>
        <w:t>s</w:t>
      </w:r>
      <w:r w:rsidR="0071527F" w:rsidRPr="00391C31">
        <w:rPr>
          <w:rFonts w:ascii="Times New Roman" w:hAnsi="Times New Roman"/>
          <w:i/>
          <w:sz w:val="24"/>
          <w:szCs w:val="24"/>
        </w:rPr>
        <w:t xml:space="preserve">ee </w:t>
      </w:r>
      <w:r w:rsidR="00C37B21" w:rsidRPr="00391C31">
        <w:rPr>
          <w:rFonts w:ascii="Times New Roman" w:hAnsi="Times New Roman"/>
          <w:i/>
          <w:sz w:val="24"/>
          <w:szCs w:val="24"/>
        </w:rPr>
        <w:t xml:space="preserve">also </w:t>
      </w:r>
      <w:r w:rsidR="0071527F" w:rsidRPr="00391C31">
        <w:rPr>
          <w:rFonts w:ascii="Times New Roman" w:hAnsi="Times New Roman"/>
          <w:i/>
          <w:sz w:val="24"/>
          <w:szCs w:val="24"/>
        </w:rPr>
        <w:t>Brantley</w:t>
      </w:r>
      <w:r w:rsidR="0071527F" w:rsidRPr="00391C31">
        <w:rPr>
          <w:rFonts w:ascii="Times New Roman" w:hAnsi="Times New Roman"/>
          <w:sz w:val="24"/>
          <w:szCs w:val="24"/>
        </w:rPr>
        <w:t>, 656 F. Supp. 2d at 1174</w:t>
      </w:r>
      <w:r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\s "Brantley v. Maxwell-Jolly, 656 F. Supp. 2d 1161 (N.D. Cal. 2009)" </w:instrText>
      </w:r>
      <w:r w:rsidRPr="00391C31">
        <w:rPr>
          <w:rFonts w:ascii="Times New Roman" w:hAnsi="Times New Roman"/>
          <w:sz w:val="24"/>
          <w:szCs w:val="24"/>
        </w:rPr>
        <w:fldChar w:fldCharType="end"/>
      </w:r>
      <w:r w:rsidR="0071527F" w:rsidRPr="00391C31">
        <w:rPr>
          <w:rFonts w:ascii="Times New Roman" w:hAnsi="Times New Roman"/>
          <w:sz w:val="24"/>
          <w:szCs w:val="24"/>
        </w:rPr>
        <w:t>.</w:t>
      </w:r>
      <w:r w:rsidR="001E6F92" w:rsidRPr="00391C31">
        <w:rPr>
          <w:rFonts w:ascii="Times New Roman" w:hAnsi="Times New Roman"/>
          <w:sz w:val="24"/>
          <w:szCs w:val="24"/>
        </w:rPr>
        <w:t xml:space="preserve">  </w:t>
      </w:r>
      <w:r w:rsidR="00B33643" w:rsidRPr="00391C31">
        <w:rPr>
          <w:rFonts w:ascii="Times New Roman" w:hAnsi="Times New Roman"/>
          <w:sz w:val="24"/>
          <w:szCs w:val="24"/>
        </w:rPr>
        <w:t xml:space="preserve"> </w:t>
      </w:r>
      <w:r w:rsidR="006E4EE8" w:rsidRPr="00391C31">
        <w:rPr>
          <w:rFonts w:ascii="Times New Roman" w:hAnsi="Times New Roman"/>
          <w:sz w:val="24"/>
          <w:szCs w:val="24"/>
        </w:rPr>
        <w:t>Although</w:t>
      </w:r>
      <w:r w:rsidR="00733583" w:rsidRPr="00391C31">
        <w:rPr>
          <w:rFonts w:ascii="Times New Roman" w:hAnsi="Times New Roman"/>
          <w:sz w:val="24"/>
          <w:szCs w:val="24"/>
        </w:rPr>
        <w:t xml:space="preserve"> </w:t>
      </w:r>
      <w:r w:rsidR="001E6F92" w:rsidRPr="00391C31">
        <w:rPr>
          <w:rFonts w:ascii="Times New Roman" w:hAnsi="Times New Roman"/>
          <w:sz w:val="24"/>
          <w:szCs w:val="24"/>
        </w:rPr>
        <w:t xml:space="preserve">Defendants posit </w:t>
      </w:r>
      <w:r w:rsidR="00733583" w:rsidRPr="00391C31">
        <w:rPr>
          <w:rFonts w:ascii="Times New Roman" w:hAnsi="Times New Roman"/>
          <w:sz w:val="24"/>
          <w:szCs w:val="24"/>
        </w:rPr>
        <w:t>that the same</w:t>
      </w:r>
      <w:r w:rsidR="007F5D19" w:rsidRPr="00391C31">
        <w:rPr>
          <w:rFonts w:ascii="Times New Roman" w:hAnsi="Times New Roman"/>
          <w:sz w:val="24"/>
          <w:szCs w:val="24"/>
        </w:rPr>
        <w:t xml:space="preserve"> or a similar</w:t>
      </w:r>
      <w:r w:rsidR="00733583" w:rsidRPr="00391C31">
        <w:rPr>
          <w:rFonts w:ascii="Times New Roman" w:hAnsi="Times New Roman"/>
          <w:sz w:val="24"/>
          <w:szCs w:val="24"/>
        </w:rPr>
        <w:t xml:space="preserve"> array of </w:t>
      </w:r>
      <w:r w:rsidR="00F11808" w:rsidRPr="00391C31">
        <w:rPr>
          <w:rFonts w:ascii="Times New Roman" w:hAnsi="Times New Roman"/>
          <w:sz w:val="24"/>
          <w:szCs w:val="24"/>
        </w:rPr>
        <w:t xml:space="preserve">medically necessary </w:t>
      </w:r>
      <w:r w:rsidR="00733583" w:rsidRPr="00391C31">
        <w:rPr>
          <w:rFonts w:ascii="Times New Roman" w:hAnsi="Times New Roman"/>
          <w:sz w:val="24"/>
          <w:szCs w:val="24"/>
        </w:rPr>
        <w:t xml:space="preserve">services will </w:t>
      </w:r>
      <w:r w:rsidR="001E6F92" w:rsidRPr="00391C31">
        <w:rPr>
          <w:rFonts w:ascii="Times New Roman" w:hAnsi="Times New Roman"/>
          <w:sz w:val="24"/>
          <w:szCs w:val="24"/>
        </w:rPr>
        <w:t xml:space="preserve">be available </w:t>
      </w:r>
      <w:r w:rsidR="00082A05" w:rsidRPr="00391C31">
        <w:rPr>
          <w:rFonts w:ascii="Times New Roman" w:hAnsi="Times New Roman"/>
          <w:sz w:val="24"/>
          <w:szCs w:val="24"/>
        </w:rPr>
        <w:t xml:space="preserve">to Plaintiffs </w:t>
      </w:r>
      <w:r w:rsidR="00733583" w:rsidRPr="00391C31">
        <w:rPr>
          <w:rFonts w:ascii="Times New Roman" w:hAnsi="Times New Roman"/>
          <w:sz w:val="24"/>
          <w:szCs w:val="24"/>
        </w:rPr>
        <w:t xml:space="preserve">through </w:t>
      </w:r>
      <w:r w:rsidR="00F42088" w:rsidRPr="00391C31">
        <w:rPr>
          <w:rFonts w:ascii="Times New Roman" w:hAnsi="Times New Roman"/>
          <w:sz w:val="24"/>
          <w:szCs w:val="24"/>
        </w:rPr>
        <w:t>other</w:t>
      </w:r>
      <w:r w:rsidR="00FB7089" w:rsidRPr="00391C31">
        <w:rPr>
          <w:rFonts w:ascii="Times New Roman" w:hAnsi="Times New Roman"/>
          <w:sz w:val="24"/>
          <w:szCs w:val="24"/>
        </w:rPr>
        <w:t xml:space="preserve"> </w:t>
      </w:r>
      <w:r w:rsidR="001E6F92" w:rsidRPr="00391C31">
        <w:rPr>
          <w:rFonts w:ascii="Times New Roman" w:hAnsi="Times New Roman"/>
          <w:sz w:val="24"/>
          <w:szCs w:val="24"/>
        </w:rPr>
        <w:t>existing</w:t>
      </w:r>
      <w:r w:rsidR="00FB7089" w:rsidRPr="00391C31">
        <w:rPr>
          <w:rFonts w:ascii="Times New Roman" w:hAnsi="Times New Roman"/>
          <w:sz w:val="24"/>
          <w:szCs w:val="24"/>
        </w:rPr>
        <w:t xml:space="preserve"> </w:t>
      </w:r>
      <w:r w:rsidR="00F42088" w:rsidRPr="00391C31">
        <w:rPr>
          <w:rFonts w:ascii="Times New Roman" w:hAnsi="Times New Roman"/>
          <w:sz w:val="24"/>
          <w:szCs w:val="24"/>
        </w:rPr>
        <w:t xml:space="preserve">State </w:t>
      </w:r>
      <w:r w:rsidR="00FB7089" w:rsidRPr="00391C31">
        <w:rPr>
          <w:rFonts w:ascii="Times New Roman" w:hAnsi="Times New Roman"/>
          <w:sz w:val="24"/>
          <w:szCs w:val="24"/>
        </w:rPr>
        <w:t>Medicaid (“</w:t>
      </w:r>
      <w:r w:rsidR="001E6F92" w:rsidRPr="00391C31">
        <w:rPr>
          <w:rFonts w:ascii="Times New Roman" w:hAnsi="Times New Roman"/>
          <w:sz w:val="24"/>
          <w:szCs w:val="24"/>
        </w:rPr>
        <w:t>Medi-Cal</w:t>
      </w:r>
      <w:r w:rsidR="00FB7089" w:rsidRPr="00391C31">
        <w:rPr>
          <w:rFonts w:ascii="Times New Roman" w:hAnsi="Times New Roman"/>
          <w:sz w:val="24"/>
          <w:szCs w:val="24"/>
        </w:rPr>
        <w:t>”)</w:t>
      </w:r>
      <w:r w:rsidR="001E6F92" w:rsidRPr="00391C31">
        <w:rPr>
          <w:rFonts w:ascii="Times New Roman" w:hAnsi="Times New Roman"/>
          <w:sz w:val="24"/>
          <w:szCs w:val="24"/>
        </w:rPr>
        <w:t xml:space="preserve"> services, Defendants have failed to </w:t>
      </w:r>
      <w:r w:rsidR="00F42088" w:rsidRPr="00391C31">
        <w:rPr>
          <w:rFonts w:ascii="Times New Roman" w:hAnsi="Times New Roman"/>
          <w:sz w:val="24"/>
          <w:szCs w:val="24"/>
        </w:rPr>
        <w:t>meaningfully</w:t>
      </w:r>
      <w:r w:rsidR="00533469" w:rsidRPr="00391C31">
        <w:rPr>
          <w:rFonts w:ascii="Times New Roman" w:hAnsi="Times New Roman"/>
          <w:sz w:val="24"/>
          <w:szCs w:val="24"/>
        </w:rPr>
        <w:t xml:space="preserve"> </w:t>
      </w:r>
      <w:r w:rsidR="001E6F92" w:rsidRPr="00391C31">
        <w:rPr>
          <w:rFonts w:ascii="Times New Roman" w:hAnsi="Times New Roman"/>
          <w:sz w:val="24"/>
          <w:szCs w:val="24"/>
        </w:rPr>
        <w:t>develop</w:t>
      </w:r>
      <w:r w:rsidR="0071527F" w:rsidRPr="00391C31">
        <w:rPr>
          <w:rFonts w:ascii="Times New Roman" w:hAnsi="Times New Roman"/>
          <w:sz w:val="24"/>
          <w:szCs w:val="24"/>
        </w:rPr>
        <w:t xml:space="preserve"> or implement</w:t>
      </w:r>
      <w:r w:rsidR="001E6F92" w:rsidRPr="00391C31">
        <w:rPr>
          <w:rFonts w:ascii="Times New Roman" w:hAnsi="Times New Roman"/>
          <w:sz w:val="24"/>
          <w:szCs w:val="24"/>
        </w:rPr>
        <w:t xml:space="preserve"> </w:t>
      </w:r>
      <w:r w:rsidR="0071527F" w:rsidRPr="00391C31">
        <w:rPr>
          <w:rFonts w:ascii="Times New Roman" w:hAnsi="Times New Roman"/>
          <w:sz w:val="24"/>
          <w:szCs w:val="24"/>
        </w:rPr>
        <w:t xml:space="preserve">“any means of ensuring that… the necessary alternative services will be identified and in place for Plaintiffs so that there will not be a period where they are not receiving the </w:t>
      </w:r>
      <w:r w:rsidR="00BC4776">
        <w:rPr>
          <w:rFonts w:ascii="Times New Roman" w:hAnsi="Times New Roman"/>
          <w:sz w:val="24"/>
          <w:szCs w:val="24"/>
        </w:rPr>
        <w:t>care</w:t>
      </w:r>
      <w:r w:rsidR="007F5D19" w:rsidRPr="00391C31">
        <w:rPr>
          <w:rFonts w:ascii="Times New Roman" w:hAnsi="Times New Roman"/>
          <w:sz w:val="24"/>
          <w:szCs w:val="24"/>
        </w:rPr>
        <w:t xml:space="preserve"> </w:t>
      </w:r>
      <w:r w:rsidR="0071527F" w:rsidRPr="00391C31">
        <w:rPr>
          <w:rFonts w:ascii="Times New Roman" w:hAnsi="Times New Roman"/>
          <w:sz w:val="24"/>
          <w:szCs w:val="24"/>
        </w:rPr>
        <w:t xml:space="preserve">prescribed by their </w:t>
      </w:r>
      <w:r w:rsidR="00DC1A92" w:rsidRPr="00391C31">
        <w:rPr>
          <w:rFonts w:ascii="Times New Roman" w:hAnsi="Times New Roman"/>
          <w:sz w:val="24"/>
          <w:szCs w:val="24"/>
        </w:rPr>
        <w:t>[</w:t>
      </w:r>
      <w:r w:rsidR="0071527F" w:rsidRPr="00391C31">
        <w:rPr>
          <w:rFonts w:ascii="Times New Roman" w:hAnsi="Times New Roman"/>
          <w:sz w:val="24"/>
          <w:szCs w:val="24"/>
        </w:rPr>
        <w:t>I</w:t>
      </w:r>
      <w:r w:rsidR="00DC1A92" w:rsidRPr="00391C31">
        <w:rPr>
          <w:rFonts w:ascii="Times New Roman" w:hAnsi="Times New Roman"/>
          <w:sz w:val="24"/>
          <w:szCs w:val="24"/>
        </w:rPr>
        <w:t xml:space="preserve">ndividual </w:t>
      </w:r>
      <w:r w:rsidR="0071527F" w:rsidRPr="00391C31">
        <w:rPr>
          <w:rFonts w:ascii="Times New Roman" w:hAnsi="Times New Roman"/>
          <w:sz w:val="24"/>
          <w:szCs w:val="24"/>
        </w:rPr>
        <w:t>P</w:t>
      </w:r>
      <w:r w:rsidR="00DC1A92" w:rsidRPr="00391C31">
        <w:rPr>
          <w:rFonts w:ascii="Times New Roman" w:hAnsi="Times New Roman"/>
          <w:sz w:val="24"/>
          <w:szCs w:val="24"/>
        </w:rPr>
        <w:t>lans of Care (IPCs)]</w:t>
      </w:r>
      <w:r w:rsidR="0071527F" w:rsidRPr="00391C31">
        <w:rPr>
          <w:rFonts w:ascii="Times New Roman" w:hAnsi="Times New Roman"/>
          <w:sz w:val="24"/>
          <w:szCs w:val="24"/>
        </w:rPr>
        <w:t xml:space="preserve">.” </w:t>
      </w:r>
      <w:r w:rsidR="00C37B21" w:rsidRPr="00391C31">
        <w:rPr>
          <w:rFonts w:ascii="Times New Roman" w:hAnsi="Times New Roman"/>
          <w:sz w:val="24"/>
          <w:szCs w:val="24"/>
        </w:rPr>
        <w:t xml:space="preserve"> </w:t>
      </w:r>
      <w:r w:rsidR="0071527F" w:rsidRPr="00391C31">
        <w:rPr>
          <w:rFonts w:ascii="Times New Roman" w:hAnsi="Times New Roman"/>
          <w:i/>
          <w:sz w:val="24"/>
          <w:szCs w:val="24"/>
        </w:rPr>
        <w:t>See Brantley</w:t>
      </w:r>
      <w:r w:rsidR="0071527F" w:rsidRPr="00391C31">
        <w:rPr>
          <w:rFonts w:ascii="Times New Roman" w:hAnsi="Times New Roman"/>
          <w:sz w:val="24"/>
          <w:szCs w:val="24"/>
        </w:rPr>
        <w:t>, 656 F.</w:t>
      </w:r>
      <w:r w:rsidR="00E808B0" w:rsidRPr="00391C31">
        <w:rPr>
          <w:rFonts w:ascii="Times New Roman" w:hAnsi="Times New Roman"/>
          <w:sz w:val="24"/>
          <w:szCs w:val="24"/>
        </w:rPr>
        <w:t xml:space="preserve"> </w:t>
      </w:r>
      <w:r w:rsidR="0071527F" w:rsidRPr="00391C31">
        <w:rPr>
          <w:rFonts w:ascii="Times New Roman" w:hAnsi="Times New Roman"/>
          <w:sz w:val="24"/>
          <w:szCs w:val="24"/>
        </w:rPr>
        <w:t xml:space="preserve">Supp. 2d </w:t>
      </w:r>
      <w:r w:rsidR="00E808B0" w:rsidRPr="00391C31">
        <w:rPr>
          <w:rFonts w:ascii="Times New Roman" w:hAnsi="Times New Roman"/>
          <w:sz w:val="24"/>
          <w:szCs w:val="24"/>
        </w:rPr>
        <w:t xml:space="preserve">at </w:t>
      </w:r>
      <w:r w:rsidR="0071527F" w:rsidRPr="00391C31">
        <w:rPr>
          <w:rFonts w:ascii="Times New Roman" w:hAnsi="Times New Roman"/>
          <w:sz w:val="24"/>
          <w:szCs w:val="24"/>
        </w:rPr>
        <w:t>1174</w:t>
      </w:r>
      <w:r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\s "Brantley v. Maxwell-Jolly, 656 F. Supp. 2d 1161 (N.D. Cal. 2009)" </w:instrText>
      </w:r>
      <w:r w:rsidRPr="00391C31">
        <w:rPr>
          <w:rFonts w:ascii="Times New Roman" w:hAnsi="Times New Roman"/>
          <w:sz w:val="24"/>
          <w:szCs w:val="24"/>
        </w:rPr>
        <w:fldChar w:fldCharType="end"/>
      </w:r>
      <w:r w:rsidR="0071527F" w:rsidRPr="00391C31">
        <w:rPr>
          <w:rFonts w:ascii="Times New Roman" w:hAnsi="Times New Roman"/>
          <w:sz w:val="24"/>
          <w:szCs w:val="24"/>
        </w:rPr>
        <w:t xml:space="preserve">.  </w:t>
      </w:r>
      <w:r w:rsidR="004129A7" w:rsidRPr="00391C31">
        <w:rPr>
          <w:rFonts w:ascii="Times New Roman" w:hAnsi="Times New Roman"/>
          <w:sz w:val="24"/>
          <w:szCs w:val="24"/>
        </w:rPr>
        <w:t xml:space="preserve"> </w:t>
      </w:r>
      <w:r w:rsidR="00082A05" w:rsidRPr="00391C31">
        <w:rPr>
          <w:rFonts w:ascii="Times New Roman" w:hAnsi="Times New Roman"/>
          <w:sz w:val="24"/>
          <w:szCs w:val="24"/>
        </w:rPr>
        <w:t xml:space="preserve">Plaintiffs have produced substantial evidence regarding the devastating effects of Defendants’ </w:t>
      </w:r>
      <w:r w:rsidR="00FB6E07" w:rsidRPr="00391C31">
        <w:rPr>
          <w:rFonts w:ascii="Times New Roman" w:hAnsi="Times New Roman"/>
          <w:sz w:val="24"/>
          <w:szCs w:val="24"/>
        </w:rPr>
        <w:t xml:space="preserve">current plan to implement termination </w:t>
      </w:r>
      <w:r w:rsidR="00082A05" w:rsidRPr="00391C31">
        <w:rPr>
          <w:rFonts w:ascii="Times New Roman" w:hAnsi="Times New Roman"/>
          <w:sz w:val="24"/>
          <w:szCs w:val="24"/>
        </w:rPr>
        <w:t xml:space="preserve">of the ADHC program, including institutionalization, deteriorating physical and mental health, and even death.  </w:t>
      </w:r>
      <w:r w:rsidR="00CA6D6E" w:rsidRPr="00391C31">
        <w:rPr>
          <w:rFonts w:ascii="Times New Roman" w:hAnsi="Times New Roman"/>
          <w:color w:val="000000"/>
          <w:sz w:val="24"/>
          <w:szCs w:val="24"/>
        </w:rPr>
        <w:t xml:space="preserve">Indeed, </w:t>
      </w:r>
      <w:r w:rsidR="00F42088" w:rsidRPr="00391C31">
        <w:rPr>
          <w:rFonts w:ascii="Times New Roman" w:hAnsi="Times New Roman"/>
          <w:color w:val="000000"/>
          <w:sz w:val="24"/>
          <w:szCs w:val="24"/>
        </w:rPr>
        <w:t>class members have already begun to enter nursing facilities and other segregated, institutional</w:t>
      </w:r>
      <w:r w:rsidR="0020417C">
        <w:rPr>
          <w:rFonts w:ascii="Times New Roman" w:hAnsi="Times New Roman"/>
          <w:color w:val="000000"/>
          <w:sz w:val="24"/>
          <w:szCs w:val="24"/>
        </w:rPr>
        <w:t xml:space="preserve"> </w:t>
      </w:r>
      <w:r w:rsidR="00F42088" w:rsidRPr="00391C31">
        <w:rPr>
          <w:rFonts w:ascii="Times New Roman" w:hAnsi="Times New Roman"/>
          <w:color w:val="000000"/>
          <w:sz w:val="24"/>
          <w:szCs w:val="24"/>
        </w:rPr>
        <w:t xml:space="preserve">settings as </w:t>
      </w:r>
      <w:r w:rsidR="00733583" w:rsidRPr="00391C31">
        <w:rPr>
          <w:rFonts w:ascii="Times New Roman" w:hAnsi="Times New Roman"/>
          <w:sz w:val="24"/>
          <w:szCs w:val="24"/>
        </w:rPr>
        <w:t xml:space="preserve">ADHC centers </w:t>
      </w:r>
      <w:r w:rsidR="00C37B21" w:rsidRPr="00391C31">
        <w:rPr>
          <w:rFonts w:ascii="Times New Roman" w:hAnsi="Times New Roman"/>
          <w:sz w:val="24"/>
          <w:szCs w:val="24"/>
        </w:rPr>
        <w:t xml:space="preserve">have begun </w:t>
      </w:r>
      <w:r w:rsidR="00733583" w:rsidRPr="00391C31">
        <w:rPr>
          <w:rFonts w:ascii="Times New Roman" w:hAnsi="Times New Roman"/>
          <w:sz w:val="24"/>
          <w:szCs w:val="24"/>
        </w:rPr>
        <w:t>to shut their doors</w:t>
      </w:r>
      <w:r w:rsidR="00F42088" w:rsidRPr="00391C31">
        <w:rPr>
          <w:rFonts w:ascii="Times New Roman" w:hAnsi="Times New Roman"/>
          <w:sz w:val="24"/>
          <w:szCs w:val="24"/>
        </w:rPr>
        <w:t xml:space="preserve"> and</w:t>
      </w:r>
      <w:r w:rsidR="00C37B21" w:rsidRPr="00391C31">
        <w:rPr>
          <w:rFonts w:ascii="Times New Roman" w:hAnsi="Times New Roman"/>
          <w:sz w:val="24"/>
          <w:szCs w:val="24"/>
        </w:rPr>
        <w:t xml:space="preserve"> </w:t>
      </w:r>
      <w:r w:rsidR="00733583" w:rsidRPr="00391C31">
        <w:rPr>
          <w:rFonts w:ascii="Times New Roman" w:hAnsi="Times New Roman"/>
          <w:sz w:val="24"/>
          <w:szCs w:val="24"/>
        </w:rPr>
        <w:t xml:space="preserve">additional centers are </w:t>
      </w:r>
      <w:r w:rsidR="00F42088" w:rsidRPr="00391C31">
        <w:rPr>
          <w:rFonts w:ascii="Times New Roman" w:hAnsi="Times New Roman"/>
          <w:sz w:val="24"/>
          <w:szCs w:val="24"/>
        </w:rPr>
        <w:t xml:space="preserve">starting </w:t>
      </w:r>
      <w:r w:rsidR="00733583" w:rsidRPr="00391C31">
        <w:rPr>
          <w:rFonts w:ascii="Times New Roman" w:hAnsi="Times New Roman"/>
          <w:sz w:val="24"/>
          <w:szCs w:val="24"/>
        </w:rPr>
        <w:t>to close</w:t>
      </w:r>
      <w:r w:rsidR="00CA6D6E" w:rsidRPr="00391C31">
        <w:rPr>
          <w:rFonts w:ascii="Times New Roman" w:hAnsi="Times New Roman"/>
          <w:sz w:val="24"/>
          <w:szCs w:val="24"/>
        </w:rPr>
        <w:t>.</w:t>
      </w:r>
      <w:r w:rsidR="0085575E" w:rsidRPr="00391C31">
        <w:rPr>
          <w:rStyle w:val="FootnoteReference"/>
          <w:rFonts w:ascii="Times New Roman" w:hAnsi="Times New Roman"/>
          <w:sz w:val="24"/>
          <w:szCs w:val="24"/>
        </w:rPr>
        <w:footnoteReference w:id="3"/>
      </w:r>
      <w:r w:rsidR="00CA6D6E" w:rsidRPr="00391C31">
        <w:rPr>
          <w:rFonts w:ascii="Times New Roman" w:hAnsi="Times New Roman"/>
          <w:sz w:val="24"/>
          <w:szCs w:val="24"/>
        </w:rPr>
        <w:t xml:space="preserve"> </w:t>
      </w:r>
      <w:r w:rsidR="004E6378" w:rsidRPr="00391C31">
        <w:rPr>
          <w:rFonts w:ascii="Times New Roman" w:hAnsi="Times New Roman"/>
          <w:sz w:val="24"/>
          <w:szCs w:val="24"/>
        </w:rPr>
        <w:t xml:space="preserve"> </w:t>
      </w:r>
    </w:p>
    <w:p w:rsidR="00733583" w:rsidRDefault="00726D1D" w:rsidP="00335E73">
      <w:pPr>
        <w:pStyle w:val="Heading"/>
        <w:outlineLvl w:val="0"/>
      </w:pPr>
      <w:r>
        <w:rPr>
          <w:noProof/>
        </w:rPr>
        <w:pict>
          <v:shape id="_x0000_s1033" type="#_x0000_t202" style="position:absolute;left:0;text-align:left;margin-left:-42.75pt;margin-top:1.15pt;width:36pt;height:10in;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Pr>
          <w:noProof/>
        </w:rPr>
        <w:pict>
          <v:shape id="_x0000_s1032" type="#_x0000_t202" style="position:absolute;left:0;text-align:left;margin-left:-46.5pt;margin-top:-7.5pt;width:36pt;height:10in;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bookmarkStart w:id="1" w:name="_Toc298266479"/>
      <w:r w:rsidR="00344C8A" w:rsidRPr="00391C31">
        <w:t>STATEMENT</w:t>
      </w:r>
      <w:r w:rsidR="00733583" w:rsidRPr="00391C31">
        <w:t xml:space="preserve"> OF FACTS</w:t>
      </w:r>
      <w:bookmarkEnd w:id="1"/>
    </w:p>
    <w:p w:rsidR="00733583" w:rsidRPr="00391C31" w:rsidRDefault="00733583" w:rsidP="00224BDF">
      <w:pPr>
        <w:pStyle w:val="SubHeading1"/>
        <w:outlineLvl w:val="1"/>
      </w:pPr>
      <w:bookmarkStart w:id="2" w:name="_Toc298266480"/>
      <w:r w:rsidRPr="00391C31">
        <w:t>Overview of the ADHC Program</w:t>
      </w:r>
      <w:bookmarkEnd w:id="2"/>
      <w:r w:rsidRPr="00391C31">
        <w:t xml:space="preserve"> </w:t>
      </w:r>
    </w:p>
    <w:p w:rsidR="00DC1A92" w:rsidRPr="00391C31" w:rsidRDefault="00733583" w:rsidP="00391C31">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 xml:space="preserve">ADHC is a community-based day program for low-income elderly individuals and younger adults with disabilities that is offered through California’s Medi-Cal State Plan.  </w:t>
      </w:r>
      <w:r w:rsidRPr="00391C31">
        <w:rPr>
          <w:rFonts w:ascii="Times New Roman" w:hAnsi="Times New Roman"/>
          <w:i/>
          <w:sz w:val="24"/>
          <w:szCs w:val="24"/>
        </w:rPr>
        <w:t>Brantley,</w:t>
      </w:r>
      <w:r w:rsidRPr="00391C31">
        <w:rPr>
          <w:rFonts w:ascii="Times New Roman" w:hAnsi="Times New Roman"/>
          <w:sz w:val="24"/>
          <w:szCs w:val="24"/>
        </w:rPr>
        <w:t xml:space="preserve"> 656 F.Supp.2d at 1164</w:t>
      </w:r>
      <w:r w:rsidR="00726D1D" w:rsidRPr="00391C31">
        <w:rPr>
          <w:rFonts w:ascii="Times New Roman" w:hAnsi="Times New Roman"/>
          <w:sz w:val="24"/>
          <w:szCs w:val="24"/>
        </w:rPr>
        <w:fldChar w:fldCharType="begin"/>
      </w:r>
      <w:r w:rsidR="00C6628B"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w:t>
      </w:r>
      <w:r w:rsidR="004606A3" w:rsidRPr="00391C31">
        <w:rPr>
          <w:rFonts w:ascii="Times New Roman" w:hAnsi="Times New Roman"/>
          <w:sz w:val="24"/>
          <w:szCs w:val="24"/>
        </w:rPr>
        <w:t xml:space="preserve">The California legislature specifically designed the ADHC program </w:t>
      </w:r>
      <w:r w:rsidR="003F1BD4">
        <w:rPr>
          <w:rFonts w:ascii="Times New Roman" w:hAnsi="Times New Roman"/>
          <w:sz w:val="24"/>
          <w:szCs w:val="24"/>
        </w:rPr>
        <w:t>as</w:t>
      </w:r>
      <w:r w:rsidR="004606A3" w:rsidRPr="00391C31">
        <w:rPr>
          <w:rFonts w:ascii="Times New Roman" w:hAnsi="Times New Roman"/>
          <w:sz w:val="24"/>
          <w:szCs w:val="24"/>
        </w:rPr>
        <w:t xml:space="preserve"> a community-based alternative to institutional care.  </w:t>
      </w:r>
      <w:r w:rsidR="004606A3" w:rsidRPr="00391C31">
        <w:rPr>
          <w:rFonts w:ascii="Times New Roman" w:hAnsi="Times New Roman"/>
          <w:i/>
          <w:sz w:val="24"/>
          <w:szCs w:val="24"/>
        </w:rPr>
        <w:t>See</w:t>
      </w:r>
      <w:r w:rsidR="004606A3" w:rsidRPr="00391C31">
        <w:rPr>
          <w:rFonts w:ascii="Times New Roman" w:hAnsi="Times New Roman"/>
          <w:sz w:val="24"/>
          <w:szCs w:val="24"/>
        </w:rPr>
        <w:t xml:space="preserve"> Cal. Health &amp; Safety Code § 1570.2</w:t>
      </w:r>
      <w:r w:rsidR="00726D1D"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Health &amp; Safety Code § 1570.2" \s "Cal. Health &amp; Safety Code § 1570.2" \c 2 </w:instrText>
      </w:r>
      <w:r w:rsidR="00726D1D" w:rsidRPr="00391C31">
        <w:rPr>
          <w:rFonts w:ascii="Times New Roman" w:hAnsi="Times New Roman"/>
          <w:sz w:val="24"/>
          <w:szCs w:val="24"/>
        </w:rPr>
        <w:fldChar w:fldCharType="end"/>
      </w:r>
      <w:r w:rsidR="004606A3" w:rsidRPr="00391C31">
        <w:rPr>
          <w:rFonts w:ascii="Times New Roman" w:hAnsi="Times New Roman"/>
          <w:sz w:val="24"/>
          <w:szCs w:val="24"/>
        </w:rPr>
        <w:t xml:space="preserve">.  Services are provided through privately-run ADHC centers throughout the </w:t>
      </w:r>
      <w:r w:rsidR="00FB7089" w:rsidRPr="00391C31">
        <w:rPr>
          <w:rFonts w:ascii="Times New Roman" w:hAnsi="Times New Roman"/>
          <w:sz w:val="24"/>
          <w:szCs w:val="24"/>
        </w:rPr>
        <w:t>S</w:t>
      </w:r>
      <w:r w:rsidR="004606A3" w:rsidRPr="00391C31">
        <w:rPr>
          <w:rFonts w:ascii="Times New Roman" w:hAnsi="Times New Roman"/>
          <w:sz w:val="24"/>
          <w:szCs w:val="24"/>
        </w:rPr>
        <w:t xml:space="preserve">tate, and each center must be licensed by DHCS.  </w:t>
      </w:r>
      <w:r w:rsidR="00DC1A92" w:rsidRPr="00391C31">
        <w:rPr>
          <w:rFonts w:ascii="Times New Roman" w:hAnsi="Times New Roman"/>
          <w:i/>
          <w:sz w:val="24"/>
          <w:szCs w:val="24"/>
        </w:rPr>
        <w:t>Brantley</w:t>
      </w:r>
      <w:r w:rsidR="00DC1A92" w:rsidRPr="00391C31">
        <w:rPr>
          <w:rFonts w:ascii="Times New Roman" w:hAnsi="Times New Roman"/>
          <w:sz w:val="24"/>
          <w:szCs w:val="24"/>
        </w:rPr>
        <w:t>, 656 F. Supp. 2d at 1164</w:t>
      </w:r>
      <w:r w:rsidR="00726D1D"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00DC1A92" w:rsidRPr="00391C31">
        <w:rPr>
          <w:rFonts w:ascii="Times New Roman" w:hAnsi="Times New Roman"/>
          <w:i/>
          <w:sz w:val="24"/>
          <w:szCs w:val="24"/>
        </w:rPr>
        <w:t>.</w:t>
      </w:r>
      <w:r w:rsidR="00DC1A92" w:rsidRPr="00391C31">
        <w:rPr>
          <w:rFonts w:ascii="Times New Roman" w:hAnsi="Times New Roman"/>
          <w:sz w:val="24"/>
          <w:szCs w:val="24"/>
        </w:rPr>
        <w:t xml:space="preserve">  There are </w:t>
      </w:r>
      <w:r w:rsidR="00E82C7F" w:rsidRPr="00B13FD4">
        <w:rPr>
          <w:rFonts w:ascii="Times New Roman" w:hAnsi="Times New Roman"/>
          <w:sz w:val="24"/>
          <w:szCs w:val="24"/>
        </w:rPr>
        <w:t xml:space="preserve">approximately </w:t>
      </w:r>
      <w:r w:rsidR="00DC1A92" w:rsidRPr="00B13FD4">
        <w:rPr>
          <w:rFonts w:ascii="Times New Roman" w:hAnsi="Times New Roman"/>
          <w:sz w:val="24"/>
          <w:szCs w:val="24"/>
        </w:rPr>
        <w:t>309 licensed</w:t>
      </w:r>
      <w:r w:rsidR="00DC1A92" w:rsidRPr="00391C31">
        <w:rPr>
          <w:rFonts w:ascii="Times New Roman" w:hAnsi="Times New Roman"/>
          <w:sz w:val="24"/>
          <w:szCs w:val="24"/>
        </w:rPr>
        <w:t xml:space="preserve"> and Medi-Cal certified ADHC centers in 34 of California’s 58 counties.  (</w:t>
      </w:r>
      <w:r w:rsidR="00533469" w:rsidRPr="00391C31">
        <w:rPr>
          <w:rFonts w:ascii="Times New Roman" w:hAnsi="Times New Roman"/>
          <w:sz w:val="24"/>
          <w:szCs w:val="24"/>
        </w:rPr>
        <w:t xml:space="preserve">Missaelides Decl. </w:t>
      </w:r>
      <w:r w:rsidR="00DC1A92" w:rsidRPr="00391C31">
        <w:rPr>
          <w:rFonts w:ascii="Times New Roman" w:hAnsi="Times New Roman"/>
          <w:sz w:val="24"/>
          <w:szCs w:val="24"/>
        </w:rPr>
        <w:t>¶¶ 38-39.)  As of May 13, 2011, those centers serve</w:t>
      </w:r>
      <w:r w:rsidR="00B13FD4">
        <w:rPr>
          <w:rFonts w:ascii="Times New Roman" w:hAnsi="Times New Roman"/>
          <w:sz w:val="24"/>
          <w:szCs w:val="24"/>
        </w:rPr>
        <w:t>d</w:t>
      </w:r>
      <w:r w:rsidR="00DC1A92" w:rsidRPr="00391C31">
        <w:rPr>
          <w:rFonts w:ascii="Times New Roman" w:hAnsi="Times New Roman"/>
          <w:sz w:val="24"/>
          <w:szCs w:val="24"/>
        </w:rPr>
        <w:t xml:space="preserve"> </w:t>
      </w:r>
      <w:r w:rsidR="00B51E3F">
        <w:rPr>
          <w:rFonts w:ascii="Times New Roman" w:hAnsi="Times New Roman"/>
          <w:sz w:val="24"/>
          <w:szCs w:val="24"/>
        </w:rPr>
        <w:t xml:space="preserve">approximately </w:t>
      </w:r>
      <w:r w:rsidR="00DC1A92" w:rsidRPr="00391C31">
        <w:rPr>
          <w:rFonts w:ascii="Times New Roman" w:hAnsi="Times New Roman"/>
          <w:sz w:val="24"/>
          <w:szCs w:val="24"/>
        </w:rPr>
        <w:t xml:space="preserve">34,735 ADHC program participants.  (Missaelides Decl. ¶ 41.) </w:t>
      </w:r>
    </w:p>
    <w:p w:rsidR="00A17CBA" w:rsidRPr="00391C31" w:rsidRDefault="00251ADC" w:rsidP="00391C31">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 xml:space="preserve">Each ADHC center </w:t>
      </w:r>
      <w:r w:rsidR="004606A3" w:rsidRPr="00391C31">
        <w:rPr>
          <w:rFonts w:ascii="Times New Roman" w:hAnsi="Times New Roman"/>
          <w:sz w:val="24"/>
          <w:szCs w:val="24"/>
        </w:rPr>
        <w:t>must</w:t>
      </w:r>
      <w:r w:rsidRPr="00391C31">
        <w:rPr>
          <w:rFonts w:ascii="Times New Roman" w:hAnsi="Times New Roman"/>
          <w:sz w:val="24"/>
          <w:szCs w:val="24"/>
        </w:rPr>
        <w:t xml:space="preserve"> directly provide the following services</w:t>
      </w:r>
      <w:r w:rsidR="004606A3" w:rsidRPr="00391C31">
        <w:rPr>
          <w:rFonts w:ascii="Times New Roman" w:hAnsi="Times New Roman"/>
          <w:sz w:val="24"/>
          <w:szCs w:val="24"/>
        </w:rPr>
        <w:t xml:space="preserve"> on-site</w:t>
      </w:r>
      <w:r w:rsidRPr="00391C31">
        <w:rPr>
          <w:rFonts w:ascii="Times New Roman" w:hAnsi="Times New Roman"/>
          <w:sz w:val="24"/>
          <w:szCs w:val="24"/>
        </w:rPr>
        <w:t xml:space="preserve">: rehabilitation services (including physical therapy, occupational therapy, and speech therapy), medical and nursing services (including skilled nursing care rendered by a professional nursing staff and other self-care services), nutrition services (including one meal per day and dietary counseling and nutrition education), psychiatric and </w:t>
      </w:r>
      <w:r w:rsidR="004606A3" w:rsidRPr="00391C31">
        <w:rPr>
          <w:rFonts w:ascii="Times New Roman" w:hAnsi="Times New Roman"/>
          <w:sz w:val="24"/>
          <w:szCs w:val="24"/>
        </w:rPr>
        <w:t>psychological services, medical social services, necessary nonmedical and medical transportation services to and from participants’ homes, and planned recreational and social activities to prevent deterioration and stimulate social interaction.</w:t>
      </w:r>
      <w:r w:rsidRPr="00391C31">
        <w:rPr>
          <w:rFonts w:ascii="Times New Roman" w:hAnsi="Times New Roman"/>
          <w:sz w:val="24"/>
          <w:szCs w:val="24"/>
        </w:rPr>
        <w:t xml:space="preserve">   </w:t>
      </w:r>
      <w:r w:rsidR="004606A3" w:rsidRPr="00391C31">
        <w:rPr>
          <w:rFonts w:ascii="Times New Roman" w:hAnsi="Times New Roman"/>
          <w:sz w:val="24"/>
          <w:szCs w:val="24"/>
        </w:rPr>
        <w:t xml:space="preserve">Cal. Code Regs. </w:t>
      </w:r>
      <w:r w:rsidR="00B51E3F">
        <w:rPr>
          <w:rFonts w:ascii="Times New Roman" w:hAnsi="Times New Roman"/>
          <w:sz w:val="24"/>
          <w:szCs w:val="24"/>
        </w:rPr>
        <w:t xml:space="preserve">tit. 22, </w:t>
      </w:r>
      <w:r w:rsidR="004606A3" w:rsidRPr="00391C31">
        <w:rPr>
          <w:rFonts w:ascii="Times New Roman" w:hAnsi="Times New Roman"/>
          <w:sz w:val="24"/>
          <w:szCs w:val="24"/>
        </w:rPr>
        <w:t>§ 54309</w:t>
      </w:r>
      <w:r w:rsidR="00B51E3F">
        <w:rPr>
          <w:rFonts w:ascii="Times New Roman" w:hAnsi="Times New Roman"/>
          <w:sz w:val="24"/>
          <w:szCs w:val="24"/>
        </w:rPr>
        <w:t xml:space="preserve"> (2010)</w:t>
      </w:r>
      <w:r w:rsidR="00726D1D"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Code &amp; Regs. </w:instrText>
      </w:r>
      <w:r w:rsidR="00B51E3F">
        <w:rPr>
          <w:rFonts w:ascii="Times New Roman" w:hAnsi="Times New Roman"/>
          <w:sz w:val="24"/>
          <w:szCs w:val="24"/>
        </w:rPr>
        <w:instrText xml:space="preserve">tit. 22, </w:instrText>
      </w:r>
      <w:r w:rsidR="00B51E3F" w:rsidRPr="00391C31">
        <w:rPr>
          <w:rFonts w:ascii="Times New Roman" w:hAnsi="Times New Roman"/>
          <w:sz w:val="24"/>
          <w:szCs w:val="24"/>
        </w:rPr>
        <w:instrText>§ 54309</w:instrText>
      </w:r>
      <w:r w:rsidR="004335A5" w:rsidRPr="00391C31">
        <w:rPr>
          <w:rFonts w:ascii="Times New Roman" w:hAnsi="Times New Roman"/>
          <w:sz w:val="24"/>
          <w:szCs w:val="24"/>
        </w:rPr>
        <w:instrText xml:space="preserve">" \s </w:instrText>
      </w:r>
      <w:r w:rsidR="009616C9">
        <w:rPr>
          <w:rFonts w:ascii="Times New Roman" w:hAnsi="Times New Roman"/>
          <w:sz w:val="24"/>
          <w:szCs w:val="24"/>
        </w:rPr>
        <w:instrText>"Cal. Code &amp; Regs. § 54309" \c 6</w:instrText>
      </w:r>
      <w:r w:rsidR="004335A5" w:rsidRPr="00391C31">
        <w:rPr>
          <w:rFonts w:ascii="Times New Roman" w:hAnsi="Times New Roman"/>
          <w:sz w:val="24"/>
          <w:szCs w:val="24"/>
        </w:rPr>
        <w:instrText xml:space="preserve"> </w:instrText>
      </w:r>
      <w:r w:rsidR="00726D1D" w:rsidRPr="00391C31">
        <w:rPr>
          <w:rFonts w:ascii="Times New Roman" w:hAnsi="Times New Roman"/>
          <w:sz w:val="24"/>
          <w:szCs w:val="24"/>
        </w:rPr>
        <w:fldChar w:fldCharType="end"/>
      </w:r>
      <w:r w:rsidR="004606A3" w:rsidRPr="00391C31">
        <w:rPr>
          <w:rFonts w:ascii="Times New Roman" w:hAnsi="Times New Roman"/>
          <w:sz w:val="24"/>
          <w:szCs w:val="24"/>
        </w:rPr>
        <w:t>.</w:t>
      </w:r>
      <w:r w:rsidR="00A17CBA" w:rsidRPr="00391C31">
        <w:rPr>
          <w:rFonts w:ascii="Times New Roman" w:hAnsi="Times New Roman"/>
          <w:sz w:val="24"/>
          <w:szCs w:val="24"/>
        </w:rPr>
        <w:t xml:space="preserve">  </w:t>
      </w:r>
      <w:r w:rsidR="00DC1A92" w:rsidRPr="00391C31">
        <w:rPr>
          <w:rFonts w:ascii="Times New Roman" w:hAnsi="Times New Roman"/>
          <w:sz w:val="24"/>
          <w:szCs w:val="24"/>
        </w:rPr>
        <w:t xml:space="preserve">The ADHC centers are authorized to provide care at a daily all-inclusive Medi-Cal rate of $76.26 for all required services.  </w:t>
      </w:r>
      <w:r w:rsidR="00533469" w:rsidRPr="00391C31">
        <w:rPr>
          <w:rFonts w:ascii="Times New Roman" w:hAnsi="Times New Roman"/>
          <w:sz w:val="24"/>
          <w:szCs w:val="24"/>
        </w:rPr>
        <w:t>(Missaelides Decl. ¶ 26.)</w:t>
      </w:r>
    </w:p>
    <w:p w:rsidR="00423811" w:rsidRDefault="00726D1D" w:rsidP="00391C31">
      <w:pPr>
        <w:autoSpaceDE w:val="0"/>
        <w:autoSpaceDN w:val="0"/>
        <w:adjustRightInd w:val="0"/>
        <w:spacing w:after="0" w:line="480" w:lineRule="exact"/>
        <w:ind w:firstLine="720"/>
        <w:rPr>
          <w:rFonts w:ascii="Times New Roman" w:hAnsi="Times New Roman"/>
          <w:sz w:val="24"/>
          <w:szCs w:val="24"/>
        </w:rPr>
      </w:pPr>
      <w:r>
        <w:rPr>
          <w:rFonts w:ascii="Times New Roman" w:hAnsi="Times New Roman"/>
          <w:noProof/>
          <w:sz w:val="24"/>
          <w:szCs w:val="24"/>
        </w:rPr>
        <w:pict>
          <v:shape id="_x0000_s1037" type="#_x0000_t202" style="position:absolute;left:0;text-align:left;margin-left:-45pt;margin-top:-.75pt;width:36pt;height:10in;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krdQIAAPw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C45290" w:rsidRPr="00391C31">
        <w:rPr>
          <w:rFonts w:ascii="Times New Roman" w:hAnsi="Times New Roman"/>
          <w:sz w:val="24"/>
          <w:szCs w:val="24"/>
        </w:rPr>
        <w:t>Authorization</w:t>
      </w:r>
      <w:r w:rsidR="00733583" w:rsidRPr="00391C31">
        <w:rPr>
          <w:rFonts w:ascii="Times New Roman" w:hAnsi="Times New Roman"/>
          <w:sz w:val="24"/>
          <w:szCs w:val="24"/>
        </w:rPr>
        <w:t xml:space="preserve"> for</w:t>
      </w:r>
      <w:r w:rsidR="002121F1" w:rsidRPr="00391C31">
        <w:rPr>
          <w:rFonts w:ascii="Times New Roman" w:hAnsi="Times New Roman"/>
          <w:sz w:val="24"/>
          <w:szCs w:val="24"/>
        </w:rPr>
        <w:t xml:space="preserve"> an individual to receive</w:t>
      </w:r>
      <w:r w:rsidR="00733583" w:rsidRPr="00391C31">
        <w:rPr>
          <w:rFonts w:ascii="Times New Roman" w:hAnsi="Times New Roman"/>
          <w:sz w:val="24"/>
          <w:szCs w:val="24"/>
        </w:rPr>
        <w:t xml:space="preserve"> </w:t>
      </w:r>
      <w:r w:rsidR="00C45290" w:rsidRPr="00391C31">
        <w:rPr>
          <w:rFonts w:ascii="Times New Roman" w:hAnsi="Times New Roman"/>
          <w:sz w:val="24"/>
          <w:szCs w:val="24"/>
        </w:rPr>
        <w:t>ADHC services</w:t>
      </w:r>
      <w:r w:rsidR="00251ADC" w:rsidRPr="00391C31">
        <w:rPr>
          <w:rFonts w:ascii="Times New Roman" w:hAnsi="Times New Roman"/>
          <w:sz w:val="24"/>
          <w:szCs w:val="24"/>
        </w:rPr>
        <w:t xml:space="preserve"> is only granted if</w:t>
      </w:r>
      <w:r w:rsidR="002121F1" w:rsidRPr="00391C31">
        <w:rPr>
          <w:rFonts w:ascii="Times New Roman" w:hAnsi="Times New Roman"/>
          <w:sz w:val="24"/>
          <w:szCs w:val="24"/>
        </w:rPr>
        <w:t xml:space="preserve"> the service is</w:t>
      </w:r>
      <w:r w:rsidR="00251ADC" w:rsidRPr="00391C31">
        <w:rPr>
          <w:rFonts w:ascii="Times New Roman" w:hAnsi="Times New Roman"/>
          <w:sz w:val="24"/>
          <w:szCs w:val="24"/>
        </w:rPr>
        <w:t xml:space="preserve"> </w:t>
      </w:r>
      <w:r w:rsidR="002121F1" w:rsidRPr="00391C31">
        <w:rPr>
          <w:rFonts w:ascii="Times New Roman" w:hAnsi="Times New Roman"/>
          <w:sz w:val="24"/>
          <w:szCs w:val="24"/>
        </w:rPr>
        <w:t xml:space="preserve">certified to be </w:t>
      </w:r>
      <w:r w:rsidR="00251ADC" w:rsidRPr="00391C31">
        <w:rPr>
          <w:rFonts w:ascii="Times New Roman" w:hAnsi="Times New Roman"/>
          <w:sz w:val="24"/>
          <w:szCs w:val="24"/>
        </w:rPr>
        <w:t xml:space="preserve">medically necessary.  </w:t>
      </w:r>
      <w:r w:rsidR="00A17CBA" w:rsidRPr="00391C31">
        <w:rPr>
          <w:rFonts w:ascii="Times New Roman" w:hAnsi="Times New Roman"/>
          <w:sz w:val="24"/>
          <w:szCs w:val="24"/>
        </w:rPr>
        <w:t>Cal. Welf. &amp; Inst. Code § 14526.1(d)</w:t>
      </w:r>
      <w:r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Welf. &amp; Inst. Code § 14526.1(d)" \s "Cal. Welf. &amp; Inst. Code § 14526.1(d)" \c 2 </w:instrText>
      </w:r>
      <w:r w:rsidRPr="00391C31">
        <w:rPr>
          <w:rFonts w:ascii="Times New Roman" w:hAnsi="Times New Roman"/>
          <w:sz w:val="24"/>
          <w:szCs w:val="24"/>
        </w:rPr>
        <w:fldChar w:fldCharType="end"/>
      </w:r>
      <w:r w:rsidR="00A17CBA" w:rsidRPr="00391C31">
        <w:rPr>
          <w:rFonts w:ascii="Times New Roman" w:hAnsi="Times New Roman"/>
          <w:sz w:val="24"/>
          <w:szCs w:val="24"/>
        </w:rPr>
        <w:t xml:space="preserve">.  </w:t>
      </w:r>
      <w:r w:rsidR="002121F1" w:rsidRPr="00391C31">
        <w:rPr>
          <w:rFonts w:ascii="Times New Roman" w:hAnsi="Times New Roman"/>
          <w:sz w:val="24"/>
          <w:szCs w:val="24"/>
        </w:rPr>
        <w:t>To be eligible for ADHC, a</w:t>
      </w:r>
      <w:r w:rsidR="00C45290" w:rsidRPr="00391C31">
        <w:rPr>
          <w:rFonts w:ascii="Times New Roman" w:hAnsi="Times New Roman"/>
          <w:sz w:val="24"/>
          <w:szCs w:val="24"/>
        </w:rPr>
        <w:t xml:space="preserve"> participant </w:t>
      </w:r>
      <w:r w:rsidR="00251ADC" w:rsidRPr="00391C31">
        <w:rPr>
          <w:rFonts w:ascii="Times New Roman" w:hAnsi="Times New Roman"/>
          <w:sz w:val="24"/>
          <w:szCs w:val="24"/>
        </w:rPr>
        <w:t xml:space="preserve">must </w:t>
      </w:r>
      <w:r w:rsidR="002121F1" w:rsidRPr="00391C31">
        <w:rPr>
          <w:rFonts w:ascii="Times New Roman" w:hAnsi="Times New Roman"/>
          <w:sz w:val="24"/>
          <w:szCs w:val="24"/>
        </w:rPr>
        <w:t>be certified in their Individual Plan of Care (“</w:t>
      </w:r>
      <w:r w:rsidR="00FA5A4F" w:rsidRPr="00391C31">
        <w:rPr>
          <w:rFonts w:ascii="Times New Roman" w:hAnsi="Times New Roman"/>
          <w:sz w:val="24"/>
          <w:szCs w:val="24"/>
        </w:rPr>
        <w:t>I</w:t>
      </w:r>
      <w:r w:rsidR="002121F1" w:rsidRPr="00391C31">
        <w:rPr>
          <w:rFonts w:ascii="Times New Roman" w:hAnsi="Times New Roman"/>
          <w:sz w:val="24"/>
          <w:szCs w:val="24"/>
        </w:rPr>
        <w:t>P</w:t>
      </w:r>
      <w:r w:rsidR="00FA5A4F" w:rsidRPr="00391C31">
        <w:rPr>
          <w:rFonts w:ascii="Times New Roman" w:hAnsi="Times New Roman"/>
          <w:sz w:val="24"/>
          <w:szCs w:val="24"/>
        </w:rPr>
        <w:t>C</w:t>
      </w:r>
      <w:r w:rsidR="002121F1" w:rsidRPr="00391C31">
        <w:rPr>
          <w:rFonts w:ascii="Times New Roman" w:hAnsi="Times New Roman"/>
          <w:sz w:val="24"/>
          <w:szCs w:val="24"/>
        </w:rPr>
        <w:t>”)</w:t>
      </w:r>
      <w:r w:rsidR="00C45290" w:rsidRPr="00391C31">
        <w:rPr>
          <w:rFonts w:ascii="Times New Roman" w:hAnsi="Times New Roman"/>
          <w:sz w:val="24"/>
          <w:szCs w:val="24"/>
        </w:rPr>
        <w:t xml:space="preserve"> </w:t>
      </w:r>
      <w:r w:rsidR="002121F1" w:rsidRPr="00391C31">
        <w:rPr>
          <w:rFonts w:ascii="Times New Roman" w:hAnsi="Times New Roman"/>
          <w:sz w:val="24"/>
          <w:szCs w:val="24"/>
        </w:rPr>
        <w:t xml:space="preserve">as having </w:t>
      </w:r>
      <w:r w:rsidR="00C45290" w:rsidRPr="00391C31">
        <w:rPr>
          <w:rFonts w:ascii="Times New Roman" w:hAnsi="Times New Roman"/>
          <w:sz w:val="24"/>
          <w:szCs w:val="24"/>
        </w:rPr>
        <w:t>“one or more chronic or post acute medical, cognitive, or mental health conditions</w:t>
      </w:r>
      <w:r w:rsidR="00251ADC" w:rsidRPr="00391C31">
        <w:rPr>
          <w:rFonts w:ascii="Times New Roman" w:hAnsi="Times New Roman"/>
          <w:sz w:val="24"/>
          <w:szCs w:val="24"/>
        </w:rPr>
        <w:t>”</w:t>
      </w:r>
      <w:r w:rsidR="00C45290" w:rsidRPr="00391C31">
        <w:rPr>
          <w:rFonts w:ascii="Times New Roman" w:hAnsi="Times New Roman"/>
          <w:sz w:val="24"/>
          <w:szCs w:val="24"/>
        </w:rPr>
        <w:t xml:space="preserve"> </w:t>
      </w:r>
      <w:r w:rsidR="00251ADC" w:rsidRPr="00391C31">
        <w:rPr>
          <w:rFonts w:ascii="Times New Roman" w:hAnsi="Times New Roman"/>
          <w:sz w:val="24"/>
          <w:szCs w:val="24"/>
        </w:rPr>
        <w:t xml:space="preserve">requiring </w:t>
      </w:r>
      <w:r w:rsidR="00C45290" w:rsidRPr="00391C31">
        <w:rPr>
          <w:rFonts w:ascii="Times New Roman" w:hAnsi="Times New Roman"/>
          <w:sz w:val="24"/>
          <w:szCs w:val="24"/>
        </w:rPr>
        <w:t>either monitoring, treatment</w:t>
      </w:r>
      <w:r w:rsidR="00251ADC" w:rsidRPr="00391C31">
        <w:rPr>
          <w:rFonts w:ascii="Times New Roman" w:hAnsi="Times New Roman"/>
          <w:sz w:val="24"/>
          <w:szCs w:val="24"/>
        </w:rPr>
        <w:t>, or intervention, “without which the participant’s condition will likely deteriorate and require emergency department visits, hospitalization or other institutionalization.”  Cal. Welf. &amp; Inst. Code § 14526.1(d)(1)</w:t>
      </w:r>
      <w:r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Welf. &amp; Inst. Code § 14526.1(d)(1)" \s "Cal. Welf. &amp; Inst. Code § 14526.1(d)(1)" \c 2 </w:instrText>
      </w:r>
      <w:r w:rsidRPr="00391C31">
        <w:rPr>
          <w:rFonts w:ascii="Times New Roman" w:hAnsi="Times New Roman"/>
          <w:sz w:val="24"/>
          <w:szCs w:val="24"/>
        </w:rPr>
        <w:fldChar w:fldCharType="end"/>
      </w:r>
      <w:r w:rsidR="002121F1" w:rsidRPr="00391C31">
        <w:rPr>
          <w:rFonts w:ascii="Times New Roman" w:hAnsi="Times New Roman"/>
          <w:sz w:val="24"/>
          <w:szCs w:val="24"/>
        </w:rPr>
        <w:t xml:space="preserve">; </w:t>
      </w:r>
      <w:r w:rsidR="00DC1A92" w:rsidRPr="00391C31">
        <w:rPr>
          <w:rFonts w:ascii="Times New Roman" w:hAnsi="Times New Roman"/>
          <w:sz w:val="24"/>
          <w:szCs w:val="24"/>
        </w:rPr>
        <w:t>(</w:t>
      </w:r>
      <w:r w:rsidR="002121F1" w:rsidRPr="00391C31">
        <w:rPr>
          <w:rFonts w:ascii="Times New Roman" w:hAnsi="Times New Roman"/>
          <w:i/>
          <w:sz w:val="24"/>
          <w:szCs w:val="24"/>
        </w:rPr>
        <w:t>see also</w:t>
      </w:r>
      <w:r w:rsidR="002121F1" w:rsidRPr="00391C31">
        <w:rPr>
          <w:rFonts w:ascii="Times New Roman" w:hAnsi="Times New Roman"/>
          <w:sz w:val="24"/>
          <w:szCs w:val="24"/>
        </w:rPr>
        <w:t xml:space="preserve"> Ex. C to Missaelides Decl.</w:t>
      </w:r>
      <w:r w:rsidR="005A5A74" w:rsidRPr="00391C31">
        <w:rPr>
          <w:rFonts w:ascii="Times New Roman" w:hAnsi="Times New Roman"/>
          <w:sz w:val="24"/>
          <w:szCs w:val="24"/>
        </w:rPr>
        <w:t>,</w:t>
      </w:r>
      <w:r w:rsidR="002121F1" w:rsidRPr="00391C31">
        <w:rPr>
          <w:rFonts w:ascii="Times New Roman" w:hAnsi="Times New Roman"/>
          <w:sz w:val="24"/>
          <w:szCs w:val="24"/>
        </w:rPr>
        <w:t xml:space="preserve"> at 2 (Medical Necessity Criterion #1)</w:t>
      </w:r>
      <w:r w:rsidR="00DC1A92" w:rsidRPr="00391C31">
        <w:rPr>
          <w:rFonts w:ascii="Times New Roman" w:hAnsi="Times New Roman"/>
          <w:sz w:val="24"/>
          <w:szCs w:val="24"/>
        </w:rPr>
        <w:t>)</w:t>
      </w:r>
      <w:r w:rsidR="00251ADC" w:rsidRPr="00391C31">
        <w:rPr>
          <w:rFonts w:ascii="Times New Roman" w:hAnsi="Times New Roman"/>
          <w:sz w:val="24"/>
          <w:szCs w:val="24"/>
        </w:rPr>
        <w:t>.  T</w:t>
      </w:r>
      <w:r w:rsidR="00C45290" w:rsidRPr="00391C31">
        <w:rPr>
          <w:rFonts w:ascii="Times New Roman" w:hAnsi="Times New Roman"/>
          <w:sz w:val="24"/>
          <w:szCs w:val="24"/>
        </w:rPr>
        <w:t xml:space="preserve">he participant’s network of non-ADHC supports must be “insufficient to maintain the individual in the community,” either because the participant lives alone and has no family or caregivers available to provide sufficient and necessary care or supervision, or because the participant lives with one or more related or unrelated individuals who are “unwilling or unable to provide sufficient </w:t>
      </w:r>
      <w:r w:rsidR="002732B3">
        <w:rPr>
          <w:rFonts w:ascii="Times New Roman" w:hAnsi="Times New Roman"/>
          <w:sz w:val="24"/>
          <w:szCs w:val="24"/>
        </w:rPr>
        <w:t xml:space="preserve">and necessary </w:t>
      </w:r>
      <w:r w:rsidR="00C45290" w:rsidRPr="00391C31">
        <w:rPr>
          <w:rFonts w:ascii="Times New Roman" w:hAnsi="Times New Roman"/>
          <w:sz w:val="24"/>
          <w:szCs w:val="24"/>
        </w:rPr>
        <w:t>care or supervision to the participant.”  Cal. Welf. &amp; Inst. Code § 14526.1 (d)(3)</w:t>
      </w:r>
      <w:r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Welf. &amp; Inst. Code § 14526.1 (d)(3)" \s "Cal. Welf. &amp; Inst. Code § 14526.1 (d)(3)" \c 2 </w:instrText>
      </w:r>
      <w:r w:rsidRPr="00391C31">
        <w:rPr>
          <w:rFonts w:ascii="Times New Roman" w:hAnsi="Times New Roman"/>
          <w:sz w:val="24"/>
          <w:szCs w:val="24"/>
        </w:rPr>
        <w:fldChar w:fldCharType="end"/>
      </w:r>
      <w:r w:rsidR="00DC1A92" w:rsidRPr="00391C31">
        <w:rPr>
          <w:rFonts w:ascii="Times New Roman" w:hAnsi="Times New Roman"/>
          <w:sz w:val="24"/>
          <w:szCs w:val="24"/>
        </w:rPr>
        <w:t>; (</w:t>
      </w:r>
      <w:r w:rsidR="002121F1" w:rsidRPr="00391C31">
        <w:rPr>
          <w:rFonts w:ascii="Times New Roman" w:hAnsi="Times New Roman"/>
          <w:i/>
          <w:sz w:val="24"/>
          <w:szCs w:val="24"/>
        </w:rPr>
        <w:t>see also</w:t>
      </w:r>
      <w:r w:rsidR="002121F1" w:rsidRPr="00391C31">
        <w:rPr>
          <w:rFonts w:ascii="Times New Roman" w:hAnsi="Times New Roman"/>
          <w:sz w:val="24"/>
          <w:szCs w:val="24"/>
        </w:rPr>
        <w:t xml:space="preserve"> Ex. C to Missaelides Decl.</w:t>
      </w:r>
      <w:r w:rsidR="005A5A74" w:rsidRPr="00391C31">
        <w:rPr>
          <w:rFonts w:ascii="Times New Roman" w:hAnsi="Times New Roman"/>
          <w:sz w:val="24"/>
          <w:szCs w:val="24"/>
        </w:rPr>
        <w:t>,</w:t>
      </w:r>
      <w:r w:rsidR="002121F1" w:rsidRPr="00391C31">
        <w:rPr>
          <w:rFonts w:ascii="Times New Roman" w:hAnsi="Times New Roman"/>
          <w:sz w:val="24"/>
          <w:szCs w:val="24"/>
        </w:rPr>
        <w:t xml:space="preserve"> at 3 (Medical Necessity Criterion #3)</w:t>
      </w:r>
      <w:r w:rsidR="00DC1A92" w:rsidRPr="00391C31">
        <w:rPr>
          <w:rFonts w:ascii="Times New Roman" w:hAnsi="Times New Roman"/>
          <w:sz w:val="24"/>
          <w:szCs w:val="24"/>
        </w:rPr>
        <w:t>)</w:t>
      </w:r>
      <w:r w:rsidR="00C45290" w:rsidRPr="00391C31">
        <w:rPr>
          <w:rFonts w:ascii="Times New Roman" w:hAnsi="Times New Roman"/>
          <w:sz w:val="24"/>
          <w:szCs w:val="24"/>
        </w:rPr>
        <w:t>.</w:t>
      </w:r>
      <w:r w:rsidR="00251ADC" w:rsidRPr="00391C31">
        <w:rPr>
          <w:rFonts w:ascii="Times New Roman" w:hAnsi="Times New Roman"/>
          <w:sz w:val="24"/>
          <w:szCs w:val="24"/>
        </w:rPr>
        <w:t xml:space="preserve">  </w:t>
      </w:r>
      <w:r w:rsidR="00C45290" w:rsidRPr="00391C31">
        <w:rPr>
          <w:rFonts w:ascii="Times New Roman" w:hAnsi="Times New Roman"/>
          <w:sz w:val="24"/>
          <w:szCs w:val="24"/>
        </w:rPr>
        <w:t>T</w:t>
      </w:r>
      <w:r w:rsidR="00733583" w:rsidRPr="00391C31">
        <w:rPr>
          <w:rFonts w:ascii="Times New Roman" w:hAnsi="Times New Roman"/>
          <w:sz w:val="24"/>
          <w:szCs w:val="24"/>
        </w:rPr>
        <w:t xml:space="preserve">he participant must </w:t>
      </w:r>
      <w:r w:rsidR="00C45290" w:rsidRPr="00391C31">
        <w:rPr>
          <w:rFonts w:ascii="Times New Roman" w:hAnsi="Times New Roman"/>
          <w:sz w:val="24"/>
          <w:szCs w:val="24"/>
        </w:rPr>
        <w:t xml:space="preserve">also </w:t>
      </w:r>
      <w:r w:rsidR="00733583" w:rsidRPr="00391C31">
        <w:rPr>
          <w:rFonts w:ascii="Times New Roman" w:hAnsi="Times New Roman"/>
          <w:sz w:val="24"/>
          <w:szCs w:val="24"/>
        </w:rPr>
        <w:t>be certified as having a “high potential</w:t>
      </w:r>
      <w:r w:rsidR="00C45290" w:rsidRPr="00391C31">
        <w:rPr>
          <w:rFonts w:ascii="Times New Roman" w:hAnsi="Times New Roman"/>
          <w:sz w:val="24"/>
          <w:szCs w:val="24"/>
        </w:rPr>
        <w:t xml:space="preserve"> … </w:t>
      </w:r>
      <w:r w:rsidR="00733583" w:rsidRPr="00391C31">
        <w:rPr>
          <w:rFonts w:ascii="Times New Roman" w:hAnsi="Times New Roman"/>
          <w:sz w:val="24"/>
          <w:szCs w:val="24"/>
        </w:rPr>
        <w:t>for the deterioration of</w:t>
      </w:r>
      <w:r w:rsidR="00C45290" w:rsidRPr="00391C31">
        <w:rPr>
          <w:rFonts w:ascii="Times New Roman" w:hAnsi="Times New Roman"/>
          <w:sz w:val="24"/>
          <w:szCs w:val="24"/>
        </w:rPr>
        <w:t xml:space="preserve"> the participant’s</w:t>
      </w:r>
      <w:r w:rsidR="00733583" w:rsidRPr="00391C31">
        <w:rPr>
          <w:rFonts w:ascii="Times New Roman" w:hAnsi="Times New Roman"/>
          <w:sz w:val="24"/>
          <w:szCs w:val="24"/>
        </w:rPr>
        <w:t xml:space="preserve"> medical, cognitive, or mental health condition or conditions in a manner likely to result in emergency department visits, hospitalization or other institutionalization if ADHC services are not provid</w:t>
      </w:r>
      <w:r w:rsidR="00FA5A4F" w:rsidRPr="00391C31">
        <w:rPr>
          <w:rFonts w:ascii="Times New Roman" w:hAnsi="Times New Roman"/>
          <w:sz w:val="24"/>
          <w:szCs w:val="24"/>
        </w:rPr>
        <w:t>e</w:t>
      </w:r>
      <w:r w:rsidR="005350AB">
        <w:rPr>
          <w:rFonts w:ascii="Times New Roman" w:hAnsi="Times New Roman"/>
          <w:sz w:val="24"/>
          <w:szCs w:val="24"/>
        </w:rPr>
        <w:t xml:space="preserve">d.”  Cal. Welf. &amp; Inst. Code </w:t>
      </w:r>
      <w:r w:rsidR="00FA5A4F" w:rsidRPr="00391C31">
        <w:rPr>
          <w:rFonts w:ascii="Times New Roman" w:hAnsi="Times New Roman"/>
          <w:sz w:val="24"/>
          <w:szCs w:val="24"/>
        </w:rPr>
        <w:t>§</w:t>
      </w:r>
      <w:r w:rsidR="00733583" w:rsidRPr="00391C31">
        <w:rPr>
          <w:rFonts w:ascii="Times New Roman" w:hAnsi="Times New Roman"/>
          <w:sz w:val="24"/>
          <w:szCs w:val="24"/>
        </w:rPr>
        <w:t xml:space="preserve"> 14526.1(d)(4)</w:t>
      </w:r>
      <w:r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Welf. &amp; Inst. Code    § 14526.1(d)(4)" \s "Cal. Welf. &amp; Inst. Code    § 14526.1(d)(4)" \c 2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r w:rsidR="00DC1A92" w:rsidRPr="00391C31">
        <w:rPr>
          <w:rFonts w:ascii="Times New Roman" w:hAnsi="Times New Roman"/>
          <w:sz w:val="24"/>
          <w:szCs w:val="24"/>
        </w:rPr>
        <w:t>(</w:t>
      </w:r>
      <w:r w:rsidR="002121F1" w:rsidRPr="00391C31">
        <w:rPr>
          <w:rFonts w:ascii="Times New Roman" w:hAnsi="Times New Roman"/>
          <w:i/>
          <w:sz w:val="24"/>
          <w:szCs w:val="24"/>
        </w:rPr>
        <w:t>see also</w:t>
      </w:r>
      <w:r w:rsidR="002121F1" w:rsidRPr="00391C31">
        <w:rPr>
          <w:rFonts w:ascii="Times New Roman" w:hAnsi="Times New Roman"/>
          <w:sz w:val="24"/>
          <w:szCs w:val="24"/>
        </w:rPr>
        <w:t xml:space="preserve"> Ex. C to Missaelides Decl.</w:t>
      </w:r>
      <w:r w:rsidR="005A5A74" w:rsidRPr="00391C31">
        <w:rPr>
          <w:rFonts w:ascii="Times New Roman" w:hAnsi="Times New Roman"/>
          <w:sz w:val="24"/>
          <w:szCs w:val="24"/>
        </w:rPr>
        <w:t>,</w:t>
      </w:r>
      <w:r w:rsidR="002121F1" w:rsidRPr="00391C31">
        <w:rPr>
          <w:rFonts w:ascii="Times New Roman" w:hAnsi="Times New Roman"/>
          <w:sz w:val="24"/>
          <w:szCs w:val="24"/>
        </w:rPr>
        <w:t xml:space="preserve"> at 5 (Medical Necessity Criterion #4)</w:t>
      </w:r>
      <w:r w:rsidR="00DC1A92" w:rsidRPr="00391C31">
        <w:rPr>
          <w:rFonts w:ascii="Times New Roman" w:hAnsi="Times New Roman"/>
          <w:sz w:val="24"/>
          <w:szCs w:val="24"/>
        </w:rPr>
        <w:t>)</w:t>
      </w:r>
      <w:r w:rsidR="00733583" w:rsidRPr="00391C31">
        <w:rPr>
          <w:rFonts w:ascii="Times New Roman" w:hAnsi="Times New Roman"/>
          <w:sz w:val="24"/>
          <w:szCs w:val="24"/>
        </w:rPr>
        <w:t>.</w:t>
      </w:r>
      <w:r w:rsidR="002121F1" w:rsidRPr="00391C31">
        <w:rPr>
          <w:rFonts w:ascii="Times New Roman" w:hAnsi="Times New Roman"/>
          <w:sz w:val="24"/>
          <w:szCs w:val="24"/>
        </w:rPr>
        <w:t xml:space="preserve">  Each participant’s IPC must also state the individualized ADHC services that the participant’s condition or conditions require each day, and </w:t>
      </w:r>
      <w:r w:rsidR="005A5A74" w:rsidRPr="00391C31">
        <w:rPr>
          <w:rFonts w:ascii="Times New Roman" w:hAnsi="Times New Roman"/>
          <w:sz w:val="24"/>
          <w:szCs w:val="24"/>
        </w:rPr>
        <w:t>such</w:t>
      </w:r>
      <w:r w:rsidR="002121F1" w:rsidRPr="00391C31">
        <w:rPr>
          <w:rFonts w:ascii="Times New Roman" w:hAnsi="Times New Roman"/>
          <w:sz w:val="24"/>
          <w:szCs w:val="24"/>
        </w:rPr>
        <w:t xml:space="preserve"> services must be “designed to maintain the ability of the participant to remain in the community and avoid emergency department visits, hospitalizations</w:t>
      </w:r>
      <w:r w:rsidR="00DC1A92" w:rsidRPr="00391C31">
        <w:rPr>
          <w:rFonts w:ascii="Times New Roman" w:hAnsi="Times New Roman"/>
          <w:sz w:val="24"/>
          <w:szCs w:val="24"/>
        </w:rPr>
        <w:t xml:space="preserve"> or other institutionalization.”</w:t>
      </w:r>
      <w:r w:rsidR="002121F1" w:rsidRPr="00391C31">
        <w:rPr>
          <w:rFonts w:ascii="Times New Roman" w:hAnsi="Times New Roman"/>
          <w:sz w:val="24"/>
          <w:szCs w:val="24"/>
        </w:rPr>
        <w:t xml:space="preserve">  Cal. Welf. &amp; Inst. Code §</w:t>
      </w:r>
      <w:r w:rsidR="00E22682">
        <w:rPr>
          <w:rFonts w:ascii="Times New Roman" w:hAnsi="Times New Roman"/>
          <w:sz w:val="24"/>
          <w:szCs w:val="24"/>
        </w:rPr>
        <w:t> </w:t>
      </w:r>
      <w:r w:rsidR="002121F1" w:rsidRPr="00391C31">
        <w:rPr>
          <w:rFonts w:ascii="Times New Roman" w:hAnsi="Times New Roman"/>
          <w:sz w:val="24"/>
          <w:szCs w:val="24"/>
        </w:rPr>
        <w:t>14526.1(d)(5)</w:t>
      </w:r>
      <w:r w:rsidRPr="00391C31">
        <w:rPr>
          <w:rFonts w:ascii="Times New Roman" w:hAnsi="Times New Roman"/>
          <w:sz w:val="24"/>
          <w:szCs w:val="24"/>
        </w:rPr>
        <w:fldChar w:fldCharType="begin"/>
      </w:r>
      <w:r w:rsidR="004335A5" w:rsidRPr="00391C31">
        <w:rPr>
          <w:rFonts w:ascii="Times New Roman" w:hAnsi="Times New Roman"/>
          <w:sz w:val="24"/>
          <w:szCs w:val="24"/>
        </w:rPr>
        <w:instrText xml:space="preserve"> TA \l "Cal. Welf. &amp; Inst. Code § 14526.1(d)(5)" \s "Cal. Welf. &amp; Inst. Code §§ 14526.1(d)(5)" \c 2 </w:instrText>
      </w:r>
      <w:r w:rsidRPr="00391C31">
        <w:rPr>
          <w:rFonts w:ascii="Times New Roman" w:hAnsi="Times New Roman"/>
          <w:sz w:val="24"/>
          <w:szCs w:val="24"/>
        </w:rPr>
        <w:fldChar w:fldCharType="end"/>
      </w:r>
      <w:r w:rsidR="002121F1" w:rsidRPr="00391C31">
        <w:rPr>
          <w:rFonts w:ascii="Times New Roman" w:hAnsi="Times New Roman"/>
          <w:sz w:val="24"/>
          <w:szCs w:val="24"/>
        </w:rPr>
        <w:t>;</w:t>
      </w:r>
      <w:r w:rsidR="00DC1A92" w:rsidRPr="00391C31">
        <w:rPr>
          <w:rFonts w:ascii="Times New Roman" w:hAnsi="Times New Roman"/>
          <w:sz w:val="24"/>
          <w:szCs w:val="24"/>
        </w:rPr>
        <w:t xml:space="preserve"> (</w:t>
      </w:r>
      <w:r w:rsidR="002121F1" w:rsidRPr="00391C31">
        <w:rPr>
          <w:rFonts w:ascii="Times New Roman" w:hAnsi="Times New Roman"/>
          <w:i/>
          <w:sz w:val="24"/>
          <w:szCs w:val="24"/>
        </w:rPr>
        <w:t>see also</w:t>
      </w:r>
      <w:r w:rsidR="002121F1" w:rsidRPr="00391C31">
        <w:rPr>
          <w:rFonts w:ascii="Times New Roman" w:hAnsi="Times New Roman"/>
          <w:sz w:val="24"/>
          <w:szCs w:val="24"/>
        </w:rPr>
        <w:t xml:space="preserve"> Ex. C to Missaelides Decl.</w:t>
      </w:r>
      <w:r w:rsidR="005A5A74" w:rsidRPr="00391C31">
        <w:rPr>
          <w:rFonts w:ascii="Times New Roman" w:hAnsi="Times New Roman"/>
          <w:sz w:val="24"/>
          <w:szCs w:val="24"/>
        </w:rPr>
        <w:t>,</w:t>
      </w:r>
      <w:r w:rsidR="002121F1" w:rsidRPr="00391C31">
        <w:rPr>
          <w:rFonts w:ascii="Times New Roman" w:hAnsi="Times New Roman"/>
          <w:sz w:val="24"/>
          <w:szCs w:val="24"/>
        </w:rPr>
        <w:t xml:space="preserve"> at 6 (Medical Necessity Criterion #5)</w:t>
      </w:r>
      <w:r w:rsidR="00DC1A92" w:rsidRPr="00391C31">
        <w:rPr>
          <w:rFonts w:ascii="Times New Roman" w:hAnsi="Times New Roman"/>
          <w:sz w:val="24"/>
          <w:szCs w:val="24"/>
        </w:rPr>
        <w:t>)</w:t>
      </w:r>
      <w:r w:rsidR="002121F1" w:rsidRPr="00391C31">
        <w:rPr>
          <w:rFonts w:ascii="Times New Roman" w:hAnsi="Times New Roman"/>
          <w:sz w:val="24"/>
          <w:szCs w:val="24"/>
        </w:rPr>
        <w:t>.</w:t>
      </w:r>
    </w:p>
    <w:p w:rsidR="002121F1" w:rsidRPr="00391C31" w:rsidRDefault="002121F1" w:rsidP="00391C31">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 xml:space="preserve">  </w:t>
      </w:r>
    </w:p>
    <w:p w:rsidR="00733583" w:rsidRPr="00391C31" w:rsidRDefault="00726D1D" w:rsidP="00335E73">
      <w:pPr>
        <w:pStyle w:val="SubHeading1"/>
        <w:outlineLvl w:val="1"/>
      </w:pPr>
      <w:r>
        <w:rPr>
          <w:noProof/>
        </w:rPr>
        <w:pict>
          <v:shape id="_x0000_s1035" type="#_x0000_t202" style="position:absolute;left:0;text-align:left;margin-left:-43.5pt;margin-top:1.5pt;width:36pt;height:10in;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MRdQIAAPs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bookmarkStart w:id="3" w:name="_Toc298266481"/>
      <w:r w:rsidR="00733583" w:rsidRPr="00391C31">
        <w:t>Elimination of ADHC Under A</w:t>
      </w:r>
      <w:r w:rsidR="001B5ECB" w:rsidRPr="00391C31">
        <w:t xml:space="preserve">ssembly Bill </w:t>
      </w:r>
      <w:r w:rsidR="00733583" w:rsidRPr="00391C31">
        <w:t>97</w:t>
      </w:r>
      <w:bookmarkEnd w:id="3"/>
      <w:r w:rsidR="00733583" w:rsidRPr="00391C31">
        <w:t xml:space="preserve"> </w:t>
      </w:r>
    </w:p>
    <w:p w:rsidR="0068306A" w:rsidRPr="00391C31" w:rsidRDefault="00733583" w:rsidP="00391C31">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 xml:space="preserve">On March 24, 2011, Governor </w:t>
      </w:r>
      <w:r w:rsidR="007803C9" w:rsidRPr="00391C31">
        <w:rPr>
          <w:rFonts w:ascii="Times New Roman" w:hAnsi="Times New Roman"/>
          <w:sz w:val="24"/>
          <w:szCs w:val="24"/>
        </w:rPr>
        <w:t xml:space="preserve">Jerry </w:t>
      </w:r>
      <w:r w:rsidRPr="00391C31">
        <w:rPr>
          <w:rFonts w:ascii="Times New Roman" w:hAnsi="Times New Roman"/>
          <w:sz w:val="24"/>
          <w:szCs w:val="24"/>
        </w:rPr>
        <w:t xml:space="preserve">Brown signed Assembly Bill 97 (Chapter 3, Statutes 2011) (“AB 97”), which </w:t>
      </w:r>
      <w:r w:rsidR="00AC2731" w:rsidRPr="00391C31">
        <w:rPr>
          <w:rFonts w:ascii="Times New Roman" w:hAnsi="Times New Roman"/>
          <w:sz w:val="24"/>
          <w:szCs w:val="24"/>
        </w:rPr>
        <w:t xml:space="preserve">provides for the </w:t>
      </w:r>
      <w:r w:rsidRPr="00391C31">
        <w:rPr>
          <w:rFonts w:ascii="Times New Roman" w:hAnsi="Times New Roman"/>
          <w:sz w:val="24"/>
          <w:szCs w:val="24"/>
        </w:rPr>
        <w:t>eliminat</w:t>
      </w:r>
      <w:r w:rsidR="00AC2731" w:rsidRPr="00391C31">
        <w:rPr>
          <w:rFonts w:ascii="Times New Roman" w:hAnsi="Times New Roman"/>
          <w:sz w:val="24"/>
          <w:szCs w:val="24"/>
        </w:rPr>
        <w:t>ion of</w:t>
      </w:r>
      <w:r w:rsidRPr="00391C31">
        <w:rPr>
          <w:rFonts w:ascii="Times New Roman" w:hAnsi="Times New Roman"/>
          <w:sz w:val="24"/>
          <w:szCs w:val="24"/>
        </w:rPr>
        <w:t xml:space="preserve"> ADHC as an optional benefit</w:t>
      </w:r>
      <w:r w:rsidR="00AC2731" w:rsidRPr="00391C31">
        <w:rPr>
          <w:rFonts w:ascii="Times New Roman" w:hAnsi="Times New Roman"/>
          <w:sz w:val="24"/>
          <w:szCs w:val="24"/>
        </w:rPr>
        <w:t xml:space="preserve"> under the California State Medicaid Plan</w:t>
      </w:r>
      <w:r w:rsidRPr="00391C31">
        <w:rPr>
          <w:rFonts w:ascii="Times New Roman" w:hAnsi="Times New Roman"/>
          <w:sz w:val="24"/>
          <w:szCs w:val="24"/>
        </w:rPr>
        <w:t xml:space="preserve">.  </w:t>
      </w:r>
      <w:r w:rsidR="00752840" w:rsidRPr="00391C31">
        <w:rPr>
          <w:rFonts w:ascii="Times New Roman" w:hAnsi="Times New Roman"/>
          <w:i/>
          <w:sz w:val="24"/>
          <w:szCs w:val="24"/>
        </w:rPr>
        <w:t>See</w:t>
      </w:r>
      <w:r w:rsidR="00752840" w:rsidRPr="00391C31">
        <w:rPr>
          <w:rFonts w:ascii="Times New Roman" w:hAnsi="Times New Roman"/>
          <w:sz w:val="24"/>
          <w:szCs w:val="24"/>
        </w:rPr>
        <w:t xml:space="preserve"> </w:t>
      </w:r>
      <w:r w:rsidRPr="00391C31">
        <w:rPr>
          <w:rFonts w:ascii="Times New Roman" w:hAnsi="Times New Roman"/>
          <w:sz w:val="24"/>
          <w:szCs w:val="24"/>
        </w:rPr>
        <w:t>Cal. Welf. &amp; Inst. Code</w:t>
      </w:r>
      <w:r w:rsidR="0059223B" w:rsidRPr="00391C31">
        <w:rPr>
          <w:rFonts w:ascii="Times New Roman" w:hAnsi="Times New Roman"/>
          <w:sz w:val="24"/>
          <w:szCs w:val="24"/>
        </w:rPr>
        <w:t xml:space="preserve"> </w:t>
      </w:r>
      <w:r w:rsidRPr="00391C31">
        <w:rPr>
          <w:rFonts w:ascii="Times New Roman" w:hAnsi="Times New Roman"/>
          <w:sz w:val="24"/>
          <w:szCs w:val="24"/>
        </w:rPr>
        <w:t>§§</w:t>
      </w:r>
      <w:r w:rsidR="0059223B" w:rsidRPr="00391C31">
        <w:rPr>
          <w:rFonts w:ascii="Times New Roman" w:hAnsi="Times New Roman"/>
          <w:sz w:val="24"/>
          <w:szCs w:val="24"/>
        </w:rPr>
        <w:t xml:space="preserve"> </w:t>
      </w:r>
      <w:r w:rsidRPr="00391C31">
        <w:rPr>
          <w:rFonts w:ascii="Times New Roman" w:hAnsi="Times New Roman"/>
          <w:sz w:val="24"/>
          <w:szCs w:val="24"/>
        </w:rPr>
        <w:t>14589(b)</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"Cal. Welf. &amp; Inst. Code § 14589(b)" </w:instrText>
      </w:r>
      <w:r w:rsidR="00726D1D" w:rsidRPr="00391C31">
        <w:rPr>
          <w:rFonts w:ascii="Times New Roman" w:hAnsi="Times New Roman"/>
          <w:sz w:val="24"/>
          <w:szCs w:val="24"/>
        </w:rPr>
        <w:fldChar w:fldCharType="end"/>
      </w:r>
      <w:r w:rsidR="0059223B" w:rsidRPr="00391C31">
        <w:rPr>
          <w:rFonts w:ascii="Times New Roman" w:hAnsi="Times New Roman"/>
          <w:sz w:val="24"/>
          <w:szCs w:val="24"/>
        </w:rPr>
        <w:t>, 14589.5</w:t>
      </w:r>
      <w:r w:rsidR="00752840" w:rsidRPr="00391C31">
        <w:rPr>
          <w:rFonts w:ascii="Times New Roman" w:hAnsi="Times New Roman"/>
          <w:sz w:val="24"/>
          <w:szCs w:val="24"/>
        </w:rPr>
        <w:t>.</w:t>
      </w:r>
      <w:r w:rsidRPr="00391C31">
        <w:rPr>
          <w:rFonts w:ascii="Times New Roman" w:hAnsi="Times New Roman"/>
          <w:sz w:val="24"/>
          <w:szCs w:val="24"/>
        </w:rPr>
        <w:t xml:space="preserve">  On May 12, 2011, Defendants submitted a State Plan Amendment (“SPA”) to </w:t>
      </w:r>
      <w:r w:rsidR="00AC2731" w:rsidRPr="00391C31">
        <w:rPr>
          <w:rFonts w:ascii="Times New Roman" w:hAnsi="Times New Roman"/>
          <w:sz w:val="24"/>
          <w:szCs w:val="24"/>
        </w:rPr>
        <w:t xml:space="preserve">the </w:t>
      </w:r>
      <w:r w:rsidRPr="00391C31">
        <w:rPr>
          <w:rFonts w:ascii="Times New Roman" w:hAnsi="Times New Roman"/>
          <w:sz w:val="24"/>
          <w:szCs w:val="24"/>
        </w:rPr>
        <w:t xml:space="preserve">Centers for Medicare and Medicaid Services (“CMS”), </w:t>
      </w:r>
      <w:r w:rsidR="00921B10" w:rsidRPr="00391C31">
        <w:rPr>
          <w:rFonts w:ascii="Times New Roman" w:hAnsi="Times New Roman"/>
          <w:sz w:val="24"/>
          <w:szCs w:val="24"/>
        </w:rPr>
        <w:t xml:space="preserve">requesting approval </w:t>
      </w:r>
      <w:r w:rsidR="00807FF0" w:rsidRPr="00391C31">
        <w:rPr>
          <w:rFonts w:ascii="Times New Roman" w:hAnsi="Times New Roman"/>
          <w:sz w:val="24"/>
          <w:szCs w:val="24"/>
        </w:rPr>
        <w:t>to</w:t>
      </w:r>
      <w:r w:rsidRPr="00391C31">
        <w:rPr>
          <w:rFonts w:ascii="Times New Roman" w:hAnsi="Times New Roman"/>
          <w:sz w:val="24"/>
          <w:szCs w:val="24"/>
        </w:rPr>
        <w:t xml:space="preserve"> eliminate ADHC </w:t>
      </w:r>
      <w:r w:rsidR="0051480F" w:rsidRPr="00391C31">
        <w:rPr>
          <w:rFonts w:ascii="Times New Roman" w:hAnsi="Times New Roman"/>
          <w:bCs/>
          <w:sz w:val="24"/>
          <w:szCs w:val="24"/>
        </w:rPr>
        <w:t>effective</w:t>
      </w:r>
      <w:r w:rsidRPr="00391C31">
        <w:rPr>
          <w:rFonts w:ascii="Times New Roman" w:hAnsi="Times New Roman"/>
          <w:bCs/>
          <w:sz w:val="24"/>
          <w:szCs w:val="24"/>
        </w:rPr>
        <w:t xml:space="preserve"> September 1, 2011</w:t>
      </w:r>
      <w:r w:rsidRPr="00391C31">
        <w:rPr>
          <w:rFonts w:ascii="Times New Roman" w:hAnsi="Times New Roman"/>
          <w:sz w:val="24"/>
          <w:szCs w:val="24"/>
        </w:rPr>
        <w:t>.</w:t>
      </w:r>
      <w:r w:rsidR="00BE4C0A" w:rsidRPr="00391C31">
        <w:rPr>
          <w:rStyle w:val="FootnoteReference"/>
          <w:rFonts w:ascii="Times New Roman" w:hAnsi="Times New Roman"/>
          <w:sz w:val="24"/>
          <w:szCs w:val="24"/>
        </w:rPr>
        <w:footnoteReference w:id="4"/>
      </w:r>
      <w:r w:rsidR="00BE4C0A" w:rsidRPr="00391C31">
        <w:rPr>
          <w:rFonts w:ascii="Times New Roman" w:hAnsi="Times New Roman"/>
          <w:sz w:val="24"/>
          <w:szCs w:val="24"/>
        </w:rPr>
        <w:t xml:space="preserve"> </w:t>
      </w:r>
      <w:r w:rsidRPr="00391C31">
        <w:rPr>
          <w:rFonts w:ascii="Times New Roman" w:hAnsi="Times New Roman"/>
          <w:sz w:val="24"/>
          <w:szCs w:val="24"/>
        </w:rPr>
        <w:t xml:space="preserve">  (</w:t>
      </w:r>
      <w:r w:rsidR="00752840" w:rsidRPr="00391C31">
        <w:rPr>
          <w:rFonts w:ascii="Times New Roman" w:hAnsi="Times New Roman"/>
          <w:i/>
          <w:sz w:val="24"/>
          <w:szCs w:val="24"/>
        </w:rPr>
        <w:t>See</w:t>
      </w:r>
      <w:r w:rsidR="00752840" w:rsidRPr="00391C31">
        <w:rPr>
          <w:rFonts w:ascii="Times New Roman" w:hAnsi="Times New Roman"/>
          <w:sz w:val="24"/>
          <w:szCs w:val="24"/>
        </w:rPr>
        <w:t xml:space="preserve"> Ex. K to Missaelides Decl</w:t>
      </w:r>
      <w:r w:rsidRPr="00391C31">
        <w:rPr>
          <w:rFonts w:ascii="Times New Roman" w:hAnsi="Times New Roman"/>
          <w:sz w:val="24"/>
          <w:szCs w:val="24"/>
        </w:rPr>
        <w:t xml:space="preserve">.) </w:t>
      </w:r>
      <w:r w:rsidR="0068306A" w:rsidRPr="00391C31">
        <w:rPr>
          <w:rFonts w:ascii="Times New Roman" w:hAnsi="Times New Roman"/>
          <w:sz w:val="24"/>
          <w:szCs w:val="24"/>
        </w:rPr>
        <w:t xml:space="preserve"> CMS </w:t>
      </w:r>
      <w:r w:rsidR="00FB7089" w:rsidRPr="00391C31">
        <w:rPr>
          <w:rFonts w:ascii="Times New Roman" w:hAnsi="Times New Roman"/>
          <w:sz w:val="24"/>
          <w:szCs w:val="24"/>
        </w:rPr>
        <w:t>recently granted approval of this SPA</w:t>
      </w:r>
      <w:r w:rsidR="00921B10" w:rsidRPr="00391C31">
        <w:rPr>
          <w:rFonts w:ascii="Times New Roman" w:hAnsi="Times New Roman"/>
          <w:sz w:val="24"/>
          <w:szCs w:val="24"/>
        </w:rPr>
        <w:t>, establishing September 1, 2011 as the effective date for the elimination of ADHC</w:t>
      </w:r>
      <w:r w:rsidR="0068306A" w:rsidRPr="00391C31">
        <w:rPr>
          <w:rFonts w:ascii="Times New Roman" w:hAnsi="Times New Roman"/>
          <w:sz w:val="24"/>
          <w:szCs w:val="24"/>
        </w:rPr>
        <w:t xml:space="preserve">. </w:t>
      </w:r>
      <w:r w:rsidR="0068306A" w:rsidRPr="00B13FD4">
        <w:rPr>
          <w:rFonts w:ascii="Times New Roman" w:hAnsi="Times New Roman"/>
          <w:sz w:val="24"/>
          <w:szCs w:val="24"/>
        </w:rPr>
        <w:t>(</w:t>
      </w:r>
      <w:r w:rsidR="0068306A" w:rsidRPr="00B13FD4">
        <w:rPr>
          <w:rFonts w:ascii="Times New Roman" w:hAnsi="Times New Roman"/>
          <w:i/>
          <w:sz w:val="24"/>
          <w:szCs w:val="24"/>
        </w:rPr>
        <w:t>See</w:t>
      </w:r>
      <w:r w:rsidR="0068306A" w:rsidRPr="00B13FD4">
        <w:rPr>
          <w:rFonts w:ascii="Times New Roman" w:hAnsi="Times New Roman"/>
          <w:sz w:val="24"/>
          <w:szCs w:val="24"/>
        </w:rPr>
        <w:t xml:space="preserve"> Ex. </w:t>
      </w:r>
      <w:r w:rsidR="00657407" w:rsidRPr="00B13FD4">
        <w:rPr>
          <w:rFonts w:ascii="Times New Roman" w:hAnsi="Times New Roman"/>
          <w:sz w:val="24"/>
          <w:szCs w:val="24"/>
        </w:rPr>
        <w:t>A</w:t>
      </w:r>
      <w:r w:rsidR="0068306A" w:rsidRPr="00B13FD4">
        <w:rPr>
          <w:rFonts w:ascii="Times New Roman" w:hAnsi="Times New Roman"/>
          <w:sz w:val="24"/>
          <w:szCs w:val="24"/>
        </w:rPr>
        <w:t xml:space="preserve"> </w:t>
      </w:r>
      <w:r w:rsidR="00423811">
        <w:rPr>
          <w:rFonts w:ascii="Times New Roman" w:hAnsi="Times New Roman"/>
          <w:sz w:val="24"/>
          <w:szCs w:val="24"/>
        </w:rPr>
        <w:t xml:space="preserve">to </w:t>
      </w:r>
      <w:r w:rsidR="00DE1F67">
        <w:rPr>
          <w:rFonts w:ascii="Times New Roman" w:hAnsi="Times New Roman"/>
          <w:sz w:val="24"/>
          <w:szCs w:val="24"/>
        </w:rPr>
        <w:t>Suppl. Missaelides Decl.</w:t>
      </w:r>
      <w:r w:rsidR="00B13FD4">
        <w:rPr>
          <w:rFonts w:ascii="Times New Roman" w:hAnsi="Times New Roman"/>
          <w:sz w:val="24"/>
          <w:szCs w:val="24"/>
        </w:rPr>
        <w:t>)</w:t>
      </w:r>
      <w:r w:rsidR="00921B10" w:rsidRPr="00B13FD4">
        <w:rPr>
          <w:rStyle w:val="FootnoteReference"/>
          <w:rFonts w:ascii="Times New Roman" w:hAnsi="Times New Roman"/>
          <w:sz w:val="24"/>
          <w:szCs w:val="24"/>
        </w:rPr>
        <w:footnoteReference w:id="5"/>
      </w:r>
      <w:r w:rsidRPr="00391C31">
        <w:rPr>
          <w:rFonts w:ascii="Times New Roman" w:hAnsi="Times New Roman"/>
          <w:sz w:val="24"/>
          <w:szCs w:val="24"/>
        </w:rPr>
        <w:t xml:space="preserve"> </w:t>
      </w:r>
    </w:p>
    <w:p w:rsidR="00D05F83" w:rsidRDefault="0051480F" w:rsidP="00391C31">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 xml:space="preserve">Although </w:t>
      </w:r>
      <w:r w:rsidR="00733583" w:rsidRPr="00391C31">
        <w:rPr>
          <w:rFonts w:ascii="Times New Roman" w:hAnsi="Times New Roman"/>
          <w:sz w:val="24"/>
          <w:szCs w:val="24"/>
        </w:rPr>
        <w:t xml:space="preserve">AB 97 </w:t>
      </w:r>
      <w:r w:rsidRPr="00391C31">
        <w:rPr>
          <w:rFonts w:ascii="Times New Roman" w:hAnsi="Times New Roman"/>
          <w:sz w:val="24"/>
          <w:szCs w:val="24"/>
        </w:rPr>
        <w:t xml:space="preserve">states that </w:t>
      </w:r>
      <w:r w:rsidR="00733583" w:rsidRPr="00391C31">
        <w:rPr>
          <w:rFonts w:ascii="Times New Roman" w:hAnsi="Times New Roman"/>
          <w:sz w:val="24"/>
          <w:szCs w:val="24"/>
        </w:rPr>
        <w:t xml:space="preserve">Defendants must implement a “short-term program” to provide transition </w:t>
      </w:r>
      <w:r w:rsidRPr="00391C31">
        <w:rPr>
          <w:rFonts w:ascii="Times New Roman" w:hAnsi="Times New Roman"/>
          <w:sz w:val="24"/>
          <w:szCs w:val="24"/>
        </w:rPr>
        <w:t xml:space="preserve">to alternative services </w:t>
      </w:r>
      <w:r w:rsidR="00733583" w:rsidRPr="00391C31">
        <w:rPr>
          <w:rFonts w:ascii="Times New Roman" w:hAnsi="Times New Roman"/>
          <w:sz w:val="24"/>
          <w:szCs w:val="24"/>
        </w:rPr>
        <w:t>for those beneficiaries impa</w:t>
      </w:r>
      <w:r w:rsidRPr="00391C31">
        <w:rPr>
          <w:rFonts w:ascii="Times New Roman" w:hAnsi="Times New Roman"/>
          <w:sz w:val="24"/>
          <w:szCs w:val="24"/>
        </w:rPr>
        <w:t>cted by the elimination of ADHC,</w:t>
      </w:r>
      <w:r w:rsidR="00733583" w:rsidRPr="00391C31">
        <w:rPr>
          <w:rFonts w:ascii="Times New Roman" w:hAnsi="Times New Roman"/>
          <w:sz w:val="24"/>
          <w:szCs w:val="24"/>
        </w:rPr>
        <w:t xml:space="preserve"> there is no requirement </w:t>
      </w:r>
      <w:r w:rsidR="00752840" w:rsidRPr="00391C31">
        <w:rPr>
          <w:rFonts w:ascii="Times New Roman" w:hAnsi="Times New Roman"/>
          <w:sz w:val="24"/>
          <w:szCs w:val="24"/>
        </w:rPr>
        <w:t>for</w:t>
      </w:r>
      <w:r w:rsidR="00733583" w:rsidRPr="00391C31">
        <w:rPr>
          <w:rFonts w:ascii="Times New Roman" w:hAnsi="Times New Roman"/>
          <w:sz w:val="24"/>
          <w:szCs w:val="24"/>
        </w:rPr>
        <w:t xml:space="preserve"> this program </w:t>
      </w:r>
      <w:r w:rsidR="00752840" w:rsidRPr="00391C31">
        <w:rPr>
          <w:rFonts w:ascii="Times New Roman" w:hAnsi="Times New Roman"/>
          <w:sz w:val="24"/>
          <w:szCs w:val="24"/>
        </w:rPr>
        <w:t>to</w:t>
      </w:r>
      <w:r w:rsidRPr="00391C31">
        <w:rPr>
          <w:rFonts w:ascii="Times New Roman" w:hAnsi="Times New Roman"/>
          <w:sz w:val="24"/>
          <w:szCs w:val="24"/>
        </w:rPr>
        <w:t xml:space="preserve"> </w:t>
      </w:r>
      <w:r w:rsidR="00733583" w:rsidRPr="00391C31">
        <w:rPr>
          <w:rFonts w:ascii="Times New Roman" w:hAnsi="Times New Roman"/>
          <w:sz w:val="24"/>
          <w:szCs w:val="24"/>
        </w:rPr>
        <w:t>be implemented p</w:t>
      </w:r>
      <w:r w:rsidRPr="00391C31">
        <w:rPr>
          <w:rFonts w:ascii="Times New Roman" w:hAnsi="Times New Roman"/>
          <w:sz w:val="24"/>
          <w:szCs w:val="24"/>
        </w:rPr>
        <w:t xml:space="preserve">rior to </w:t>
      </w:r>
      <w:r w:rsidR="00752840" w:rsidRPr="00391C31">
        <w:rPr>
          <w:rFonts w:ascii="Times New Roman" w:hAnsi="Times New Roman"/>
          <w:sz w:val="24"/>
          <w:szCs w:val="24"/>
        </w:rPr>
        <w:t>the effective date of the ADHC elimination.</w:t>
      </w:r>
      <w:r w:rsidR="001B5ECB" w:rsidRPr="00391C31">
        <w:rPr>
          <w:rFonts w:ascii="Times New Roman" w:hAnsi="Times New Roman"/>
          <w:sz w:val="24"/>
          <w:szCs w:val="24"/>
        </w:rPr>
        <w:t xml:space="preserve"> </w:t>
      </w:r>
      <w:r w:rsidR="00D05F83" w:rsidRPr="00391C31">
        <w:rPr>
          <w:rFonts w:ascii="Times New Roman" w:hAnsi="Times New Roman"/>
          <w:sz w:val="24"/>
          <w:szCs w:val="24"/>
        </w:rPr>
        <w:t xml:space="preserve"> </w:t>
      </w:r>
      <w:r w:rsidR="00D05F83" w:rsidRPr="00391C31">
        <w:rPr>
          <w:rFonts w:ascii="Times New Roman" w:hAnsi="Times New Roman"/>
          <w:i/>
          <w:sz w:val="24"/>
          <w:szCs w:val="24"/>
        </w:rPr>
        <w:t>See</w:t>
      </w:r>
      <w:r w:rsidR="00D05F83" w:rsidRPr="00391C31">
        <w:rPr>
          <w:rFonts w:ascii="Times New Roman" w:hAnsi="Times New Roman"/>
          <w:sz w:val="24"/>
          <w:szCs w:val="24"/>
        </w:rPr>
        <w:t xml:space="preserve"> Cal. Welf. &amp; Inst. Code §§ 14589(b)</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"Cal. Welf. &amp; Inst. Code § 14589(b)" </w:instrText>
      </w:r>
      <w:r w:rsidR="00726D1D" w:rsidRPr="00391C31">
        <w:rPr>
          <w:rFonts w:ascii="Times New Roman" w:hAnsi="Times New Roman"/>
          <w:sz w:val="24"/>
          <w:szCs w:val="24"/>
        </w:rPr>
        <w:fldChar w:fldCharType="end"/>
      </w:r>
      <w:r w:rsidR="00D05F83" w:rsidRPr="00391C31">
        <w:rPr>
          <w:rFonts w:ascii="Times New Roman" w:hAnsi="Times New Roman"/>
          <w:sz w:val="24"/>
          <w:szCs w:val="24"/>
        </w:rPr>
        <w:t>, 14589.5</w:t>
      </w:r>
      <w:r w:rsidR="002732B3">
        <w:rPr>
          <w:rFonts w:ascii="Times New Roman" w:hAnsi="Times New Roman"/>
          <w:sz w:val="24"/>
          <w:szCs w:val="24"/>
        </w:rPr>
        <w:t>, 14590(a)</w:t>
      </w:r>
      <w:r w:rsidR="00D05F83" w:rsidRPr="00391C31">
        <w:rPr>
          <w:rFonts w:ascii="Times New Roman" w:hAnsi="Times New Roman"/>
          <w:sz w:val="24"/>
          <w:szCs w:val="24"/>
        </w:rPr>
        <w:t>.</w:t>
      </w:r>
      <w:r w:rsidR="00BE4C0A" w:rsidRPr="00391C31">
        <w:rPr>
          <w:rFonts w:ascii="Times New Roman" w:hAnsi="Times New Roman"/>
          <w:sz w:val="24"/>
          <w:szCs w:val="24"/>
        </w:rPr>
        <w:t xml:space="preserve">  </w:t>
      </w:r>
      <w:r w:rsidR="00752840" w:rsidRPr="00391C31">
        <w:rPr>
          <w:rFonts w:ascii="Times New Roman" w:hAnsi="Times New Roman"/>
          <w:sz w:val="24"/>
          <w:szCs w:val="24"/>
        </w:rPr>
        <w:t>N</w:t>
      </w:r>
      <w:r w:rsidR="00FB7089" w:rsidRPr="00391C31">
        <w:rPr>
          <w:rFonts w:ascii="Times New Roman" w:hAnsi="Times New Roman"/>
          <w:sz w:val="24"/>
          <w:szCs w:val="24"/>
        </w:rPr>
        <w:t xml:space="preserve">or is there any assurance </w:t>
      </w:r>
      <w:r w:rsidR="005A5A74" w:rsidRPr="00391C31">
        <w:rPr>
          <w:rFonts w:ascii="Times New Roman" w:hAnsi="Times New Roman"/>
          <w:sz w:val="24"/>
          <w:szCs w:val="24"/>
        </w:rPr>
        <w:t>that</w:t>
      </w:r>
      <w:r w:rsidRPr="00391C31">
        <w:rPr>
          <w:rFonts w:ascii="Times New Roman" w:hAnsi="Times New Roman"/>
          <w:sz w:val="24"/>
          <w:szCs w:val="24"/>
        </w:rPr>
        <w:t xml:space="preserve"> ADHC </w:t>
      </w:r>
      <w:r w:rsidR="00733583" w:rsidRPr="00391C31">
        <w:rPr>
          <w:rFonts w:ascii="Times New Roman" w:hAnsi="Times New Roman"/>
          <w:sz w:val="24"/>
          <w:szCs w:val="24"/>
        </w:rPr>
        <w:t>participants</w:t>
      </w:r>
      <w:r w:rsidR="00FB7089" w:rsidRPr="00391C31">
        <w:rPr>
          <w:rFonts w:ascii="Times New Roman" w:hAnsi="Times New Roman"/>
          <w:sz w:val="24"/>
          <w:szCs w:val="24"/>
        </w:rPr>
        <w:t xml:space="preserve"> will </w:t>
      </w:r>
      <w:r w:rsidR="00733583" w:rsidRPr="00391C31">
        <w:rPr>
          <w:rFonts w:ascii="Times New Roman" w:hAnsi="Times New Roman"/>
          <w:sz w:val="24"/>
          <w:szCs w:val="24"/>
        </w:rPr>
        <w:t>not e</w:t>
      </w:r>
      <w:r w:rsidRPr="00391C31">
        <w:rPr>
          <w:rFonts w:ascii="Times New Roman" w:hAnsi="Times New Roman"/>
          <w:sz w:val="24"/>
          <w:szCs w:val="24"/>
        </w:rPr>
        <w:t xml:space="preserve">xperience gaps in </w:t>
      </w:r>
      <w:r w:rsidR="00FB7089" w:rsidRPr="00391C31">
        <w:rPr>
          <w:rFonts w:ascii="Times New Roman" w:hAnsi="Times New Roman"/>
          <w:sz w:val="24"/>
          <w:szCs w:val="24"/>
        </w:rPr>
        <w:t xml:space="preserve">critical </w:t>
      </w:r>
      <w:r w:rsidRPr="00391C31">
        <w:rPr>
          <w:rFonts w:ascii="Times New Roman" w:hAnsi="Times New Roman"/>
          <w:sz w:val="24"/>
          <w:szCs w:val="24"/>
        </w:rPr>
        <w:t xml:space="preserve">services </w:t>
      </w:r>
      <w:r w:rsidR="00FB7089" w:rsidRPr="00391C31">
        <w:rPr>
          <w:rFonts w:ascii="Times New Roman" w:hAnsi="Times New Roman"/>
          <w:sz w:val="24"/>
          <w:szCs w:val="24"/>
        </w:rPr>
        <w:t>that are necessary to preven</w:t>
      </w:r>
      <w:r w:rsidR="00965AFA">
        <w:rPr>
          <w:rFonts w:ascii="Times New Roman" w:hAnsi="Times New Roman"/>
          <w:sz w:val="24"/>
          <w:szCs w:val="24"/>
        </w:rPr>
        <w:t xml:space="preserve">t their institutionalization.  </w:t>
      </w:r>
      <w:r w:rsidR="00FB7089" w:rsidRPr="00391C31">
        <w:rPr>
          <w:rFonts w:ascii="Times New Roman" w:hAnsi="Times New Roman"/>
          <w:sz w:val="24"/>
          <w:szCs w:val="24"/>
        </w:rPr>
        <w:t>(</w:t>
      </w:r>
      <w:r w:rsidR="00FB7089" w:rsidRPr="00391C31">
        <w:rPr>
          <w:rFonts w:ascii="Times New Roman" w:hAnsi="Times New Roman"/>
          <w:i/>
          <w:sz w:val="24"/>
          <w:szCs w:val="24"/>
        </w:rPr>
        <w:t>See</w:t>
      </w:r>
      <w:r w:rsidR="00FB7089" w:rsidRPr="00391C31">
        <w:rPr>
          <w:rFonts w:ascii="Times New Roman" w:hAnsi="Times New Roman"/>
          <w:sz w:val="24"/>
          <w:szCs w:val="24"/>
        </w:rPr>
        <w:t xml:space="preserve"> M</w:t>
      </w:r>
      <w:r w:rsidR="00733583" w:rsidRPr="00391C31">
        <w:rPr>
          <w:rFonts w:ascii="Times New Roman" w:hAnsi="Times New Roman"/>
          <w:sz w:val="24"/>
          <w:szCs w:val="24"/>
        </w:rPr>
        <w:t>issaelides Decl. ¶¶ 50-51.) AB 97 contains no details as to how, when, or whether the impacted ADHC beneficiaries will receive appropriate replacement services without ga</w:t>
      </w:r>
      <w:r w:rsidR="00D05F83" w:rsidRPr="00391C31">
        <w:rPr>
          <w:rFonts w:ascii="Times New Roman" w:hAnsi="Times New Roman"/>
          <w:sz w:val="24"/>
          <w:szCs w:val="24"/>
        </w:rPr>
        <w:t xml:space="preserve">ps and/or reductions </w:t>
      </w:r>
      <w:r w:rsidR="00FB7089" w:rsidRPr="00391C31">
        <w:rPr>
          <w:rFonts w:ascii="Times New Roman" w:hAnsi="Times New Roman"/>
          <w:sz w:val="24"/>
          <w:szCs w:val="24"/>
        </w:rPr>
        <w:t>in care</w:t>
      </w:r>
      <w:r w:rsidR="000C49BF" w:rsidRPr="00391C31">
        <w:rPr>
          <w:rFonts w:ascii="Times New Roman" w:hAnsi="Times New Roman"/>
          <w:sz w:val="24"/>
          <w:szCs w:val="24"/>
        </w:rPr>
        <w:t xml:space="preserve">.  </w:t>
      </w:r>
      <w:r w:rsidR="000C49BF" w:rsidRPr="00391C31">
        <w:rPr>
          <w:rFonts w:ascii="Times New Roman" w:hAnsi="Times New Roman"/>
          <w:i/>
          <w:sz w:val="24"/>
          <w:szCs w:val="24"/>
        </w:rPr>
        <w:t>See</w:t>
      </w:r>
      <w:r w:rsidR="000C49BF" w:rsidRPr="00391C31">
        <w:rPr>
          <w:rFonts w:ascii="Times New Roman" w:hAnsi="Times New Roman"/>
          <w:sz w:val="24"/>
          <w:szCs w:val="24"/>
        </w:rPr>
        <w:t xml:space="preserve"> Cal. Welf. &amp; Inst. Code. </w:t>
      </w:r>
      <w:r w:rsidR="005350AB">
        <w:rPr>
          <w:rFonts w:ascii="Times New Roman" w:hAnsi="Times New Roman"/>
          <w:sz w:val="24"/>
          <w:szCs w:val="24"/>
        </w:rPr>
        <w:t xml:space="preserve">         </w:t>
      </w:r>
      <w:r w:rsidR="00965AFA">
        <w:rPr>
          <w:rFonts w:ascii="Times New Roman" w:hAnsi="Times New Roman"/>
          <w:sz w:val="24"/>
          <w:szCs w:val="24"/>
        </w:rPr>
        <w:t>§ 14590</w:t>
      </w:r>
      <w:r w:rsidR="000C49BF" w:rsidRPr="00391C31">
        <w:rPr>
          <w:rFonts w:ascii="Times New Roman" w:hAnsi="Times New Roman"/>
          <w:sz w:val="24"/>
          <w:szCs w:val="24"/>
        </w:rPr>
        <w:t>(e)</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"Cal. Welf. &amp; Inst. Code. § 14590 (e)" \s "Cal. Welf. &amp; Inst. Code. § 14590 (e)" \c 2 </w:instrText>
      </w:r>
      <w:r w:rsidR="00726D1D" w:rsidRPr="00391C31">
        <w:rPr>
          <w:rFonts w:ascii="Times New Roman" w:hAnsi="Times New Roman"/>
          <w:sz w:val="24"/>
          <w:szCs w:val="24"/>
        </w:rPr>
        <w:fldChar w:fldCharType="end"/>
      </w:r>
      <w:r w:rsidR="000C49BF" w:rsidRPr="00391C31">
        <w:rPr>
          <w:rFonts w:ascii="Times New Roman" w:hAnsi="Times New Roman"/>
          <w:sz w:val="24"/>
          <w:szCs w:val="24"/>
        </w:rPr>
        <w:t xml:space="preserve">.  </w:t>
      </w:r>
    </w:p>
    <w:p w:rsidR="003F1BD4" w:rsidRDefault="003F1BD4" w:rsidP="00391C31">
      <w:pPr>
        <w:autoSpaceDE w:val="0"/>
        <w:autoSpaceDN w:val="0"/>
        <w:adjustRightInd w:val="0"/>
        <w:spacing w:after="0" w:line="480" w:lineRule="exact"/>
        <w:ind w:firstLine="720"/>
        <w:rPr>
          <w:rFonts w:ascii="Times New Roman" w:hAnsi="Times New Roman"/>
          <w:sz w:val="24"/>
          <w:szCs w:val="24"/>
        </w:rPr>
      </w:pPr>
    </w:p>
    <w:p w:rsidR="003F1BD4" w:rsidRDefault="003F1BD4" w:rsidP="00391C31">
      <w:pPr>
        <w:autoSpaceDE w:val="0"/>
        <w:autoSpaceDN w:val="0"/>
        <w:adjustRightInd w:val="0"/>
        <w:spacing w:after="0" w:line="480" w:lineRule="exact"/>
        <w:ind w:firstLine="720"/>
        <w:rPr>
          <w:rFonts w:ascii="Times New Roman" w:hAnsi="Times New Roman"/>
          <w:sz w:val="24"/>
          <w:szCs w:val="24"/>
        </w:rPr>
      </w:pPr>
    </w:p>
    <w:p w:rsidR="00733583" w:rsidRPr="00391C31" w:rsidRDefault="00733583" w:rsidP="00335E73">
      <w:pPr>
        <w:pStyle w:val="Heading"/>
        <w:outlineLvl w:val="0"/>
      </w:pPr>
      <w:bookmarkStart w:id="4" w:name="_Toc298266482"/>
      <w:r w:rsidRPr="00391C31">
        <w:t>ARGUMENT</w:t>
      </w:r>
      <w:bookmarkEnd w:id="4"/>
    </w:p>
    <w:p w:rsidR="00733583" w:rsidRPr="00391C31" w:rsidRDefault="00335E73" w:rsidP="00335E73">
      <w:pPr>
        <w:pStyle w:val="SubHeading1"/>
        <w:numPr>
          <w:ilvl w:val="0"/>
          <w:numId w:val="0"/>
        </w:numPr>
        <w:ind w:left="720"/>
        <w:outlineLvl w:val="1"/>
      </w:pPr>
      <w:bookmarkStart w:id="5" w:name="_Toc298266483"/>
      <w:r w:rsidRPr="00391C31">
        <w:t xml:space="preserve">A.  </w:t>
      </w:r>
      <w:r w:rsidR="00733583" w:rsidRPr="00391C31">
        <w:t>Olmstead and the Integration Mandate</w:t>
      </w:r>
      <w:bookmarkEnd w:id="5"/>
      <w:r w:rsidRPr="00391C31">
        <w:t xml:space="preserve"> </w:t>
      </w:r>
    </w:p>
    <w:p w:rsidR="00733583" w:rsidRPr="00391C31" w:rsidRDefault="00726D1D" w:rsidP="00B55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Pr>
          <w:rFonts w:ascii="Times New Roman" w:hAnsi="Times New Roman"/>
          <w:noProof/>
          <w:sz w:val="24"/>
          <w:szCs w:val="24"/>
        </w:rPr>
        <w:pict>
          <v:shape id="_x0000_s1062" type="#_x0000_t202" style="position:absolute;margin-left:-45.75pt;margin-top:-1.85pt;width:36pt;height:10in;z-index:2516930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krdQIAAPw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" o:allowincell="f" stroked="f">
            <v:textbox inset="0,0,0,0">
              <w:txbxContent>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017FEE">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017FEE">
                  <w:pPr>
                    <w:spacing w:after="0" w:line="480" w:lineRule="exact"/>
                    <w:jc w:val="right"/>
                  </w:pPr>
                </w:p>
              </w:txbxContent>
            </v:textbox>
            <w10:wrap anchorx="margin" anchory="margin"/>
          </v:shape>
        </w:pict>
      </w:r>
      <w:r w:rsidR="00733583" w:rsidRPr="00391C31">
        <w:rPr>
          <w:rFonts w:ascii="Times New Roman" w:hAnsi="Times New Roman"/>
          <w:sz w:val="24"/>
          <w:szCs w:val="24"/>
        </w:rPr>
        <w:tab/>
        <w:t>Congress enacted the ADA in 1990 “to provide a clear and comprehensive national mandate for the elimination of discrimination against individuals wi</w:t>
      </w:r>
      <w:r w:rsidR="00727782" w:rsidRPr="00391C31">
        <w:rPr>
          <w:rFonts w:ascii="Times New Roman" w:hAnsi="Times New Roman"/>
          <w:sz w:val="24"/>
          <w:szCs w:val="24"/>
        </w:rPr>
        <w:t>th disabilities.”  42 U.S.C.</w:t>
      </w:r>
      <w:r w:rsidR="00733583" w:rsidRPr="00391C31">
        <w:rPr>
          <w:rFonts w:ascii="Times New Roman" w:hAnsi="Times New Roman"/>
          <w:sz w:val="24"/>
          <w:szCs w:val="24"/>
        </w:rPr>
        <w:t xml:space="preserve"> </w:t>
      </w:r>
      <w:r w:rsidR="00934B26">
        <w:rPr>
          <w:rFonts w:ascii="Times New Roman" w:hAnsi="Times New Roman"/>
          <w:sz w:val="24"/>
          <w:szCs w:val="24"/>
        </w:rPr>
        <w:t xml:space="preserve">   </w:t>
      </w:r>
      <w:r w:rsidR="00733583" w:rsidRPr="00391C31">
        <w:rPr>
          <w:rFonts w:ascii="Times New Roman" w:hAnsi="Times New Roman"/>
          <w:sz w:val="24"/>
          <w:szCs w:val="24"/>
        </w:rPr>
        <w:t>§ 12101(b)(1)</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"42 U.S.C. § 12101(b)(1)" \s "42 U.S.C. § 12101(b)(1)" \c 2 </w:instrText>
      </w:r>
      <w:r w:rsidRPr="00391C31">
        <w:rPr>
          <w:rFonts w:ascii="Times New Roman" w:hAnsi="Times New Roman"/>
          <w:sz w:val="24"/>
          <w:szCs w:val="24"/>
        </w:rPr>
        <w:fldChar w:fldCharType="end"/>
      </w:r>
      <w:r w:rsidR="00733583" w:rsidRPr="00391C31">
        <w:rPr>
          <w:rFonts w:ascii="Times New Roman" w:hAnsi="Times New Roman"/>
          <w:sz w:val="24"/>
          <w:szCs w:val="24"/>
        </w:rPr>
        <w:t>.  Congress found that “historically, society has tended to isolate and segregate individuals with disabilities, and, despite some improvements, such forms of discrimination against individuals with disabilities continue to be a serious and pervasive social problem.”  42 U.S.C. § 12101(a)(2)</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"42 U.S.C. § 12101(a)(2)" \s "42 U.S.C. § 12101(a)(2)" \c 2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For those reasons, Congress prohibited discrimination against individuals with disabilities by public entities: </w:t>
      </w:r>
    </w:p>
    <w:p w:rsidR="00F834C7" w:rsidRDefault="00F834C7" w:rsidP="00B55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20"/>
        <w:jc w:val="both"/>
        <w:rPr>
          <w:rFonts w:ascii="Times New Roman" w:hAnsi="Times New Roman"/>
          <w:sz w:val="24"/>
          <w:szCs w:val="24"/>
        </w:rPr>
      </w:pPr>
    </w:p>
    <w:p w:rsidR="00733583" w:rsidRPr="00391C31" w:rsidRDefault="00733583" w:rsidP="00B55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20"/>
        <w:jc w:val="both"/>
        <w:rPr>
          <w:rFonts w:ascii="Times New Roman" w:hAnsi="Times New Roman"/>
          <w:sz w:val="24"/>
          <w:szCs w:val="24"/>
        </w:rPr>
      </w:pPr>
      <w:r w:rsidRPr="00391C31">
        <w:rPr>
          <w:rFonts w:ascii="Times New Roman" w:hAnsi="Times New Roman"/>
          <w:sz w:val="24"/>
          <w:szCs w:val="24"/>
        </w:rPr>
        <w:t>[N]o qualified individual with a disability shall, by reason of such disability, be excluded from participation in or be denied the benefits of the services, programs, or activities of a public entity, or be subjected to discrimination by any such entity.</w:t>
      </w:r>
    </w:p>
    <w:p w:rsidR="00733583" w:rsidRPr="00391C31" w:rsidRDefault="00733583" w:rsidP="00B55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sidRPr="00391C31">
        <w:rPr>
          <w:rFonts w:ascii="Times New Roman" w:hAnsi="Times New Roman"/>
          <w:sz w:val="24"/>
          <w:szCs w:val="24"/>
        </w:rPr>
        <w:t>42 U.S.C. § 12132</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"42 U.S.C. § 12132</w:instrText>
      </w:r>
      <w:r w:rsidR="006C552F" w:rsidRPr="00391C31">
        <w:rPr>
          <w:rFonts w:ascii="Times New Roman" w:hAnsi="Times New Roman"/>
          <w:sz w:val="24"/>
          <w:szCs w:val="24"/>
        </w:rPr>
        <w:instrText>" \s "42 U.S.C. § 12132" \c 2</w:instrText>
      </w:r>
      <w:r w:rsidR="00EA249C" w:rsidRPr="00391C31">
        <w:rPr>
          <w:rFonts w:ascii="Times New Roman" w:hAnsi="Times New Roman"/>
          <w:sz w:val="24"/>
          <w:szCs w:val="24"/>
        </w:rPr>
        <w:instrText xml:space="preserve"> </w:instrText>
      </w:r>
      <w:r w:rsidR="00726D1D" w:rsidRPr="00391C31">
        <w:rPr>
          <w:rFonts w:ascii="Times New Roman" w:hAnsi="Times New Roman"/>
          <w:sz w:val="24"/>
          <w:szCs w:val="24"/>
        </w:rPr>
        <w:fldChar w:fldCharType="end"/>
      </w:r>
      <w:r w:rsidRPr="00391C31">
        <w:rPr>
          <w:rFonts w:ascii="Times New Roman" w:hAnsi="Times New Roman"/>
          <w:sz w:val="24"/>
          <w:szCs w:val="24"/>
        </w:rPr>
        <w:t>.</w:t>
      </w:r>
    </w:p>
    <w:p w:rsidR="00CB584B" w:rsidRPr="00391C31" w:rsidRDefault="00733583" w:rsidP="0039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sidRPr="00391C31">
        <w:rPr>
          <w:rFonts w:ascii="Times New Roman" w:hAnsi="Times New Roman"/>
          <w:sz w:val="24"/>
          <w:szCs w:val="24"/>
        </w:rPr>
        <w:tab/>
        <w:t>As directed by Congress, the Attorney General issued regulations implementing title II, which are based on regulations issued under section 504 of the Rehabilitation Act.</w:t>
      </w:r>
      <w:r w:rsidRPr="00391C31">
        <w:rPr>
          <w:rStyle w:val="FootnoteReference"/>
          <w:rFonts w:ascii="Times New Roman" w:hAnsi="Times New Roman"/>
          <w:sz w:val="24"/>
          <w:szCs w:val="24"/>
        </w:rPr>
        <w:footnoteReference w:id="6"/>
      </w:r>
      <w:r w:rsidRPr="00391C31">
        <w:rPr>
          <w:rFonts w:ascii="Times New Roman" w:hAnsi="Times New Roman"/>
          <w:sz w:val="24"/>
          <w:szCs w:val="24"/>
        </w:rPr>
        <w:t xml:space="preserve">  </w:t>
      </w:r>
      <w:r w:rsidRPr="00391C31">
        <w:rPr>
          <w:rFonts w:ascii="Times New Roman" w:hAnsi="Times New Roman"/>
          <w:i/>
          <w:sz w:val="24"/>
          <w:szCs w:val="24"/>
        </w:rPr>
        <w:t>See</w:t>
      </w:r>
      <w:r w:rsidRPr="00391C31">
        <w:rPr>
          <w:rFonts w:ascii="Times New Roman" w:hAnsi="Times New Roman"/>
          <w:sz w:val="24"/>
          <w:szCs w:val="24"/>
        </w:rPr>
        <w:t xml:space="preserve"> 42 U.S.C. § 12134(a)</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"42 U.S.C. § 12134(a)" \s "42 U.S.C. § 12134(a)" \c 2 </w:instrText>
      </w:r>
      <w:r w:rsidR="00726D1D" w:rsidRPr="00391C31">
        <w:rPr>
          <w:rFonts w:ascii="Times New Roman" w:hAnsi="Times New Roman"/>
          <w:sz w:val="24"/>
          <w:szCs w:val="24"/>
        </w:rPr>
        <w:fldChar w:fldCharType="end"/>
      </w:r>
      <w:r w:rsidRPr="00391C31">
        <w:rPr>
          <w:rFonts w:ascii="Times New Roman" w:hAnsi="Times New Roman"/>
          <w:sz w:val="24"/>
          <w:szCs w:val="24"/>
        </w:rPr>
        <w:t>; 28 C.F.R. § 35.190(a)</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"28 C.F.R. § 35.190(a)" \s "28 C.F.R. § 35.190(a)" \c 6 </w:instrText>
      </w:r>
      <w:r w:rsidR="00726D1D" w:rsidRPr="00391C31">
        <w:rPr>
          <w:rFonts w:ascii="Times New Roman" w:hAnsi="Times New Roman"/>
          <w:sz w:val="24"/>
          <w:szCs w:val="24"/>
        </w:rPr>
        <w:fldChar w:fldCharType="end"/>
      </w:r>
      <w:r w:rsidRPr="00391C31">
        <w:rPr>
          <w:rFonts w:ascii="Times New Roman" w:hAnsi="Times New Roman"/>
          <w:sz w:val="24"/>
          <w:szCs w:val="24"/>
        </w:rPr>
        <w:t>; Executive Order 12250, 45 Fed. Reg. 72995 (1980)</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"Executive Order 12250, 45 Fed. Reg. 72995 (1980)" \s "Executive Order 12250, 45 Fed. Reg. 72995 (1980)" \c 3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w:t>
      </w:r>
      <w:r w:rsidRPr="00391C31">
        <w:rPr>
          <w:rFonts w:ascii="Times New Roman" w:hAnsi="Times New Roman"/>
          <w:i/>
          <w:sz w:val="24"/>
          <w:szCs w:val="24"/>
        </w:rPr>
        <w:t>reprinted in</w:t>
      </w:r>
      <w:r w:rsidRPr="00391C31">
        <w:rPr>
          <w:rFonts w:ascii="Times New Roman" w:hAnsi="Times New Roman"/>
          <w:sz w:val="24"/>
          <w:szCs w:val="24"/>
        </w:rPr>
        <w:t xml:space="preserve"> 42 U.S.C. § 2000d-1.  The title II regulations require public entities to “administer services, programs, and activities in the most integrated setting appropriate to the needs of qualified individuals with disabilities.”  28 C.F.R. § 35.130(d)</w:t>
      </w:r>
      <w:r w:rsidR="00726D1D">
        <w:rPr>
          <w:rFonts w:ascii="Times New Roman" w:hAnsi="Times New Roman"/>
          <w:sz w:val="24"/>
          <w:szCs w:val="24"/>
        </w:rPr>
        <w:fldChar w:fldCharType="begin"/>
      </w:r>
      <w:r w:rsidR="00F834C7">
        <w:instrText xml:space="preserve"> TA \s "28 C.F.R. § 35.130(d)" </w:instrText>
      </w:r>
      <w:r w:rsidR="00726D1D">
        <w:rPr>
          <w:rFonts w:ascii="Times New Roman" w:hAnsi="Times New Roman"/>
          <w:sz w:val="24"/>
          <w:szCs w:val="24"/>
        </w:rPr>
        <w:fldChar w:fldCharType="end"/>
      </w:r>
      <w:r w:rsidRPr="00391C31">
        <w:rPr>
          <w:rFonts w:ascii="Times New Roman" w:hAnsi="Times New Roman"/>
          <w:sz w:val="24"/>
          <w:szCs w:val="24"/>
        </w:rPr>
        <w:t>.  The preamble discussion of the “integration regulation” explains that “the most integrated setting”</w:t>
      </w:r>
      <w:r w:rsidR="00CB584B" w:rsidRPr="00391C31">
        <w:rPr>
          <w:rFonts w:ascii="Times New Roman" w:hAnsi="Times New Roman"/>
          <w:sz w:val="24"/>
          <w:szCs w:val="24"/>
        </w:rPr>
        <w:t xml:space="preserve"> is one that </w:t>
      </w:r>
      <w:r w:rsidRPr="00391C31">
        <w:rPr>
          <w:rFonts w:ascii="Times New Roman" w:hAnsi="Times New Roman"/>
          <w:sz w:val="24"/>
          <w:szCs w:val="24"/>
        </w:rPr>
        <w:t>“enables individuals with disabilities to interact with nondisabled persons to the fu</w:t>
      </w:r>
      <w:r w:rsidR="005350AB">
        <w:rPr>
          <w:rFonts w:ascii="Times New Roman" w:hAnsi="Times New Roman"/>
          <w:sz w:val="24"/>
          <w:szCs w:val="24"/>
        </w:rPr>
        <w:t xml:space="preserve">llest extent possible….” </w:t>
      </w:r>
      <w:r w:rsidRPr="00391C31">
        <w:rPr>
          <w:rFonts w:ascii="Times New Roman" w:hAnsi="Times New Roman"/>
          <w:sz w:val="24"/>
          <w:szCs w:val="24"/>
        </w:rPr>
        <w:t xml:space="preserve">28 C.F.R. Pt. 35, App. A </w:t>
      </w:r>
      <w:r w:rsidR="00F834C7">
        <w:rPr>
          <w:rFonts w:ascii="Times New Roman" w:hAnsi="Times New Roman"/>
          <w:sz w:val="24"/>
          <w:szCs w:val="24"/>
        </w:rPr>
        <w:t xml:space="preserve">at 572 </w:t>
      </w:r>
      <w:r w:rsidRPr="00391C31">
        <w:rPr>
          <w:rFonts w:ascii="Times New Roman" w:hAnsi="Times New Roman"/>
          <w:sz w:val="24"/>
          <w:szCs w:val="24"/>
        </w:rPr>
        <w:t>(2010)</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"28 C.F.R. Pt. 35, App. A (2010)" \s "28 C.F.R. Pt. 35, App. A (2010)" \c 6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(addressing § 35.130).</w:t>
      </w:r>
      <w:r w:rsidRPr="00391C31">
        <w:rPr>
          <w:rFonts w:ascii="Times New Roman" w:hAnsi="Times New Roman"/>
          <w:sz w:val="24"/>
          <w:szCs w:val="24"/>
        </w:rPr>
        <w:tab/>
      </w:r>
      <w:r w:rsidRPr="00391C31">
        <w:rPr>
          <w:rFonts w:ascii="Times New Roman" w:hAnsi="Times New Roman"/>
          <w:sz w:val="24"/>
          <w:szCs w:val="24"/>
        </w:rPr>
        <w:tab/>
      </w:r>
      <w:r w:rsidRPr="00391C31">
        <w:rPr>
          <w:rFonts w:ascii="Times New Roman" w:hAnsi="Times New Roman"/>
          <w:sz w:val="24"/>
          <w:szCs w:val="24"/>
        </w:rPr>
        <w:tab/>
      </w:r>
      <w:r w:rsidRPr="00391C31">
        <w:rPr>
          <w:rFonts w:ascii="Times New Roman" w:hAnsi="Times New Roman"/>
          <w:sz w:val="24"/>
          <w:szCs w:val="24"/>
        </w:rPr>
        <w:tab/>
      </w:r>
    </w:p>
    <w:p w:rsidR="00733583" w:rsidRPr="00391C31" w:rsidRDefault="00726D1D" w:rsidP="0039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Pr>
          <w:rFonts w:ascii="Times New Roman" w:hAnsi="Times New Roman"/>
          <w:noProof/>
          <w:sz w:val="24"/>
          <w:szCs w:val="24"/>
        </w:rPr>
        <w:pict>
          <v:shape id="_x0000_s1039" type="#_x0000_t202" style="position:absolute;margin-left:-45pt;margin-top:0;width:36pt;height:10in;z-index:2516705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CB584B" w:rsidRPr="00391C31">
        <w:rPr>
          <w:rFonts w:ascii="Times New Roman" w:hAnsi="Times New Roman"/>
          <w:sz w:val="24"/>
          <w:szCs w:val="24"/>
        </w:rPr>
        <w:tab/>
      </w:r>
      <w:r w:rsidR="00733583" w:rsidRPr="00391C31">
        <w:rPr>
          <w:rFonts w:ascii="Times New Roman" w:hAnsi="Times New Roman"/>
          <w:sz w:val="24"/>
          <w:szCs w:val="24"/>
        </w:rPr>
        <w:t xml:space="preserve">Twelve years ago, the Supreme Court applied these authorities and held that title II prohibits the unjustified segregation of individuals with disabilities.  </w:t>
      </w:r>
      <w:r w:rsidR="00733583" w:rsidRPr="00391C31">
        <w:rPr>
          <w:rFonts w:ascii="Times New Roman" w:hAnsi="Times New Roman"/>
          <w:i/>
          <w:iCs/>
          <w:sz w:val="24"/>
          <w:szCs w:val="24"/>
        </w:rPr>
        <w:t>Olmstead</w:t>
      </w:r>
      <w:r w:rsidR="00733583" w:rsidRPr="00391C31">
        <w:rPr>
          <w:rFonts w:ascii="Times New Roman" w:hAnsi="Times New Roman"/>
          <w:sz w:val="24"/>
          <w:szCs w:val="24"/>
        </w:rPr>
        <w:t>, 527 U.S. at 596</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"Olmstead v. L.C., 527 U.S. 581 (1999)"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There, the Court held that public entities are required to provide community-based services to persons with disabilities when (a) such services are appropriate; (b) the affected persons do not oppose community-based treatment; and (c) community-based services can be reasonably accommodated, taking into account the resources available to the entity and the needs of others who are receiving disability services from the entity.  </w:t>
      </w:r>
      <w:r w:rsidR="00733583" w:rsidRPr="00391C31">
        <w:rPr>
          <w:rFonts w:ascii="Times New Roman" w:hAnsi="Times New Roman"/>
          <w:i/>
          <w:sz w:val="24"/>
          <w:szCs w:val="24"/>
        </w:rPr>
        <w:t xml:space="preserve">Id. </w:t>
      </w:r>
      <w:r w:rsidR="00733583" w:rsidRPr="00391C31">
        <w:rPr>
          <w:rFonts w:ascii="Times New Roman" w:hAnsi="Times New Roman"/>
          <w:sz w:val="24"/>
          <w:szCs w:val="24"/>
        </w:rPr>
        <w:t xml:space="preserve">at 607.  </w:t>
      </w:r>
      <w:r w:rsidR="00733583" w:rsidRPr="00391C31">
        <w:rPr>
          <w:rFonts w:ascii="Times New Roman" w:hAnsi="Times New Roman"/>
          <w:sz w:val="24"/>
          <w:szCs w:val="24"/>
        </w:rPr>
        <w:tab/>
      </w:r>
      <w:r w:rsidR="00733583" w:rsidRPr="00391C31">
        <w:rPr>
          <w:rFonts w:ascii="Times New Roman" w:hAnsi="Times New Roman"/>
          <w:sz w:val="24"/>
          <w:szCs w:val="24"/>
        </w:rPr>
        <w:tab/>
      </w:r>
      <w:r w:rsidR="00733583" w:rsidRPr="00391C31">
        <w:rPr>
          <w:rFonts w:ascii="Times New Roman" w:hAnsi="Times New Roman"/>
          <w:sz w:val="24"/>
          <w:szCs w:val="24"/>
        </w:rPr>
        <w:tab/>
      </w:r>
      <w:r w:rsidR="00733583" w:rsidRPr="00391C31">
        <w:rPr>
          <w:rFonts w:ascii="Times New Roman" w:hAnsi="Times New Roman"/>
          <w:sz w:val="24"/>
          <w:szCs w:val="24"/>
        </w:rPr>
        <w:tab/>
      </w:r>
      <w:r w:rsidR="00733583" w:rsidRPr="00391C31">
        <w:rPr>
          <w:rFonts w:ascii="Times New Roman" w:hAnsi="Times New Roman"/>
          <w:sz w:val="24"/>
          <w:szCs w:val="24"/>
        </w:rPr>
        <w:tab/>
      </w:r>
      <w:r w:rsidR="00733583" w:rsidRPr="00391C31">
        <w:rPr>
          <w:rFonts w:ascii="Times New Roman" w:hAnsi="Times New Roman"/>
          <w:sz w:val="24"/>
          <w:szCs w:val="24"/>
        </w:rPr>
        <w:tab/>
      </w:r>
      <w:bookmarkStart w:id="6" w:name="_GoBack"/>
      <w:bookmarkEnd w:id="6"/>
      <w:r w:rsidR="008C3410" w:rsidRPr="00391C31">
        <w:rPr>
          <w:rFonts w:ascii="Times New Roman" w:hAnsi="Times New Roman"/>
          <w:sz w:val="24"/>
          <w:szCs w:val="24"/>
        </w:rPr>
        <w:t>To comply with the ADA’s integration requirement, a state must reasonably modify its policies, procedures, or practices when necessa</w:t>
      </w:r>
      <w:r w:rsidR="00B13FD4">
        <w:rPr>
          <w:rFonts w:ascii="Times New Roman" w:hAnsi="Times New Roman"/>
          <w:sz w:val="24"/>
          <w:szCs w:val="24"/>
        </w:rPr>
        <w:t xml:space="preserve">ry to avoid discrimination. </w:t>
      </w:r>
      <w:r w:rsidR="008C3410" w:rsidRPr="00391C31">
        <w:rPr>
          <w:rFonts w:ascii="Times New Roman" w:hAnsi="Times New Roman"/>
          <w:sz w:val="24"/>
          <w:szCs w:val="24"/>
        </w:rPr>
        <w:t xml:space="preserve">28 C.F.R. </w:t>
      </w:r>
      <w:r w:rsidR="005350AB">
        <w:rPr>
          <w:rFonts w:ascii="Times New Roman" w:hAnsi="Times New Roman"/>
          <w:sz w:val="24"/>
          <w:szCs w:val="24"/>
        </w:rPr>
        <w:t xml:space="preserve">                   </w:t>
      </w:r>
      <w:r w:rsidR="008C3410" w:rsidRPr="00391C31">
        <w:rPr>
          <w:rFonts w:ascii="Times New Roman" w:hAnsi="Times New Roman"/>
          <w:sz w:val="24"/>
          <w:szCs w:val="24"/>
        </w:rPr>
        <w:t>§ 35.130(b)(7)</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"28 C.F.R. § 35.130(b)(7)" \s "28 C.F.R. § 35.130(b)(7)" \c 6 </w:instrText>
      </w:r>
      <w:r w:rsidRPr="00391C31">
        <w:rPr>
          <w:rFonts w:ascii="Times New Roman" w:hAnsi="Times New Roman"/>
          <w:sz w:val="24"/>
          <w:szCs w:val="24"/>
        </w:rPr>
        <w:fldChar w:fldCharType="end"/>
      </w:r>
      <w:r w:rsidR="008C3410" w:rsidRPr="00391C31">
        <w:rPr>
          <w:rFonts w:ascii="Times New Roman" w:hAnsi="Times New Roman"/>
          <w:sz w:val="24"/>
          <w:szCs w:val="24"/>
        </w:rPr>
        <w:t xml:space="preserve">.  The obligation to </w:t>
      </w:r>
      <w:r w:rsidR="00733583" w:rsidRPr="00391C31">
        <w:rPr>
          <w:rFonts w:ascii="Times New Roman" w:hAnsi="Times New Roman"/>
          <w:sz w:val="24"/>
          <w:szCs w:val="24"/>
        </w:rPr>
        <w:t xml:space="preserve">make reasonable modifications may be excused only where a state demonstrates that the requested modifications would “fundamentally alter” the programs or services at issue.  </w:t>
      </w:r>
      <w:r w:rsidR="00733583" w:rsidRPr="00391C31">
        <w:rPr>
          <w:rFonts w:ascii="Times New Roman" w:hAnsi="Times New Roman"/>
          <w:i/>
          <w:sz w:val="24"/>
          <w:szCs w:val="24"/>
        </w:rPr>
        <w:t>Id.</w:t>
      </w:r>
      <w:r w:rsidR="00733583" w:rsidRPr="00391C31">
        <w:rPr>
          <w:rFonts w:ascii="Times New Roman" w:hAnsi="Times New Roman"/>
          <w:sz w:val="24"/>
          <w:szCs w:val="24"/>
        </w:rPr>
        <w:t xml:space="preserve">; </w:t>
      </w:r>
      <w:r w:rsidR="00733583" w:rsidRPr="00391C31">
        <w:rPr>
          <w:rFonts w:ascii="Times New Roman" w:hAnsi="Times New Roman"/>
          <w:i/>
          <w:sz w:val="24"/>
          <w:szCs w:val="24"/>
        </w:rPr>
        <w:t>see also</w:t>
      </w:r>
      <w:r w:rsidR="00733583" w:rsidRPr="00391C31">
        <w:rPr>
          <w:rFonts w:ascii="Times New Roman" w:hAnsi="Times New Roman"/>
          <w:sz w:val="24"/>
          <w:szCs w:val="24"/>
        </w:rPr>
        <w:t xml:space="preserve"> </w:t>
      </w:r>
      <w:r w:rsidR="00733583" w:rsidRPr="00391C31">
        <w:rPr>
          <w:rFonts w:ascii="Times New Roman" w:hAnsi="Times New Roman"/>
          <w:i/>
          <w:sz w:val="24"/>
          <w:szCs w:val="24"/>
        </w:rPr>
        <w:t>Olmstead</w:t>
      </w:r>
      <w:r w:rsidR="00733583" w:rsidRPr="00391C31">
        <w:rPr>
          <w:rFonts w:ascii="Times New Roman" w:hAnsi="Times New Roman"/>
          <w:sz w:val="24"/>
          <w:szCs w:val="24"/>
        </w:rPr>
        <w:t>, 527 U.S. at 604-07</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"Olmstead v. L.C., 527 U.S. 581 (1999)"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p>
    <w:p w:rsidR="00733583" w:rsidRPr="00391C31" w:rsidRDefault="00733583" w:rsidP="00335E73">
      <w:pPr>
        <w:pStyle w:val="SubHeading1"/>
        <w:numPr>
          <w:ilvl w:val="0"/>
          <w:numId w:val="11"/>
        </w:numPr>
        <w:outlineLvl w:val="1"/>
      </w:pPr>
      <w:bookmarkStart w:id="7" w:name="_Toc298266484"/>
      <w:r w:rsidRPr="00391C31">
        <w:t>Plaintiffs Satisfy the Requirements for a Preliminary Injunction</w:t>
      </w:r>
      <w:bookmarkEnd w:id="7"/>
      <w:r w:rsidRPr="00391C31">
        <w:t xml:space="preserve"> </w:t>
      </w:r>
      <w:r w:rsidRPr="00391C31">
        <w:tab/>
      </w:r>
    </w:p>
    <w:p w:rsidR="00733583" w:rsidRPr="00391C31" w:rsidRDefault="00733583" w:rsidP="00391C31">
      <w:pPr>
        <w:spacing w:after="0" w:line="480" w:lineRule="exact"/>
        <w:ind w:firstLine="720"/>
        <w:rPr>
          <w:rFonts w:ascii="Times New Roman" w:hAnsi="Times New Roman"/>
          <w:bCs/>
          <w:sz w:val="24"/>
          <w:szCs w:val="24"/>
        </w:rPr>
      </w:pPr>
      <w:r w:rsidRPr="00391C31">
        <w:rPr>
          <w:rFonts w:ascii="Times New Roman" w:hAnsi="Times New Roman"/>
          <w:sz w:val="24"/>
          <w:szCs w:val="24"/>
        </w:rPr>
        <w:t xml:space="preserve">“A plaintiff seeking a preliminary injunction must establish </w:t>
      </w:r>
      <w:r w:rsidR="00E808B0" w:rsidRPr="00391C31">
        <w:rPr>
          <w:rFonts w:ascii="Times New Roman" w:hAnsi="Times New Roman"/>
          <w:sz w:val="24"/>
          <w:szCs w:val="24"/>
        </w:rPr>
        <w:t xml:space="preserve">[(1)] </w:t>
      </w:r>
      <w:r w:rsidRPr="00391C31">
        <w:rPr>
          <w:rFonts w:ascii="Times New Roman" w:hAnsi="Times New Roman"/>
          <w:sz w:val="24"/>
          <w:szCs w:val="24"/>
        </w:rPr>
        <w:t xml:space="preserve">that he is likely to succeed on the merits, </w:t>
      </w:r>
      <w:r w:rsidR="00E808B0" w:rsidRPr="00391C31">
        <w:rPr>
          <w:rFonts w:ascii="Times New Roman" w:hAnsi="Times New Roman"/>
          <w:sz w:val="24"/>
          <w:szCs w:val="24"/>
        </w:rPr>
        <w:t>[</w:t>
      </w:r>
      <w:r w:rsidRPr="00391C31">
        <w:rPr>
          <w:rFonts w:ascii="Times New Roman" w:hAnsi="Times New Roman"/>
          <w:sz w:val="24"/>
          <w:szCs w:val="24"/>
        </w:rPr>
        <w:t>(2)</w:t>
      </w:r>
      <w:r w:rsidR="00E808B0" w:rsidRPr="00391C31">
        <w:rPr>
          <w:rFonts w:ascii="Times New Roman" w:hAnsi="Times New Roman"/>
          <w:sz w:val="24"/>
          <w:szCs w:val="24"/>
        </w:rPr>
        <w:t>]</w:t>
      </w:r>
      <w:r w:rsidRPr="00391C31">
        <w:rPr>
          <w:rFonts w:ascii="Times New Roman" w:hAnsi="Times New Roman"/>
          <w:sz w:val="24"/>
          <w:szCs w:val="24"/>
        </w:rPr>
        <w:t xml:space="preserve"> that he is likely to suffer irreparable harm in the absence of </w:t>
      </w:r>
      <w:r w:rsidR="000006E2" w:rsidRPr="00391C31">
        <w:rPr>
          <w:rFonts w:ascii="Times New Roman" w:hAnsi="Times New Roman"/>
          <w:sz w:val="24"/>
          <w:szCs w:val="24"/>
        </w:rPr>
        <w:t xml:space="preserve"> pr</w:t>
      </w:r>
      <w:r w:rsidRPr="00391C31">
        <w:rPr>
          <w:rFonts w:ascii="Times New Roman" w:hAnsi="Times New Roman"/>
          <w:sz w:val="24"/>
          <w:szCs w:val="24"/>
        </w:rPr>
        <w:t xml:space="preserve">eliminary relief, </w:t>
      </w:r>
      <w:r w:rsidR="00E808B0" w:rsidRPr="00391C31">
        <w:rPr>
          <w:rFonts w:ascii="Times New Roman" w:hAnsi="Times New Roman"/>
          <w:sz w:val="24"/>
          <w:szCs w:val="24"/>
        </w:rPr>
        <w:t>[</w:t>
      </w:r>
      <w:r w:rsidRPr="00391C31">
        <w:rPr>
          <w:rFonts w:ascii="Times New Roman" w:hAnsi="Times New Roman"/>
          <w:sz w:val="24"/>
          <w:szCs w:val="24"/>
        </w:rPr>
        <w:t>(3)</w:t>
      </w:r>
      <w:r w:rsidR="00E808B0" w:rsidRPr="00391C31">
        <w:rPr>
          <w:rFonts w:ascii="Times New Roman" w:hAnsi="Times New Roman"/>
          <w:sz w:val="24"/>
          <w:szCs w:val="24"/>
        </w:rPr>
        <w:t>]</w:t>
      </w:r>
      <w:r w:rsidRPr="00391C31">
        <w:rPr>
          <w:rFonts w:ascii="Times New Roman" w:hAnsi="Times New Roman"/>
          <w:sz w:val="24"/>
          <w:szCs w:val="24"/>
        </w:rPr>
        <w:t xml:space="preserve"> that the balance of equities tips in his favor, and </w:t>
      </w:r>
      <w:r w:rsidR="00E808B0" w:rsidRPr="00391C31">
        <w:rPr>
          <w:rFonts w:ascii="Times New Roman" w:hAnsi="Times New Roman"/>
          <w:sz w:val="24"/>
          <w:szCs w:val="24"/>
        </w:rPr>
        <w:t>[</w:t>
      </w:r>
      <w:r w:rsidRPr="00391C31">
        <w:rPr>
          <w:rFonts w:ascii="Times New Roman" w:hAnsi="Times New Roman"/>
          <w:sz w:val="24"/>
          <w:szCs w:val="24"/>
        </w:rPr>
        <w:t>(4)</w:t>
      </w:r>
      <w:r w:rsidR="00E808B0" w:rsidRPr="00391C31">
        <w:rPr>
          <w:rFonts w:ascii="Times New Roman" w:hAnsi="Times New Roman"/>
          <w:sz w:val="24"/>
          <w:szCs w:val="24"/>
        </w:rPr>
        <w:t>]</w:t>
      </w:r>
      <w:r w:rsidRPr="00391C31">
        <w:rPr>
          <w:rFonts w:ascii="Times New Roman" w:hAnsi="Times New Roman"/>
          <w:sz w:val="24"/>
          <w:szCs w:val="24"/>
        </w:rPr>
        <w:t xml:space="preserve"> that an</w:t>
      </w:r>
      <w:r w:rsidR="000006E2" w:rsidRPr="00391C31">
        <w:rPr>
          <w:rFonts w:ascii="Times New Roman" w:hAnsi="Times New Roman"/>
          <w:sz w:val="24"/>
          <w:szCs w:val="24"/>
        </w:rPr>
        <w:t xml:space="preserve"> i</w:t>
      </w:r>
      <w:r w:rsidRPr="00391C31">
        <w:rPr>
          <w:rFonts w:ascii="Times New Roman" w:hAnsi="Times New Roman"/>
          <w:sz w:val="24"/>
          <w:szCs w:val="24"/>
        </w:rPr>
        <w:t xml:space="preserve">njunction is in the public interest.”  </w:t>
      </w:r>
      <w:r w:rsidRPr="00391C31">
        <w:rPr>
          <w:rFonts w:ascii="Times New Roman" w:hAnsi="Times New Roman"/>
          <w:i/>
          <w:iCs/>
          <w:sz w:val="24"/>
          <w:szCs w:val="24"/>
        </w:rPr>
        <w:t>Winter v. Natural Res. Def. Council</w:t>
      </w:r>
      <w:r w:rsidRPr="00391C31">
        <w:rPr>
          <w:rFonts w:ascii="Times New Roman" w:hAnsi="Times New Roman"/>
          <w:sz w:val="24"/>
          <w:szCs w:val="24"/>
        </w:rPr>
        <w:t xml:space="preserve">, </w:t>
      </w:r>
      <w:r w:rsidRPr="00391C31">
        <w:rPr>
          <w:rFonts w:ascii="Times New Roman" w:hAnsi="Times New Roman"/>
          <w:i/>
          <w:iCs/>
          <w:sz w:val="24"/>
          <w:szCs w:val="24"/>
        </w:rPr>
        <w:t xml:space="preserve">Inc., </w:t>
      </w:r>
      <w:r w:rsidRPr="00391C31">
        <w:rPr>
          <w:rFonts w:ascii="Times New Roman" w:hAnsi="Times New Roman"/>
          <w:sz w:val="24"/>
          <w:szCs w:val="24"/>
        </w:rPr>
        <w:t>555 U.S. 7, ___ (slip op. at 10), 129 S. Ct. 365, 374 (2008)</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w:instrText>
      </w:r>
      <w:r w:rsidR="00EA249C" w:rsidRPr="00391C31">
        <w:rPr>
          <w:rFonts w:ascii="Times New Roman" w:hAnsi="Times New Roman"/>
          <w:i/>
          <w:iCs/>
          <w:sz w:val="24"/>
          <w:szCs w:val="24"/>
        </w:rPr>
        <w:instrText>Winter v. Natural Res. Def. Council</w:instrText>
      </w:r>
      <w:r w:rsidR="00EA249C" w:rsidRPr="00391C31">
        <w:rPr>
          <w:rFonts w:ascii="Times New Roman" w:hAnsi="Times New Roman"/>
          <w:sz w:val="24"/>
          <w:szCs w:val="24"/>
        </w:rPr>
        <w:instrText xml:space="preserve">, </w:instrText>
      </w:r>
      <w:r w:rsidR="00EA249C" w:rsidRPr="00391C31">
        <w:rPr>
          <w:rFonts w:ascii="Times New Roman" w:hAnsi="Times New Roman"/>
          <w:i/>
          <w:iCs/>
          <w:sz w:val="24"/>
          <w:szCs w:val="24"/>
        </w:rPr>
        <w:instrText xml:space="preserve">Inc., </w:instrText>
      </w:r>
      <w:r w:rsidR="006C552F" w:rsidRPr="00391C31">
        <w:rPr>
          <w:rFonts w:ascii="Times New Roman" w:hAnsi="Times New Roman"/>
          <w:sz w:val="24"/>
          <w:szCs w:val="24"/>
        </w:rPr>
        <w:instrText>555 U.S. 7</w:instrText>
      </w:r>
      <w:r w:rsidR="00EA249C" w:rsidRPr="00391C31">
        <w:rPr>
          <w:rFonts w:ascii="Times New Roman" w:hAnsi="Times New Roman"/>
          <w:sz w:val="24"/>
          <w:szCs w:val="24"/>
        </w:rPr>
        <w:instrText xml:space="preserve"> (2008)" \s "Winter v. Natural Res. Def. Council, Inc., 555 U.S. 7, 129 S. Ct. 365, 374 (2008)" \c </w:instrText>
      </w:r>
      <w:r w:rsidR="006C552F" w:rsidRPr="00391C31">
        <w:rPr>
          <w:rFonts w:ascii="Times New Roman" w:hAnsi="Times New Roman"/>
          <w:sz w:val="24"/>
          <w:szCs w:val="24"/>
        </w:rPr>
        <w:instrText>1</w:instrText>
      </w:r>
      <w:r w:rsidR="00EA249C" w:rsidRPr="00391C31">
        <w:rPr>
          <w:rFonts w:ascii="Times New Roman" w:hAnsi="Times New Roman"/>
          <w:sz w:val="24"/>
          <w:szCs w:val="24"/>
        </w:rPr>
        <w:instrText xml:space="preserve">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w:t>
      </w:r>
      <w:r w:rsidR="00B41576" w:rsidRPr="00391C31">
        <w:rPr>
          <w:rFonts w:ascii="Times New Roman" w:hAnsi="Times New Roman"/>
          <w:i/>
          <w:sz w:val="24"/>
          <w:szCs w:val="24"/>
        </w:rPr>
        <w:t>see also</w:t>
      </w:r>
      <w:r w:rsidR="00B41576" w:rsidRPr="00391C31">
        <w:rPr>
          <w:rFonts w:ascii="Times New Roman" w:hAnsi="Times New Roman"/>
          <w:sz w:val="24"/>
          <w:szCs w:val="24"/>
        </w:rPr>
        <w:t xml:space="preserve"> </w:t>
      </w:r>
      <w:r w:rsidRPr="00391C31">
        <w:rPr>
          <w:rFonts w:ascii="Times New Roman" w:hAnsi="Times New Roman"/>
          <w:i/>
          <w:iCs/>
          <w:sz w:val="24"/>
          <w:szCs w:val="24"/>
        </w:rPr>
        <w:t>Brantley</w:t>
      </w:r>
      <w:r w:rsidRPr="00391C31">
        <w:rPr>
          <w:rFonts w:ascii="Times New Roman" w:hAnsi="Times New Roman"/>
          <w:sz w:val="24"/>
          <w:szCs w:val="24"/>
        </w:rPr>
        <w:t>, 656 F. Supp. 2d</w:t>
      </w:r>
      <w:r w:rsidR="00B41576" w:rsidRPr="00391C31">
        <w:rPr>
          <w:rFonts w:ascii="Times New Roman" w:hAnsi="Times New Roman"/>
          <w:sz w:val="24"/>
          <w:szCs w:val="24"/>
        </w:rPr>
        <w:t xml:space="preserve"> at</w:t>
      </w:r>
      <w:r w:rsidRPr="00391C31">
        <w:rPr>
          <w:rFonts w:ascii="Times New Roman" w:hAnsi="Times New Roman"/>
          <w:sz w:val="24"/>
          <w:szCs w:val="24"/>
        </w:rPr>
        <w:t xml:space="preserve"> 1169</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w:t>
      </w:r>
      <w:r w:rsidRPr="00391C31">
        <w:rPr>
          <w:rFonts w:ascii="Times New Roman" w:hAnsi="Times New Roman"/>
          <w:i/>
          <w:iCs/>
          <w:sz w:val="24"/>
          <w:szCs w:val="24"/>
        </w:rPr>
        <w:t>Cota</w:t>
      </w:r>
      <w:r w:rsidR="00B41576" w:rsidRPr="00391C31">
        <w:rPr>
          <w:rFonts w:ascii="Times New Roman" w:hAnsi="Times New Roman"/>
          <w:sz w:val="24"/>
          <w:szCs w:val="24"/>
        </w:rPr>
        <w:t>, 68</w:t>
      </w:r>
      <w:r w:rsidRPr="00391C31">
        <w:rPr>
          <w:rFonts w:ascii="Times New Roman" w:hAnsi="Times New Roman"/>
          <w:sz w:val="24"/>
          <w:szCs w:val="24"/>
        </w:rPr>
        <w:t xml:space="preserve">8 F. Supp. 2d </w:t>
      </w:r>
      <w:r w:rsidR="00B41576" w:rsidRPr="00391C31">
        <w:rPr>
          <w:rFonts w:ascii="Times New Roman" w:hAnsi="Times New Roman"/>
          <w:sz w:val="24"/>
          <w:szCs w:val="24"/>
        </w:rPr>
        <w:t xml:space="preserve">at </w:t>
      </w:r>
      <w:r w:rsidRPr="00391C31">
        <w:rPr>
          <w:rFonts w:ascii="Times New Roman" w:hAnsi="Times New Roman"/>
          <w:sz w:val="24"/>
          <w:szCs w:val="24"/>
        </w:rPr>
        <w:t>991</w:t>
      </w:r>
      <w:r w:rsidR="00726D1D"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"Cota v. Maxwell-Jolly, 688 F. Supp. 2d 980 (N.D. Cal. 2010)"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w:t>
      </w:r>
    </w:p>
    <w:p w:rsidR="00733583" w:rsidRPr="00391C31" w:rsidRDefault="00726D1D" w:rsidP="00224BDF">
      <w:pPr>
        <w:pStyle w:val="SubHeading2"/>
        <w:outlineLvl w:val="2"/>
      </w:pPr>
      <w:r>
        <w:rPr>
          <w:noProof/>
        </w:rPr>
        <w:pict>
          <v:shape id="_x0000_s1074" type="#_x0000_t202" style="position:absolute;left:0;text-align:left;margin-left:-43.5pt;margin-top:-2.25pt;width:36pt;height:10in;z-index:2517032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z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" o:allowincell="f" stroked="f">
            <v:textbox style="mso-next-textbox:#_x0000_s1074" inset="0,0,0,0">
              <w:txbxContent>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8</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9</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10</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18</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19</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20</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28</w:t>
                  </w:r>
                </w:p>
                <w:p w:rsidR="00F76F7D" w:rsidRDefault="00F76F7D" w:rsidP="00F76F7D">
                  <w:pPr>
                    <w:spacing w:after="0" w:line="480" w:lineRule="exact"/>
                    <w:jc w:val="right"/>
                  </w:pPr>
                </w:p>
              </w:txbxContent>
            </v:textbox>
            <w10:wrap anchorx="margin" anchory="margin"/>
          </v:shape>
        </w:pict>
      </w:r>
      <w:bookmarkStart w:id="8" w:name="_Toc298266485"/>
      <w:r w:rsidR="00733583" w:rsidRPr="00391C31">
        <w:t>Plaintiffs Are Likely to Prevail On Their ADA Claim</w:t>
      </w:r>
      <w:bookmarkEnd w:id="8"/>
    </w:p>
    <w:p w:rsidR="00733583" w:rsidRDefault="00733583" w:rsidP="00391C31">
      <w:pPr>
        <w:spacing w:after="0" w:line="480" w:lineRule="exact"/>
        <w:ind w:firstLine="720"/>
        <w:contextualSpacing/>
        <w:rPr>
          <w:rFonts w:ascii="Times New Roman" w:hAnsi="Times New Roman"/>
          <w:sz w:val="24"/>
          <w:szCs w:val="24"/>
        </w:rPr>
      </w:pPr>
      <w:r w:rsidRPr="00391C31">
        <w:rPr>
          <w:rFonts w:ascii="Times New Roman" w:hAnsi="Times New Roman"/>
          <w:iCs/>
          <w:sz w:val="24"/>
          <w:szCs w:val="24"/>
        </w:rPr>
        <w:t xml:space="preserve"> </w:t>
      </w:r>
      <w:r w:rsidR="00C57A03" w:rsidRPr="00391C31">
        <w:rPr>
          <w:rFonts w:ascii="Times New Roman" w:hAnsi="Times New Roman"/>
          <w:iCs/>
          <w:sz w:val="24"/>
          <w:szCs w:val="24"/>
        </w:rPr>
        <w:t>Plaintiffs</w:t>
      </w:r>
      <w:r w:rsidR="007B2F8B" w:rsidRPr="00391C31">
        <w:rPr>
          <w:rFonts w:ascii="Times New Roman" w:hAnsi="Times New Roman"/>
          <w:iCs/>
          <w:sz w:val="24"/>
          <w:szCs w:val="24"/>
        </w:rPr>
        <w:t xml:space="preserve"> have</w:t>
      </w:r>
      <w:r w:rsidR="00C57A03" w:rsidRPr="00391C31">
        <w:rPr>
          <w:rFonts w:ascii="Times New Roman" w:hAnsi="Times New Roman"/>
          <w:iCs/>
          <w:sz w:val="24"/>
          <w:szCs w:val="24"/>
        </w:rPr>
        <w:t xml:space="preserve"> submitted</w:t>
      </w:r>
      <w:r w:rsidR="007B2F8B" w:rsidRPr="00391C31">
        <w:rPr>
          <w:rFonts w:ascii="Times New Roman" w:hAnsi="Times New Roman"/>
          <w:iCs/>
          <w:sz w:val="24"/>
          <w:szCs w:val="24"/>
        </w:rPr>
        <w:t xml:space="preserve"> substantial evidence of the devastating effects that Defendants’ planned implementation of AB</w:t>
      </w:r>
      <w:r w:rsidR="003D1B07" w:rsidRPr="00391C31">
        <w:rPr>
          <w:rFonts w:ascii="Times New Roman" w:hAnsi="Times New Roman"/>
          <w:iCs/>
          <w:sz w:val="24"/>
          <w:szCs w:val="24"/>
        </w:rPr>
        <w:t xml:space="preserve"> </w:t>
      </w:r>
      <w:r w:rsidR="007B2F8B" w:rsidRPr="00391C31">
        <w:rPr>
          <w:rFonts w:ascii="Times New Roman" w:hAnsi="Times New Roman"/>
          <w:iCs/>
          <w:sz w:val="24"/>
          <w:szCs w:val="24"/>
        </w:rPr>
        <w:t>97</w:t>
      </w:r>
      <w:r w:rsidR="00D05F83" w:rsidRPr="00391C31">
        <w:rPr>
          <w:rFonts w:ascii="Times New Roman" w:hAnsi="Times New Roman"/>
          <w:iCs/>
          <w:sz w:val="24"/>
          <w:szCs w:val="24"/>
        </w:rPr>
        <w:t xml:space="preserve"> will have</w:t>
      </w:r>
      <w:r w:rsidR="007B2F8B" w:rsidRPr="00391C31">
        <w:rPr>
          <w:rFonts w:ascii="Times New Roman" w:hAnsi="Times New Roman"/>
          <w:iCs/>
          <w:sz w:val="24"/>
          <w:szCs w:val="24"/>
        </w:rPr>
        <w:t xml:space="preserve">, including placing </w:t>
      </w:r>
      <w:r w:rsidR="003D1B07" w:rsidRPr="00391C31">
        <w:rPr>
          <w:rFonts w:ascii="Times New Roman" w:hAnsi="Times New Roman"/>
          <w:iCs/>
          <w:sz w:val="24"/>
          <w:szCs w:val="24"/>
        </w:rPr>
        <w:t xml:space="preserve">at risk of institutionalization </w:t>
      </w:r>
      <w:r w:rsidR="007B2F8B" w:rsidRPr="00391C31">
        <w:rPr>
          <w:rFonts w:ascii="Times New Roman" w:hAnsi="Times New Roman"/>
          <w:iCs/>
          <w:sz w:val="24"/>
          <w:szCs w:val="24"/>
        </w:rPr>
        <w:t>thousands of individuals with disabilities who rely on ADHC to remain in the community</w:t>
      </w:r>
      <w:r w:rsidR="00D05F83" w:rsidRPr="00391C31">
        <w:rPr>
          <w:rFonts w:ascii="Times New Roman" w:hAnsi="Times New Roman"/>
          <w:iCs/>
          <w:sz w:val="24"/>
          <w:szCs w:val="24"/>
        </w:rPr>
        <w:t>.</w:t>
      </w:r>
      <w:r w:rsidR="007B2F8B" w:rsidRPr="00391C31">
        <w:rPr>
          <w:rFonts w:ascii="Times New Roman" w:hAnsi="Times New Roman"/>
          <w:iCs/>
          <w:sz w:val="24"/>
          <w:szCs w:val="24"/>
        </w:rPr>
        <w:t xml:space="preserve">  </w:t>
      </w:r>
      <w:r w:rsidR="003801FF" w:rsidRPr="00391C31">
        <w:rPr>
          <w:rFonts w:ascii="Times New Roman" w:hAnsi="Times New Roman"/>
          <w:iCs/>
          <w:sz w:val="24"/>
          <w:szCs w:val="24"/>
        </w:rPr>
        <w:t xml:space="preserve">The first two prongs of Plaintiffs’ </w:t>
      </w:r>
      <w:r w:rsidR="003801FF" w:rsidRPr="00391C31">
        <w:rPr>
          <w:rFonts w:ascii="Times New Roman" w:hAnsi="Times New Roman"/>
          <w:i/>
          <w:iCs/>
          <w:sz w:val="24"/>
          <w:szCs w:val="24"/>
        </w:rPr>
        <w:t>Olmstead</w:t>
      </w:r>
      <w:r w:rsidR="003801FF" w:rsidRPr="00391C31">
        <w:rPr>
          <w:rFonts w:ascii="Times New Roman" w:hAnsi="Times New Roman"/>
          <w:iCs/>
          <w:sz w:val="24"/>
          <w:szCs w:val="24"/>
        </w:rPr>
        <w:t xml:space="preserve"> claim do not appear to be in dispute</w:t>
      </w:r>
      <w:r w:rsidR="007B2F8B" w:rsidRPr="00391C31">
        <w:rPr>
          <w:rFonts w:ascii="Times New Roman" w:hAnsi="Times New Roman"/>
          <w:iCs/>
          <w:sz w:val="24"/>
          <w:szCs w:val="24"/>
        </w:rPr>
        <w:t xml:space="preserve"> – Defendants </w:t>
      </w:r>
      <w:r w:rsidR="003801FF" w:rsidRPr="00391C31">
        <w:rPr>
          <w:rFonts w:ascii="Times New Roman" w:hAnsi="Times New Roman"/>
          <w:iCs/>
          <w:sz w:val="24"/>
          <w:szCs w:val="24"/>
        </w:rPr>
        <w:t xml:space="preserve">have determined that community-based care is appropriate </w:t>
      </w:r>
      <w:r w:rsidR="00623350" w:rsidRPr="00391C31">
        <w:rPr>
          <w:rFonts w:ascii="Times New Roman" w:hAnsi="Times New Roman"/>
          <w:iCs/>
          <w:sz w:val="24"/>
          <w:szCs w:val="24"/>
        </w:rPr>
        <w:t xml:space="preserve">and </w:t>
      </w:r>
      <w:r w:rsidR="0093609E" w:rsidRPr="00391C31">
        <w:rPr>
          <w:rFonts w:ascii="Times New Roman" w:hAnsi="Times New Roman"/>
          <w:iCs/>
          <w:sz w:val="24"/>
          <w:szCs w:val="24"/>
        </w:rPr>
        <w:t xml:space="preserve">Plaintiffs </w:t>
      </w:r>
      <w:r w:rsidR="003801FF" w:rsidRPr="00391C31">
        <w:rPr>
          <w:rFonts w:ascii="Times New Roman" w:hAnsi="Times New Roman"/>
          <w:iCs/>
          <w:sz w:val="24"/>
          <w:szCs w:val="24"/>
        </w:rPr>
        <w:t xml:space="preserve">do not oppose </w:t>
      </w:r>
      <w:r w:rsidR="001709E6" w:rsidRPr="00391C31">
        <w:rPr>
          <w:rFonts w:ascii="Times New Roman" w:hAnsi="Times New Roman"/>
          <w:iCs/>
          <w:sz w:val="24"/>
          <w:szCs w:val="24"/>
        </w:rPr>
        <w:t>receiving services in the community</w:t>
      </w:r>
      <w:r w:rsidR="003801FF" w:rsidRPr="00391C31">
        <w:rPr>
          <w:rFonts w:ascii="Times New Roman" w:hAnsi="Times New Roman"/>
          <w:iCs/>
          <w:sz w:val="24"/>
          <w:szCs w:val="24"/>
        </w:rPr>
        <w:t>.  Plainti</w:t>
      </w:r>
      <w:r w:rsidR="007B2F8B" w:rsidRPr="00391C31">
        <w:rPr>
          <w:rFonts w:ascii="Times New Roman" w:hAnsi="Times New Roman"/>
          <w:iCs/>
          <w:sz w:val="24"/>
          <w:szCs w:val="24"/>
        </w:rPr>
        <w:t xml:space="preserve">ffs </w:t>
      </w:r>
      <w:r w:rsidR="00C57A03" w:rsidRPr="00391C31">
        <w:rPr>
          <w:rFonts w:ascii="Times New Roman" w:hAnsi="Times New Roman"/>
          <w:iCs/>
          <w:sz w:val="24"/>
          <w:szCs w:val="24"/>
        </w:rPr>
        <w:t>also</w:t>
      </w:r>
      <w:r w:rsidR="007B2F8B" w:rsidRPr="00391C31">
        <w:rPr>
          <w:rFonts w:ascii="Times New Roman" w:hAnsi="Times New Roman"/>
          <w:iCs/>
          <w:sz w:val="24"/>
          <w:szCs w:val="24"/>
        </w:rPr>
        <w:t xml:space="preserve"> satisfy the </w:t>
      </w:r>
      <w:r w:rsidR="003801FF" w:rsidRPr="00391C31">
        <w:rPr>
          <w:rFonts w:ascii="Times New Roman" w:hAnsi="Times New Roman"/>
          <w:iCs/>
          <w:sz w:val="24"/>
          <w:szCs w:val="24"/>
        </w:rPr>
        <w:t xml:space="preserve">last prong – that the modification </w:t>
      </w:r>
      <w:r w:rsidR="00B41576" w:rsidRPr="00391C31">
        <w:rPr>
          <w:rFonts w:ascii="Times New Roman" w:hAnsi="Times New Roman"/>
          <w:iCs/>
          <w:sz w:val="24"/>
          <w:szCs w:val="24"/>
        </w:rPr>
        <w:t xml:space="preserve">to Defendants’ policies </w:t>
      </w:r>
      <w:r w:rsidR="003801FF" w:rsidRPr="00391C31">
        <w:rPr>
          <w:rFonts w:ascii="Times New Roman" w:hAnsi="Times New Roman"/>
          <w:iCs/>
          <w:sz w:val="24"/>
          <w:szCs w:val="24"/>
        </w:rPr>
        <w:t>they request is reasonable</w:t>
      </w:r>
      <w:r w:rsidR="007B2F8B" w:rsidRPr="00391C31">
        <w:rPr>
          <w:rFonts w:ascii="Times New Roman" w:hAnsi="Times New Roman"/>
          <w:iCs/>
          <w:sz w:val="24"/>
          <w:szCs w:val="24"/>
        </w:rPr>
        <w:t xml:space="preserve"> and would not fundamentally alter the State’s program</w:t>
      </w:r>
      <w:r w:rsidR="009E7AB8" w:rsidRPr="00391C31">
        <w:rPr>
          <w:rFonts w:ascii="Times New Roman" w:hAnsi="Times New Roman"/>
          <w:iCs/>
          <w:sz w:val="24"/>
          <w:szCs w:val="24"/>
        </w:rPr>
        <w:t>s</w:t>
      </w:r>
      <w:r w:rsidR="007B2F8B" w:rsidRPr="00391C31">
        <w:rPr>
          <w:rFonts w:ascii="Times New Roman" w:hAnsi="Times New Roman"/>
          <w:iCs/>
          <w:sz w:val="24"/>
          <w:szCs w:val="24"/>
        </w:rPr>
        <w:t xml:space="preserve">.  </w:t>
      </w:r>
      <w:r w:rsidR="00033CE9" w:rsidRPr="00391C31">
        <w:rPr>
          <w:rFonts w:ascii="Times New Roman" w:hAnsi="Times New Roman"/>
          <w:sz w:val="24"/>
          <w:szCs w:val="24"/>
        </w:rPr>
        <w:t>Plaintiffs</w:t>
      </w:r>
      <w:r w:rsidRPr="00391C31">
        <w:rPr>
          <w:rFonts w:ascii="Times New Roman" w:hAnsi="Times New Roman"/>
          <w:sz w:val="24"/>
          <w:szCs w:val="24"/>
        </w:rPr>
        <w:t xml:space="preserve"> request that the </w:t>
      </w:r>
      <w:r w:rsidR="007B2F8B" w:rsidRPr="00391C31">
        <w:rPr>
          <w:rFonts w:ascii="Times New Roman" w:hAnsi="Times New Roman"/>
          <w:sz w:val="24"/>
          <w:szCs w:val="24"/>
        </w:rPr>
        <w:t>Defendants</w:t>
      </w:r>
      <w:r w:rsidR="001709E6" w:rsidRPr="00391C31">
        <w:rPr>
          <w:rFonts w:ascii="Times New Roman" w:hAnsi="Times New Roman"/>
          <w:sz w:val="24"/>
          <w:szCs w:val="24"/>
        </w:rPr>
        <w:t xml:space="preserve"> not terminate</w:t>
      </w:r>
      <w:r w:rsidRPr="00391C31">
        <w:rPr>
          <w:rFonts w:ascii="Times New Roman" w:hAnsi="Times New Roman"/>
          <w:sz w:val="24"/>
          <w:szCs w:val="24"/>
        </w:rPr>
        <w:t xml:space="preserve"> ADHC services until adequate services are provided to replace the care </w:t>
      </w:r>
      <w:r w:rsidR="00C57A03" w:rsidRPr="00391C31">
        <w:rPr>
          <w:rFonts w:ascii="Times New Roman" w:hAnsi="Times New Roman"/>
          <w:sz w:val="24"/>
          <w:szCs w:val="24"/>
        </w:rPr>
        <w:t>P</w:t>
      </w:r>
      <w:r w:rsidRPr="00391C31">
        <w:rPr>
          <w:rFonts w:ascii="Times New Roman" w:hAnsi="Times New Roman"/>
          <w:sz w:val="24"/>
          <w:szCs w:val="24"/>
        </w:rPr>
        <w:t>laintiffs need in orde</w:t>
      </w:r>
      <w:r w:rsidR="00B41576" w:rsidRPr="00391C31">
        <w:rPr>
          <w:rFonts w:ascii="Times New Roman" w:hAnsi="Times New Roman"/>
          <w:sz w:val="24"/>
          <w:szCs w:val="24"/>
        </w:rPr>
        <w:t xml:space="preserve">r to avoid institutionalization, </w:t>
      </w:r>
      <w:r w:rsidRPr="00391C31">
        <w:rPr>
          <w:rFonts w:ascii="Times New Roman" w:hAnsi="Times New Roman"/>
          <w:sz w:val="24"/>
          <w:szCs w:val="24"/>
        </w:rPr>
        <w:t xml:space="preserve">and that </w:t>
      </w:r>
      <w:r w:rsidR="007B2F8B" w:rsidRPr="00391C31">
        <w:rPr>
          <w:rFonts w:ascii="Times New Roman" w:hAnsi="Times New Roman"/>
          <w:sz w:val="24"/>
          <w:szCs w:val="24"/>
        </w:rPr>
        <w:t>Defendants</w:t>
      </w:r>
      <w:r w:rsidRPr="00391C31">
        <w:rPr>
          <w:rFonts w:ascii="Times New Roman" w:hAnsi="Times New Roman"/>
          <w:sz w:val="24"/>
          <w:szCs w:val="24"/>
        </w:rPr>
        <w:t xml:space="preserve"> transition the </w:t>
      </w:r>
      <w:r w:rsidR="007B2F8B" w:rsidRPr="00391C31">
        <w:rPr>
          <w:rFonts w:ascii="Times New Roman" w:hAnsi="Times New Roman"/>
          <w:sz w:val="24"/>
          <w:szCs w:val="24"/>
        </w:rPr>
        <w:t>P</w:t>
      </w:r>
      <w:r w:rsidRPr="00391C31">
        <w:rPr>
          <w:rFonts w:ascii="Times New Roman" w:hAnsi="Times New Roman"/>
          <w:sz w:val="24"/>
          <w:szCs w:val="24"/>
        </w:rPr>
        <w:t xml:space="preserve">laintiffs from ADHC to alternative services in a way that does not place </w:t>
      </w:r>
      <w:r w:rsidR="007B2F8B" w:rsidRPr="00391C31">
        <w:rPr>
          <w:rFonts w:ascii="Times New Roman" w:hAnsi="Times New Roman"/>
          <w:sz w:val="24"/>
          <w:szCs w:val="24"/>
        </w:rPr>
        <w:t>P</w:t>
      </w:r>
      <w:r w:rsidRPr="00391C31">
        <w:rPr>
          <w:rFonts w:ascii="Times New Roman" w:hAnsi="Times New Roman"/>
          <w:sz w:val="24"/>
          <w:szCs w:val="24"/>
        </w:rPr>
        <w:t>laintiffs at risk of institutionalization</w:t>
      </w:r>
      <w:r w:rsidR="00033CE9" w:rsidRPr="00391C31">
        <w:rPr>
          <w:rFonts w:ascii="Times New Roman" w:hAnsi="Times New Roman"/>
          <w:sz w:val="24"/>
          <w:szCs w:val="24"/>
        </w:rPr>
        <w:t xml:space="preserve">.  (Pls.’ </w:t>
      </w:r>
      <w:r w:rsidR="00BB10E9" w:rsidRPr="00391C31">
        <w:rPr>
          <w:rFonts w:ascii="Times New Roman" w:hAnsi="Times New Roman"/>
          <w:sz w:val="24"/>
          <w:szCs w:val="24"/>
        </w:rPr>
        <w:t>Br</w:t>
      </w:r>
      <w:r w:rsidR="00033CE9" w:rsidRPr="00391C31">
        <w:rPr>
          <w:rFonts w:ascii="Times New Roman" w:hAnsi="Times New Roman"/>
          <w:sz w:val="24"/>
          <w:szCs w:val="24"/>
        </w:rPr>
        <w:t xml:space="preserve">. at 1.)  This request will not fundamentally alter the </w:t>
      </w:r>
      <w:r w:rsidR="001709E6" w:rsidRPr="00391C31">
        <w:rPr>
          <w:rFonts w:ascii="Times New Roman" w:hAnsi="Times New Roman"/>
          <w:sz w:val="24"/>
          <w:szCs w:val="24"/>
        </w:rPr>
        <w:t xml:space="preserve">State’s </w:t>
      </w:r>
      <w:r w:rsidR="00033CE9" w:rsidRPr="00391C31">
        <w:rPr>
          <w:rFonts w:ascii="Times New Roman" w:hAnsi="Times New Roman"/>
          <w:sz w:val="24"/>
          <w:szCs w:val="24"/>
        </w:rPr>
        <w:t>program</w:t>
      </w:r>
      <w:r w:rsidR="001709E6" w:rsidRPr="00391C31">
        <w:rPr>
          <w:rFonts w:ascii="Times New Roman" w:hAnsi="Times New Roman"/>
          <w:sz w:val="24"/>
          <w:szCs w:val="24"/>
        </w:rPr>
        <w:t>s</w:t>
      </w:r>
      <w:r w:rsidR="00033CE9" w:rsidRPr="00391C31">
        <w:rPr>
          <w:rFonts w:ascii="Times New Roman" w:hAnsi="Times New Roman"/>
          <w:sz w:val="24"/>
          <w:szCs w:val="24"/>
        </w:rPr>
        <w:t xml:space="preserve">, </w:t>
      </w:r>
      <w:r w:rsidR="001709E6" w:rsidRPr="00391C31">
        <w:rPr>
          <w:rFonts w:ascii="Times New Roman" w:hAnsi="Times New Roman"/>
          <w:sz w:val="24"/>
          <w:szCs w:val="24"/>
        </w:rPr>
        <w:t>because the State</w:t>
      </w:r>
      <w:r w:rsidR="00033CE9" w:rsidRPr="00391C31">
        <w:rPr>
          <w:rFonts w:ascii="Times New Roman" w:hAnsi="Times New Roman"/>
          <w:sz w:val="24"/>
          <w:szCs w:val="24"/>
        </w:rPr>
        <w:t xml:space="preserve"> will face increased expenditures from Plaintiffs’ </w:t>
      </w:r>
      <w:r w:rsidR="007B2F8B" w:rsidRPr="00391C31">
        <w:rPr>
          <w:rFonts w:ascii="Times New Roman" w:hAnsi="Times New Roman"/>
          <w:sz w:val="24"/>
          <w:szCs w:val="24"/>
        </w:rPr>
        <w:t>more frequent</w:t>
      </w:r>
      <w:r w:rsidR="00033CE9" w:rsidRPr="00391C31">
        <w:rPr>
          <w:rFonts w:ascii="Times New Roman" w:hAnsi="Times New Roman"/>
          <w:sz w:val="24"/>
          <w:szCs w:val="24"/>
        </w:rPr>
        <w:t xml:space="preserve"> hospitalizations, emergency room visits, and entry into long-term care facilities in the absence of medically necessary ADHC</w:t>
      </w:r>
      <w:r w:rsidR="007B2F8B" w:rsidRPr="00391C31">
        <w:rPr>
          <w:rFonts w:ascii="Times New Roman" w:hAnsi="Times New Roman"/>
          <w:sz w:val="24"/>
          <w:szCs w:val="24"/>
        </w:rPr>
        <w:t xml:space="preserve"> or equivalent</w:t>
      </w:r>
      <w:r w:rsidR="00033CE9" w:rsidRPr="00391C31">
        <w:rPr>
          <w:rFonts w:ascii="Times New Roman" w:hAnsi="Times New Roman"/>
          <w:sz w:val="24"/>
          <w:szCs w:val="24"/>
        </w:rPr>
        <w:t xml:space="preserve"> services</w:t>
      </w:r>
      <w:r w:rsidR="00CE32BD" w:rsidRPr="00391C31">
        <w:rPr>
          <w:rFonts w:ascii="Times New Roman" w:hAnsi="Times New Roman"/>
          <w:sz w:val="24"/>
          <w:szCs w:val="24"/>
        </w:rPr>
        <w:t>.</w:t>
      </w:r>
      <w:r w:rsidR="00CE32BD" w:rsidRPr="00391C31">
        <w:rPr>
          <w:rStyle w:val="FootnoteReference"/>
          <w:rFonts w:ascii="Times New Roman" w:hAnsi="Times New Roman"/>
          <w:sz w:val="24"/>
          <w:szCs w:val="24"/>
        </w:rPr>
        <w:footnoteReference w:id="7"/>
      </w:r>
      <w:r w:rsidR="00CE32BD" w:rsidRPr="00391C31">
        <w:rPr>
          <w:rFonts w:ascii="Times New Roman" w:hAnsi="Times New Roman"/>
          <w:sz w:val="24"/>
          <w:szCs w:val="24"/>
        </w:rPr>
        <w:t xml:space="preserve">  </w:t>
      </w:r>
    </w:p>
    <w:p w:rsidR="00C57A03" w:rsidRPr="00391C31" w:rsidRDefault="00726D1D" w:rsidP="008E53E5">
      <w:pPr>
        <w:pStyle w:val="SubHeading3"/>
        <w:outlineLvl w:val="3"/>
      </w:pPr>
      <w:r>
        <w:rPr>
          <w:noProof/>
        </w:rPr>
        <w:pict>
          <v:shape id="_x0000_s1040" type="#_x0000_t202" style="position:absolute;left:0;text-align:left;margin-left:-45pt;margin-top:0;width:36pt;height:10in;z-index:2516725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z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" o:allowincell="f" stroked="f">
            <v:textbox style="mso-next-textbox:#_x0000_s1040"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bookmarkStart w:id="9" w:name="_Toc298266486"/>
      <w:r w:rsidR="00C57A03" w:rsidRPr="00391C31">
        <w:t xml:space="preserve">Plaintiffs have Article III </w:t>
      </w:r>
      <w:r w:rsidR="00484FF2" w:rsidRPr="00391C31">
        <w:t>s</w:t>
      </w:r>
      <w:r w:rsidR="00C57A03" w:rsidRPr="00391C31">
        <w:t>tanding</w:t>
      </w:r>
      <w:r w:rsidR="00484FF2" w:rsidRPr="00391C31">
        <w:t xml:space="preserve"> to assert a violation of the ADA’s Integration Mandate</w:t>
      </w:r>
      <w:bookmarkEnd w:id="9"/>
    </w:p>
    <w:p w:rsidR="00ED5BA9" w:rsidRDefault="00484FF2" w:rsidP="005350AB">
      <w:pPr>
        <w:spacing w:after="0" w:line="480" w:lineRule="exact"/>
        <w:ind w:firstLine="720"/>
        <w:rPr>
          <w:rFonts w:ascii="Times New Roman" w:hAnsi="Times New Roman"/>
          <w:sz w:val="24"/>
          <w:szCs w:val="24"/>
        </w:rPr>
      </w:pPr>
      <w:r w:rsidRPr="00FC533B">
        <w:rPr>
          <w:rFonts w:ascii="Times New Roman" w:hAnsi="Times New Roman"/>
          <w:sz w:val="24"/>
          <w:szCs w:val="24"/>
        </w:rPr>
        <w:t>Defendants argue that Plaintiffs lack standing for a preliminary injunction because plaintiffs “fail to establish that they will imminently have no alternative but to submit to institutionalization solely because a transition program, or an adequate one, is not yet in place</w:t>
      </w:r>
      <w:r w:rsidR="00A465B2">
        <w:rPr>
          <w:rFonts w:ascii="Times New Roman" w:hAnsi="Times New Roman"/>
          <w:sz w:val="24"/>
          <w:szCs w:val="24"/>
        </w:rPr>
        <w:t>.</w:t>
      </w:r>
      <w:r w:rsidRPr="00FC533B">
        <w:rPr>
          <w:rFonts w:ascii="Times New Roman" w:hAnsi="Times New Roman"/>
          <w:sz w:val="24"/>
          <w:szCs w:val="24"/>
        </w:rPr>
        <w:t>” (Defs.’</w:t>
      </w:r>
      <w:r w:rsidR="00A961EF" w:rsidRPr="00FC533B">
        <w:rPr>
          <w:rFonts w:ascii="Times New Roman" w:hAnsi="Times New Roman"/>
          <w:sz w:val="24"/>
          <w:szCs w:val="24"/>
        </w:rPr>
        <w:t xml:space="preserve"> Opp. to Pls.’ Mot. for Prelim. Inj.</w:t>
      </w:r>
      <w:r w:rsidR="00BB5113" w:rsidRPr="00FC533B">
        <w:rPr>
          <w:rFonts w:ascii="Times New Roman" w:hAnsi="Times New Roman"/>
          <w:sz w:val="24"/>
          <w:szCs w:val="24"/>
        </w:rPr>
        <w:t>, ECF No. 267,</w:t>
      </w:r>
      <w:r w:rsidR="00A961EF" w:rsidRPr="00FC533B">
        <w:rPr>
          <w:rFonts w:ascii="Times New Roman" w:hAnsi="Times New Roman"/>
          <w:sz w:val="24"/>
          <w:szCs w:val="24"/>
        </w:rPr>
        <w:t xml:space="preserve"> (“Defs.’ Br.”)</w:t>
      </w:r>
      <w:r w:rsidRPr="00FC533B">
        <w:rPr>
          <w:rFonts w:ascii="Times New Roman" w:hAnsi="Times New Roman"/>
          <w:sz w:val="24"/>
          <w:szCs w:val="24"/>
        </w:rPr>
        <w:t xml:space="preserve"> at 19-20.)  This argument </w:t>
      </w:r>
      <w:r w:rsidR="00623350" w:rsidRPr="00FC533B">
        <w:rPr>
          <w:rFonts w:ascii="Times New Roman" w:hAnsi="Times New Roman"/>
          <w:sz w:val="24"/>
          <w:szCs w:val="24"/>
        </w:rPr>
        <w:t>is without</w:t>
      </w:r>
      <w:r w:rsidRPr="00FC533B">
        <w:rPr>
          <w:rFonts w:ascii="Times New Roman" w:hAnsi="Times New Roman"/>
          <w:sz w:val="24"/>
          <w:szCs w:val="24"/>
        </w:rPr>
        <w:t xml:space="preserve"> merit</w:t>
      </w:r>
      <w:r w:rsidR="00623350" w:rsidRPr="00FC533B">
        <w:rPr>
          <w:rFonts w:ascii="Times New Roman" w:hAnsi="Times New Roman"/>
          <w:sz w:val="24"/>
          <w:szCs w:val="24"/>
        </w:rPr>
        <w:t xml:space="preserve"> and conflates the requirements of standing with the merits of Plaintiffs’ ADA claims.</w:t>
      </w:r>
      <w:r w:rsidRPr="00FC533B">
        <w:rPr>
          <w:rFonts w:ascii="Times New Roman" w:hAnsi="Times New Roman"/>
          <w:sz w:val="24"/>
          <w:szCs w:val="24"/>
        </w:rPr>
        <w:t xml:space="preserve"> </w:t>
      </w:r>
      <w:r w:rsidR="00623350" w:rsidRPr="00FC533B">
        <w:rPr>
          <w:rFonts w:ascii="Times New Roman" w:hAnsi="Times New Roman"/>
          <w:sz w:val="24"/>
          <w:szCs w:val="24"/>
        </w:rPr>
        <w:t xml:space="preserve"> </w:t>
      </w:r>
      <w:r w:rsidR="00FC533B" w:rsidRPr="00FC533B">
        <w:rPr>
          <w:rFonts w:ascii="Times New Roman" w:hAnsi="Times New Roman"/>
          <w:sz w:val="24"/>
          <w:szCs w:val="24"/>
        </w:rPr>
        <w:t xml:space="preserve">It is well settled that to establish standing, </w:t>
      </w:r>
      <w:r w:rsidR="001B1144">
        <w:rPr>
          <w:rFonts w:ascii="Times New Roman" w:hAnsi="Times New Roman"/>
          <w:sz w:val="24"/>
          <w:szCs w:val="24"/>
        </w:rPr>
        <w:t>a</w:t>
      </w:r>
      <w:r w:rsidR="00FC533B" w:rsidRPr="00FC533B">
        <w:rPr>
          <w:rFonts w:ascii="Times New Roman" w:hAnsi="Times New Roman"/>
          <w:sz w:val="24"/>
          <w:szCs w:val="24"/>
        </w:rPr>
        <w:t xml:space="preserve"> litigant must show (1) </w:t>
      </w:r>
      <w:r w:rsidR="001B1144">
        <w:rPr>
          <w:rFonts w:ascii="Times New Roman" w:hAnsi="Times New Roman"/>
          <w:sz w:val="24"/>
          <w:szCs w:val="24"/>
        </w:rPr>
        <w:t>that he</w:t>
      </w:r>
      <w:r w:rsidR="00FC533B" w:rsidRPr="00FC533B">
        <w:rPr>
          <w:rFonts w:ascii="Times New Roman" w:hAnsi="Times New Roman"/>
          <w:sz w:val="24"/>
          <w:szCs w:val="24"/>
        </w:rPr>
        <w:t xml:space="preserve"> suffered actual or threatened injury; (2) </w:t>
      </w:r>
      <w:r w:rsidR="001B1144">
        <w:rPr>
          <w:rFonts w:ascii="Times New Roman" w:hAnsi="Times New Roman"/>
          <w:sz w:val="24"/>
          <w:szCs w:val="24"/>
        </w:rPr>
        <w:t xml:space="preserve">that </w:t>
      </w:r>
      <w:r w:rsidR="00FC533B" w:rsidRPr="00FC533B">
        <w:rPr>
          <w:rFonts w:ascii="Times New Roman" w:hAnsi="Times New Roman"/>
          <w:sz w:val="24"/>
          <w:szCs w:val="24"/>
        </w:rPr>
        <w:t>the condition complained of caused the injury or threatened injury, and (3)</w:t>
      </w:r>
      <w:r w:rsidR="001B1144">
        <w:rPr>
          <w:rFonts w:ascii="Times New Roman" w:hAnsi="Times New Roman"/>
          <w:sz w:val="24"/>
          <w:szCs w:val="24"/>
        </w:rPr>
        <w:t xml:space="preserve"> that</w:t>
      </w:r>
      <w:r w:rsidR="00FC533B" w:rsidRPr="00FC533B">
        <w:rPr>
          <w:rFonts w:ascii="Times New Roman" w:hAnsi="Times New Roman"/>
          <w:sz w:val="24"/>
          <w:szCs w:val="24"/>
        </w:rPr>
        <w:t xml:space="preserve"> the requested relief </w:t>
      </w:r>
      <w:r w:rsidR="001B1144">
        <w:rPr>
          <w:rFonts w:ascii="Times New Roman" w:hAnsi="Times New Roman"/>
          <w:sz w:val="24"/>
          <w:szCs w:val="24"/>
        </w:rPr>
        <w:t xml:space="preserve">will redress </w:t>
      </w:r>
      <w:r w:rsidR="00FC533B" w:rsidRPr="00FC533B">
        <w:rPr>
          <w:rFonts w:ascii="Times New Roman" w:hAnsi="Times New Roman"/>
          <w:sz w:val="24"/>
          <w:szCs w:val="24"/>
        </w:rPr>
        <w:t xml:space="preserve">the alleged injury.  </w:t>
      </w:r>
      <w:r w:rsidR="002732B3" w:rsidRPr="002732B3">
        <w:rPr>
          <w:rFonts w:ascii="Times New Roman" w:hAnsi="Times New Roman"/>
          <w:i/>
          <w:sz w:val="24"/>
          <w:szCs w:val="24"/>
        </w:rPr>
        <w:t>See</w:t>
      </w:r>
      <w:r w:rsidR="002732B3">
        <w:rPr>
          <w:rFonts w:ascii="Times New Roman" w:hAnsi="Times New Roman"/>
          <w:sz w:val="24"/>
          <w:szCs w:val="24"/>
        </w:rPr>
        <w:t xml:space="preserve"> </w:t>
      </w:r>
      <w:r w:rsidR="00FC533B" w:rsidRPr="00FC533B">
        <w:rPr>
          <w:rFonts w:ascii="Times New Roman" w:hAnsi="Times New Roman"/>
          <w:i/>
          <w:iCs/>
          <w:sz w:val="24"/>
          <w:szCs w:val="24"/>
        </w:rPr>
        <w:t>Lujan v. Defenders of Wildlife</w:t>
      </w:r>
      <w:r w:rsidR="00FC533B" w:rsidRPr="00FC533B">
        <w:rPr>
          <w:rFonts w:ascii="Times New Roman" w:hAnsi="Times New Roman"/>
          <w:sz w:val="24"/>
          <w:szCs w:val="24"/>
        </w:rPr>
        <w:t>, 504 U.S. 555, 560-61 (1992)</w:t>
      </w:r>
      <w:r w:rsidR="00726D1D">
        <w:rPr>
          <w:rFonts w:ascii="Times New Roman" w:hAnsi="Times New Roman"/>
          <w:sz w:val="24"/>
          <w:szCs w:val="24"/>
        </w:rPr>
        <w:fldChar w:fldCharType="begin"/>
      </w:r>
      <w:r w:rsidR="00B551C9">
        <w:instrText xml:space="preserve"> TA \l "</w:instrText>
      </w:r>
      <w:r w:rsidR="00B551C9" w:rsidRPr="00F872BC">
        <w:rPr>
          <w:rFonts w:ascii="Times New Roman" w:hAnsi="Times New Roman"/>
          <w:i/>
          <w:iCs/>
          <w:sz w:val="24"/>
          <w:szCs w:val="24"/>
        </w:rPr>
        <w:instrText>Lujan v. Defenders of Wildlife</w:instrText>
      </w:r>
      <w:r w:rsidR="00B551C9" w:rsidRPr="00F872BC">
        <w:rPr>
          <w:rFonts w:ascii="Times New Roman" w:hAnsi="Times New Roman"/>
          <w:sz w:val="24"/>
          <w:szCs w:val="24"/>
        </w:rPr>
        <w:instrText>, 504 U.S. 555 (1992)</w:instrText>
      </w:r>
      <w:r w:rsidR="00B551C9">
        <w:instrText xml:space="preserve">" \s "Lujan v. Defenders of Wildlife, 504 U.S. 555, 560-61 (1992)" \c 1 </w:instrText>
      </w:r>
      <w:r w:rsidR="00726D1D">
        <w:rPr>
          <w:rFonts w:ascii="Times New Roman" w:hAnsi="Times New Roman"/>
          <w:sz w:val="24"/>
          <w:szCs w:val="24"/>
        </w:rPr>
        <w:fldChar w:fldCharType="end"/>
      </w:r>
      <w:r w:rsidR="00FC533B" w:rsidRPr="00FC533B">
        <w:rPr>
          <w:rFonts w:ascii="Times New Roman" w:hAnsi="Times New Roman"/>
          <w:sz w:val="24"/>
          <w:szCs w:val="24"/>
        </w:rPr>
        <w:t xml:space="preserve">.   </w:t>
      </w:r>
      <w:r w:rsidR="00ED5BA9" w:rsidRPr="00FC533B">
        <w:rPr>
          <w:rFonts w:ascii="Times New Roman" w:hAnsi="Times New Roman"/>
          <w:sz w:val="24"/>
          <w:szCs w:val="24"/>
        </w:rPr>
        <w:t xml:space="preserve">When examining whether plaintiffs suffered actual or threatened injury, the inquiry focuses on whether the injury-in-fact is (1) “concrete and particularized,” and (2) actual or imminent, not ‘conjectural’ or ‘hypothetical.’”  </w:t>
      </w:r>
      <w:r w:rsidR="00ED5BA9" w:rsidRPr="00FC533B">
        <w:rPr>
          <w:rFonts w:ascii="Times New Roman" w:hAnsi="Times New Roman"/>
          <w:i/>
          <w:iCs/>
          <w:sz w:val="24"/>
          <w:szCs w:val="24"/>
        </w:rPr>
        <w:t>Lujan</w:t>
      </w:r>
      <w:r w:rsidR="00ED5BA9" w:rsidRPr="00FC533B">
        <w:rPr>
          <w:rFonts w:ascii="Times New Roman" w:hAnsi="Times New Roman"/>
          <w:sz w:val="24"/>
          <w:szCs w:val="24"/>
        </w:rPr>
        <w:t>, 504 U.S. at 560.</w:t>
      </w:r>
      <w:r w:rsidR="00ED5BA9">
        <w:rPr>
          <w:rFonts w:ascii="Times New Roman" w:hAnsi="Times New Roman"/>
          <w:sz w:val="24"/>
          <w:szCs w:val="24"/>
        </w:rPr>
        <w:t xml:space="preserve">  </w:t>
      </w:r>
    </w:p>
    <w:p w:rsidR="00ED5BA9" w:rsidRDefault="00ED5BA9" w:rsidP="00ED5BA9">
      <w:pPr>
        <w:spacing w:line="480" w:lineRule="exact"/>
        <w:ind w:firstLine="720"/>
      </w:pPr>
      <w:r>
        <w:rPr>
          <w:rFonts w:ascii="Times New Roman" w:hAnsi="Times New Roman"/>
          <w:sz w:val="24"/>
          <w:szCs w:val="24"/>
        </w:rPr>
        <w:t xml:space="preserve">Plaintiffs have standing because the loss of their ADHC services is concrete, actual and not hypothetical and thus this injury alone is sufficient to establish standing.  </w:t>
      </w:r>
      <w:r>
        <w:rPr>
          <w:rFonts w:ascii="Times New Roman" w:hAnsi="Times New Roman"/>
          <w:i/>
          <w:iCs/>
          <w:sz w:val="24"/>
          <w:szCs w:val="24"/>
        </w:rPr>
        <w:t>See Cal. Pro-Life Council, Inc. v. Getman,</w:t>
      </w:r>
      <w:r>
        <w:rPr>
          <w:rFonts w:ascii="Times New Roman" w:hAnsi="Times New Roman"/>
          <w:sz w:val="24"/>
          <w:szCs w:val="24"/>
        </w:rPr>
        <w:t xml:space="preserve"> 328 F.3d 1088, 1095 (9th Cir. </w:t>
      </w:r>
      <w:r w:rsidRPr="00926EE3">
        <w:rPr>
          <w:rFonts w:ascii="Times New Roman" w:hAnsi="Times New Roman"/>
          <w:sz w:val="24"/>
          <w:szCs w:val="24"/>
        </w:rPr>
        <w:t xml:space="preserve">2003); </w:t>
      </w:r>
      <w:r w:rsidRPr="00926EE3">
        <w:rPr>
          <w:rFonts w:ascii="Times New Roman" w:hAnsi="Times New Roman"/>
          <w:i/>
          <w:iCs/>
          <w:sz w:val="24"/>
          <w:szCs w:val="24"/>
        </w:rPr>
        <w:t>United States v. Antelope</w:t>
      </w:r>
      <w:r w:rsidRPr="00926EE3">
        <w:rPr>
          <w:rFonts w:ascii="Times New Roman" w:hAnsi="Times New Roman"/>
          <w:sz w:val="24"/>
          <w:szCs w:val="24"/>
        </w:rPr>
        <w:t xml:space="preserve">, 395 F.3d 1128, 1132 (9th Cir. 2005); </w:t>
      </w:r>
      <w:r w:rsidRPr="00926EE3">
        <w:rPr>
          <w:rFonts w:ascii="Times New Roman" w:hAnsi="Times New Roman"/>
          <w:i/>
          <w:iCs/>
          <w:sz w:val="24"/>
          <w:szCs w:val="24"/>
        </w:rPr>
        <w:t>see also Mental Disability Law Clinic v. Hogan</w:t>
      </w:r>
      <w:r w:rsidRPr="00926EE3">
        <w:rPr>
          <w:rFonts w:ascii="Times New Roman" w:hAnsi="Times New Roman"/>
          <w:sz w:val="24"/>
          <w:szCs w:val="24"/>
        </w:rPr>
        <w:t>, No. 06-cv-6320, 2008 WL 4104460, at *23-25 (E.D.N.Y. Aug. 26, 2008)</w:t>
      </w:r>
      <w:r w:rsidR="00726D1D">
        <w:rPr>
          <w:rFonts w:ascii="Times New Roman" w:hAnsi="Times New Roman"/>
          <w:sz w:val="24"/>
          <w:szCs w:val="24"/>
        </w:rPr>
        <w:fldChar w:fldCharType="begin"/>
      </w:r>
      <w:r w:rsidR="00C70270">
        <w:instrText xml:space="preserve"> TA \l "</w:instrText>
      </w:r>
      <w:r w:rsidR="00C70270" w:rsidRPr="00850A80">
        <w:rPr>
          <w:rFonts w:ascii="Times New Roman" w:hAnsi="Times New Roman"/>
          <w:i/>
          <w:iCs/>
          <w:sz w:val="24"/>
          <w:szCs w:val="24"/>
        </w:rPr>
        <w:instrText>Mental Disability Law Clinic v. Hogan</w:instrText>
      </w:r>
      <w:r w:rsidR="00C70270" w:rsidRPr="00850A80">
        <w:rPr>
          <w:rFonts w:ascii="Times New Roman" w:hAnsi="Times New Roman"/>
          <w:sz w:val="24"/>
          <w:szCs w:val="24"/>
        </w:rPr>
        <w:instrText>, No. 06-cv-6320, 2008 WL 4104460 (E.D.N.Y. Aug. 26, 2008)</w:instrText>
      </w:r>
      <w:r w:rsidR="00C70270">
        <w:instrText xml:space="preserve">" \s "Mental Disability Law Clinic v. Hogan, No. 06-cv-6320, 2008 WL 4104460, at *23-25 (E.D.N.Y. Aug. 26, 2008)" \c 1 </w:instrText>
      </w:r>
      <w:r w:rsidR="00726D1D">
        <w:rPr>
          <w:rFonts w:ascii="Times New Roman" w:hAnsi="Times New Roman"/>
          <w:sz w:val="24"/>
          <w:szCs w:val="24"/>
        </w:rPr>
        <w:fldChar w:fldCharType="end"/>
      </w:r>
      <w:r w:rsidRPr="00926EE3">
        <w:rPr>
          <w:rFonts w:ascii="Times New Roman" w:hAnsi="Times New Roman"/>
          <w:sz w:val="24"/>
          <w:szCs w:val="24"/>
        </w:rPr>
        <w:t xml:space="preserve"> (“the likely harm of another hospitalization and the fact that this harm could be avoided if </w:t>
      </w:r>
      <w:r>
        <w:rPr>
          <w:rFonts w:ascii="Times New Roman" w:hAnsi="Times New Roman"/>
          <w:sz w:val="24"/>
          <w:szCs w:val="24"/>
        </w:rPr>
        <w:t>[Plaintiff</w:t>
      </w:r>
      <w:r w:rsidRPr="00926EE3">
        <w:rPr>
          <w:rFonts w:ascii="Times New Roman" w:hAnsi="Times New Roman"/>
          <w:sz w:val="24"/>
          <w:szCs w:val="24"/>
        </w:rPr>
        <w:t xml:space="preserve"> were to </w:t>
      </w:r>
      <w:r>
        <w:rPr>
          <w:rFonts w:ascii="Times New Roman" w:hAnsi="Times New Roman"/>
          <w:sz w:val="24"/>
          <w:szCs w:val="24"/>
        </w:rPr>
        <w:t>continue to receive existing services</w:t>
      </w:r>
      <w:r w:rsidRPr="00926EE3">
        <w:rPr>
          <w:rFonts w:ascii="Times New Roman" w:hAnsi="Times New Roman"/>
          <w:sz w:val="24"/>
          <w:szCs w:val="24"/>
        </w:rPr>
        <w:t>] is not too speculative or conjectural to preclude</w:t>
      </w:r>
      <w:r w:rsidR="00A465B2">
        <w:rPr>
          <w:rFonts w:ascii="Times New Roman" w:hAnsi="Times New Roman"/>
          <w:sz w:val="24"/>
          <w:szCs w:val="24"/>
        </w:rPr>
        <w:t xml:space="preserve"> </w:t>
      </w:r>
      <w:r w:rsidRPr="00926EE3">
        <w:rPr>
          <w:rFonts w:ascii="Times New Roman" w:hAnsi="Times New Roman"/>
          <w:sz w:val="24"/>
          <w:szCs w:val="24"/>
        </w:rPr>
        <w:t>standing</w:t>
      </w:r>
      <w:r w:rsidR="005350AB">
        <w:rPr>
          <w:rFonts w:ascii="Times New Roman" w:hAnsi="Times New Roman"/>
          <w:sz w:val="24"/>
          <w:szCs w:val="24"/>
        </w:rPr>
        <w:t>.</w:t>
      </w:r>
      <w:r w:rsidRPr="00926EE3">
        <w:rPr>
          <w:rFonts w:ascii="Times New Roman" w:hAnsi="Times New Roman"/>
          <w:sz w:val="24"/>
          <w:szCs w:val="24"/>
        </w:rPr>
        <w:t>”)</w:t>
      </w:r>
      <w:r w:rsidR="00A465B2">
        <w:rPr>
          <w:rFonts w:ascii="Times New Roman" w:hAnsi="Times New Roman"/>
          <w:color w:val="000000"/>
          <w:sz w:val="24"/>
          <w:szCs w:val="24"/>
        </w:rPr>
        <w:t xml:space="preserve">.  </w:t>
      </w:r>
      <w:r>
        <w:rPr>
          <w:rFonts w:ascii="Times New Roman" w:hAnsi="Times New Roman"/>
          <w:color w:val="000000"/>
          <w:sz w:val="24"/>
          <w:szCs w:val="24"/>
        </w:rPr>
        <w:t xml:space="preserve">Defendants do not dispute that Plaintiffs will be terminated from the ADHC program because of Defendants’ actions.  Moreover, </w:t>
      </w:r>
      <w:r>
        <w:rPr>
          <w:rFonts w:ascii="Times New Roman" w:hAnsi="Times New Roman"/>
          <w:sz w:val="24"/>
          <w:szCs w:val="24"/>
        </w:rPr>
        <w:t xml:space="preserve">AB 97 and the promise of significantly reduced revenue have already prompted ten ADHC centers to close, ending services to approximately </w:t>
      </w:r>
      <w:r w:rsidR="008640AD">
        <w:rPr>
          <w:rFonts w:ascii="Times New Roman" w:hAnsi="Times New Roman"/>
          <w:sz w:val="24"/>
          <w:szCs w:val="24"/>
        </w:rPr>
        <w:t>963 participants</w:t>
      </w:r>
      <w:r>
        <w:rPr>
          <w:rFonts w:ascii="Times New Roman" w:hAnsi="Times New Roman"/>
          <w:sz w:val="24"/>
          <w:szCs w:val="24"/>
        </w:rPr>
        <w:t>.  (</w:t>
      </w:r>
      <w:r>
        <w:rPr>
          <w:rFonts w:ascii="Times New Roman" w:hAnsi="Times New Roman"/>
          <w:i/>
          <w:iCs/>
          <w:sz w:val="24"/>
          <w:szCs w:val="24"/>
        </w:rPr>
        <w:t>See</w:t>
      </w:r>
      <w:r>
        <w:rPr>
          <w:rFonts w:ascii="Times New Roman" w:hAnsi="Times New Roman"/>
          <w:sz w:val="24"/>
          <w:szCs w:val="24"/>
        </w:rPr>
        <w:t xml:space="preserve"> Missaelides Decl. ¶ 78; Suppl. Missaelides Decl. ¶ 8</w:t>
      </w:r>
      <w:r w:rsidR="008640AD">
        <w:rPr>
          <w:rFonts w:ascii="Times New Roman" w:hAnsi="Times New Roman"/>
          <w:sz w:val="24"/>
          <w:szCs w:val="24"/>
        </w:rPr>
        <w:t>; Ex. F. to Suppl. Missaelides Decl..</w:t>
      </w:r>
      <w:r>
        <w:rPr>
          <w:rFonts w:ascii="Times New Roman" w:hAnsi="Times New Roman"/>
          <w:sz w:val="24"/>
          <w:szCs w:val="24"/>
        </w:rPr>
        <w:t xml:space="preserve">)  The risk of institutionalization that directly results from this loss of services provides a secondary injury grounding Plaintiffs’ standing.  </w:t>
      </w:r>
      <w:r>
        <w:rPr>
          <w:rFonts w:ascii="Times New Roman" w:hAnsi="Times New Roman"/>
          <w:color w:val="000000"/>
          <w:sz w:val="24"/>
          <w:szCs w:val="24"/>
        </w:rPr>
        <w:t> </w:t>
      </w:r>
      <w:r w:rsidRPr="00926EE3">
        <w:rPr>
          <w:rFonts w:ascii="Times New Roman" w:hAnsi="Times New Roman"/>
          <w:i/>
          <w:color w:val="000000"/>
          <w:sz w:val="24"/>
          <w:szCs w:val="24"/>
        </w:rPr>
        <w:t>See</w:t>
      </w:r>
      <w:r>
        <w:rPr>
          <w:rFonts w:ascii="Times New Roman" w:hAnsi="Times New Roman"/>
          <w:color w:val="000000"/>
          <w:sz w:val="24"/>
          <w:szCs w:val="24"/>
        </w:rPr>
        <w:t xml:space="preserve"> pp. 10-13, </w:t>
      </w:r>
      <w:r w:rsidRPr="00926EE3">
        <w:rPr>
          <w:rFonts w:ascii="Times New Roman" w:hAnsi="Times New Roman"/>
          <w:i/>
          <w:color w:val="000000"/>
          <w:sz w:val="24"/>
          <w:szCs w:val="24"/>
        </w:rPr>
        <w:t>infra</w:t>
      </w:r>
      <w:r>
        <w:rPr>
          <w:rFonts w:ascii="Times New Roman" w:hAnsi="Times New Roman"/>
          <w:color w:val="000000"/>
          <w:sz w:val="24"/>
          <w:szCs w:val="24"/>
        </w:rPr>
        <w:t xml:space="preserve">. </w:t>
      </w:r>
    </w:p>
    <w:p w:rsidR="00733583" w:rsidRPr="00391C31" w:rsidRDefault="00726D1D" w:rsidP="00A01D7B">
      <w:pPr>
        <w:pStyle w:val="SubHeading3"/>
        <w:outlineLvl w:val="3"/>
      </w:pPr>
      <w:r w:rsidRPr="00726D1D">
        <w:rPr>
          <w:noProof/>
          <w:color w:val="000000"/>
        </w:rPr>
        <w:pict>
          <v:shape id="_x0000_s1041" type="#_x0000_t202" style="position:absolute;left:0;text-align:left;margin-left:-44.25pt;margin-top:0;width:36pt;height:10in;z-index:2516736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J1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bookmarkStart w:id="10" w:name="_Toc298266487"/>
      <w:r w:rsidR="00010DF8" w:rsidRPr="00391C31">
        <w:t>Policies that place individuals with disabilities at</w:t>
      </w:r>
      <w:r w:rsidR="00F3128C" w:rsidRPr="00391C31">
        <w:t xml:space="preserve"> serious</w:t>
      </w:r>
      <w:r w:rsidR="00010DF8" w:rsidRPr="00391C31">
        <w:t xml:space="preserve"> risk of institutionalization violate the ADA</w:t>
      </w:r>
      <w:bookmarkEnd w:id="10"/>
    </w:p>
    <w:p w:rsidR="00A71E07" w:rsidRPr="00391C31" w:rsidRDefault="00733583" w:rsidP="008E53E5">
      <w:pPr>
        <w:pStyle w:val="ListParagraph"/>
        <w:ind w:left="0" w:firstLine="720"/>
        <w:rPr>
          <w:szCs w:val="24"/>
        </w:rPr>
      </w:pPr>
      <w:r w:rsidRPr="00391C31">
        <w:rPr>
          <w:szCs w:val="24"/>
        </w:rPr>
        <w:t>Defendants</w:t>
      </w:r>
      <w:r w:rsidR="00010DF8" w:rsidRPr="00391C31">
        <w:rPr>
          <w:szCs w:val="24"/>
        </w:rPr>
        <w:t xml:space="preserve"> </w:t>
      </w:r>
      <w:r w:rsidR="00C57A03" w:rsidRPr="00391C31">
        <w:rPr>
          <w:szCs w:val="24"/>
        </w:rPr>
        <w:t xml:space="preserve">argue that, in order to state a claim under </w:t>
      </w:r>
      <w:r w:rsidR="0093609E" w:rsidRPr="00391C31">
        <w:rPr>
          <w:szCs w:val="24"/>
        </w:rPr>
        <w:t>the ADA’s integration mandate,</w:t>
      </w:r>
      <w:r w:rsidR="00C57A03" w:rsidRPr="00391C31">
        <w:rPr>
          <w:szCs w:val="24"/>
        </w:rPr>
        <w:t xml:space="preserve"> Plaintiffs must show that a public entity’s reduction or elimination of services will leave them with “‘no choice’ but to submit to institutionalization in order to receive care necessary for the preservation of their health or safety.”   (Defs.’ Br. at 13.</w:t>
      </w:r>
      <w:r w:rsidR="00F10BCF" w:rsidRPr="00391C31">
        <w:rPr>
          <w:szCs w:val="24"/>
        </w:rPr>
        <w:t xml:space="preserve">)  </w:t>
      </w:r>
      <w:r w:rsidR="00C57A03" w:rsidRPr="00391C31">
        <w:rPr>
          <w:szCs w:val="24"/>
        </w:rPr>
        <w:t xml:space="preserve">This purported standard cannot be squared with title II of the ADA and well-established precedent. </w:t>
      </w:r>
      <w:r w:rsidR="00CE32BD" w:rsidRPr="00391C31">
        <w:rPr>
          <w:szCs w:val="24"/>
        </w:rPr>
        <w:t xml:space="preserve"> </w:t>
      </w:r>
      <w:r w:rsidR="00C57A03" w:rsidRPr="00391C31">
        <w:rPr>
          <w:szCs w:val="24"/>
        </w:rPr>
        <w:t>A</w:t>
      </w:r>
      <w:r w:rsidR="00010DF8" w:rsidRPr="00391C31">
        <w:rPr>
          <w:szCs w:val="24"/>
        </w:rPr>
        <w:t xml:space="preserve">s </w:t>
      </w:r>
      <w:r w:rsidR="00890112" w:rsidRPr="00391C31">
        <w:rPr>
          <w:szCs w:val="24"/>
        </w:rPr>
        <w:t xml:space="preserve">this Court and </w:t>
      </w:r>
      <w:r w:rsidR="00010DF8" w:rsidRPr="00391C31">
        <w:rPr>
          <w:szCs w:val="24"/>
        </w:rPr>
        <w:t xml:space="preserve">numerous </w:t>
      </w:r>
      <w:r w:rsidR="00890112" w:rsidRPr="00391C31">
        <w:rPr>
          <w:szCs w:val="24"/>
        </w:rPr>
        <w:t>others</w:t>
      </w:r>
      <w:r w:rsidR="00010DF8" w:rsidRPr="00391C31">
        <w:rPr>
          <w:szCs w:val="24"/>
        </w:rPr>
        <w:t xml:space="preserve"> have recognized, policies that place individuals with disabilities at</w:t>
      </w:r>
      <w:r w:rsidR="00F3128C" w:rsidRPr="00391C31">
        <w:rPr>
          <w:szCs w:val="24"/>
        </w:rPr>
        <w:t xml:space="preserve"> serious</w:t>
      </w:r>
      <w:r w:rsidR="00010DF8" w:rsidRPr="00391C31">
        <w:rPr>
          <w:szCs w:val="24"/>
        </w:rPr>
        <w:t xml:space="preserve"> risk of institutionalization are discriminatory under the ADA.</w:t>
      </w:r>
      <w:r w:rsidR="00484FF2" w:rsidRPr="00391C31">
        <w:rPr>
          <w:rStyle w:val="FootnoteReference"/>
          <w:szCs w:val="24"/>
        </w:rPr>
        <w:footnoteReference w:id="8"/>
      </w:r>
    </w:p>
    <w:p w:rsidR="005328C9" w:rsidRPr="00391C31" w:rsidRDefault="00726D1D" w:rsidP="00391C31">
      <w:pPr>
        <w:pStyle w:val="ListParagraph"/>
        <w:ind w:left="0" w:firstLine="720"/>
        <w:rPr>
          <w:szCs w:val="24"/>
        </w:rPr>
      </w:pPr>
      <w:r>
        <w:rPr>
          <w:noProof/>
          <w:szCs w:val="24"/>
        </w:rPr>
        <w:pict>
          <v:shape id="_x0000_s1067" type="#_x0000_t202" style="position:absolute;left:0;text-align:left;margin-left:-44.25pt;margin-top:-1.5pt;width:36pt;height:10in;z-index:2516971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J1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" o:allowincell="f" stroked="f">
            <v:textbox inset="0,0,0,0">
              <w:txbxContent>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685365">
                  <w:pPr>
                    <w:spacing w:after="0" w:line="480" w:lineRule="exact"/>
                    <w:jc w:val="right"/>
                  </w:pPr>
                </w:p>
              </w:txbxContent>
            </v:textbox>
            <w10:wrap anchorx="margin" anchory="margin"/>
          </v:shape>
        </w:pict>
      </w:r>
      <w:r w:rsidR="00890112" w:rsidRPr="00391C31">
        <w:rPr>
          <w:szCs w:val="24"/>
        </w:rPr>
        <w:t>This Court has already concluded that “the risk of insti</w:t>
      </w:r>
      <w:r w:rsidR="00AF5775" w:rsidRPr="00391C31">
        <w:rPr>
          <w:szCs w:val="24"/>
        </w:rPr>
        <w:t>tutionalization is sufficient</w:t>
      </w:r>
      <w:r w:rsidR="00890112" w:rsidRPr="00391C31">
        <w:rPr>
          <w:szCs w:val="24"/>
        </w:rPr>
        <w:t xml:space="preserve">” to state a claim for violation of the ADA’s integration mandate.  </w:t>
      </w:r>
      <w:r w:rsidR="00890112" w:rsidRPr="00391C31">
        <w:rPr>
          <w:i/>
          <w:szCs w:val="24"/>
        </w:rPr>
        <w:t>Brantley</w:t>
      </w:r>
      <w:r w:rsidR="00890112" w:rsidRPr="00391C31">
        <w:rPr>
          <w:szCs w:val="24"/>
        </w:rPr>
        <w:t>, 656 F. Supp. 2d at 1170</w:t>
      </w:r>
      <w:r w:rsidRPr="00391C31">
        <w:rPr>
          <w:szCs w:val="24"/>
        </w:rPr>
        <w:fldChar w:fldCharType="begin"/>
      </w:r>
      <w:r w:rsidR="00EA249C" w:rsidRPr="00391C31">
        <w:rPr>
          <w:szCs w:val="24"/>
        </w:rPr>
        <w:instrText xml:space="preserve"> TA \s "Brantley v. Maxwell-Jolly, 656 F. Supp. 2d 1161 (N.D. Cal. 2009)" </w:instrText>
      </w:r>
      <w:r w:rsidRPr="00391C31">
        <w:rPr>
          <w:szCs w:val="24"/>
        </w:rPr>
        <w:fldChar w:fldCharType="end"/>
      </w:r>
      <w:r w:rsidR="00890112" w:rsidRPr="00391C31">
        <w:rPr>
          <w:szCs w:val="24"/>
        </w:rPr>
        <w:t xml:space="preserve">; </w:t>
      </w:r>
      <w:r w:rsidR="00890112" w:rsidRPr="00391C31">
        <w:rPr>
          <w:i/>
          <w:szCs w:val="24"/>
        </w:rPr>
        <w:t>see also</w:t>
      </w:r>
      <w:r w:rsidR="00890112" w:rsidRPr="00391C31">
        <w:rPr>
          <w:szCs w:val="24"/>
        </w:rPr>
        <w:t xml:space="preserve"> </w:t>
      </w:r>
      <w:r w:rsidR="00890112" w:rsidRPr="00391C31">
        <w:rPr>
          <w:i/>
          <w:szCs w:val="24"/>
        </w:rPr>
        <w:t>Cota</w:t>
      </w:r>
      <w:r w:rsidR="00890112" w:rsidRPr="00391C31">
        <w:rPr>
          <w:szCs w:val="24"/>
        </w:rPr>
        <w:t>, 688 F. Supp. 2d at 994-95</w:t>
      </w:r>
      <w:r w:rsidRPr="00391C31">
        <w:rPr>
          <w:szCs w:val="24"/>
        </w:rPr>
        <w:fldChar w:fldCharType="begin"/>
      </w:r>
      <w:r w:rsidR="00EA249C" w:rsidRPr="00391C31">
        <w:rPr>
          <w:szCs w:val="24"/>
        </w:rPr>
        <w:instrText xml:space="preserve"> TA \s "Cota v. Maxwell-Jolly, 688 F. Supp. 2d 980 (N.D. Cal. 2010)" </w:instrText>
      </w:r>
      <w:r w:rsidRPr="00391C31">
        <w:rPr>
          <w:szCs w:val="24"/>
        </w:rPr>
        <w:fldChar w:fldCharType="end"/>
      </w:r>
      <w:r w:rsidR="00890112" w:rsidRPr="00391C31">
        <w:rPr>
          <w:szCs w:val="24"/>
        </w:rPr>
        <w:t xml:space="preserve">.  </w:t>
      </w:r>
      <w:r w:rsidR="00721475" w:rsidRPr="00391C31">
        <w:rPr>
          <w:szCs w:val="24"/>
        </w:rPr>
        <w:t xml:space="preserve"> And the only</w:t>
      </w:r>
      <w:r w:rsidR="003801FF" w:rsidRPr="00391C31">
        <w:rPr>
          <w:szCs w:val="24"/>
        </w:rPr>
        <w:t xml:space="preserve"> Circuit</w:t>
      </w:r>
      <w:r w:rsidR="00721475" w:rsidRPr="00391C31">
        <w:rPr>
          <w:szCs w:val="24"/>
        </w:rPr>
        <w:t xml:space="preserve"> </w:t>
      </w:r>
      <w:r w:rsidR="003801FF" w:rsidRPr="00391C31">
        <w:rPr>
          <w:szCs w:val="24"/>
        </w:rPr>
        <w:t>Court of Appeals</w:t>
      </w:r>
      <w:r w:rsidR="00721475" w:rsidRPr="00391C31">
        <w:rPr>
          <w:szCs w:val="24"/>
        </w:rPr>
        <w:t xml:space="preserve"> to </w:t>
      </w:r>
      <w:r w:rsidR="004B25F8" w:rsidRPr="00391C31">
        <w:rPr>
          <w:szCs w:val="24"/>
        </w:rPr>
        <w:t xml:space="preserve">directly address </w:t>
      </w:r>
      <w:r w:rsidR="00721475" w:rsidRPr="00391C31">
        <w:rPr>
          <w:szCs w:val="24"/>
        </w:rPr>
        <w:t xml:space="preserve">this issue is in accord.  </w:t>
      </w:r>
      <w:r w:rsidR="007B2F8B" w:rsidRPr="00391C31">
        <w:rPr>
          <w:i/>
          <w:szCs w:val="24"/>
        </w:rPr>
        <w:t>See</w:t>
      </w:r>
      <w:r w:rsidR="007B2F8B" w:rsidRPr="00391C31">
        <w:rPr>
          <w:szCs w:val="24"/>
        </w:rPr>
        <w:t xml:space="preserve"> </w:t>
      </w:r>
      <w:r w:rsidR="007B2F8B" w:rsidRPr="00391C31">
        <w:rPr>
          <w:i/>
          <w:iCs/>
          <w:szCs w:val="24"/>
        </w:rPr>
        <w:t xml:space="preserve">Fisher </w:t>
      </w:r>
      <w:r w:rsidR="007B2F8B" w:rsidRPr="00391C31">
        <w:rPr>
          <w:szCs w:val="24"/>
        </w:rPr>
        <w:t xml:space="preserve">v. </w:t>
      </w:r>
      <w:r w:rsidR="007B2F8B" w:rsidRPr="00391C31">
        <w:rPr>
          <w:i/>
          <w:iCs/>
          <w:szCs w:val="24"/>
        </w:rPr>
        <w:t>Oklahoma Health Care Auth</w:t>
      </w:r>
      <w:r w:rsidR="007B2F8B" w:rsidRPr="00391C31">
        <w:rPr>
          <w:iCs/>
          <w:szCs w:val="24"/>
        </w:rPr>
        <w:t>,</w:t>
      </w:r>
      <w:r w:rsidR="007B2F8B" w:rsidRPr="00391C31">
        <w:rPr>
          <w:i/>
          <w:iCs/>
          <w:szCs w:val="24"/>
        </w:rPr>
        <w:t xml:space="preserve"> </w:t>
      </w:r>
      <w:r w:rsidR="007B2F8B" w:rsidRPr="00391C31">
        <w:rPr>
          <w:szCs w:val="24"/>
        </w:rPr>
        <w:t>335 F.3d 1175 (10th Cir. 2003)</w:t>
      </w:r>
      <w:r w:rsidRPr="00391C31">
        <w:rPr>
          <w:szCs w:val="24"/>
        </w:rPr>
        <w:fldChar w:fldCharType="begin"/>
      </w:r>
      <w:r w:rsidR="00EA249C" w:rsidRPr="00391C31">
        <w:rPr>
          <w:szCs w:val="24"/>
        </w:rPr>
        <w:instrText xml:space="preserve"> TA \s "Fisher v. Oklahoma Health Care Auth, 335 F.3d 1175 (10th Cir. 2003)" </w:instrText>
      </w:r>
      <w:r w:rsidRPr="00391C31">
        <w:rPr>
          <w:szCs w:val="24"/>
        </w:rPr>
        <w:fldChar w:fldCharType="end"/>
      </w:r>
      <w:r w:rsidR="00CE32BD" w:rsidRPr="00391C31">
        <w:rPr>
          <w:i/>
          <w:iCs/>
          <w:szCs w:val="24"/>
        </w:rPr>
        <w:t>.</w:t>
      </w:r>
      <w:r w:rsidR="00CE32BD" w:rsidRPr="00391C31">
        <w:rPr>
          <w:rStyle w:val="FootnoteReference"/>
          <w:szCs w:val="24"/>
        </w:rPr>
        <w:footnoteReference w:id="9"/>
      </w:r>
      <w:r w:rsidR="007B2F8B" w:rsidRPr="00391C31">
        <w:rPr>
          <w:i/>
          <w:iCs/>
          <w:szCs w:val="24"/>
        </w:rPr>
        <w:t xml:space="preserve"> </w:t>
      </w:r>
      <w:r w:rsidR="00AF5775" w:rsidRPr="00391C31">
        <w:rPr>
          <w:i/>
          <w:iCs/>
          <w:szCs w:val="24"/>
        </w:rPr>
        <w:t xml:space="preserve"> </w:t>
      </w:r>
      <w:r w:rsidR="00F179A1" w:rsidRPr="00391C31">
        <w:rPr>
          <w:szCs w:val="24"/>
        </w:rPr>
        <w:t xml:space="preserve">The plaintiffs in </w:t>
      </w:r>
      <w:r w:rsidR="00F179A1" w:rsidRPr="00391C31">
        <w:rPr>
          <w:i/>
          <w:szCs w:val="24"/>
        </w:rPr>
        <w:t>Fisher</w:t>
      </w:r>
      <w:r w:rsidR="00F179A1" w:rsidRPr="00391C31">
        <w:rPr>
          <w:szCs w:val="24"/>
        </w:rPr>
        <w:t xml:space="preserve">, like </w:t>
      </w:r>
      <w:r w:rsidR="00A961EF" w:rsidRPr="00391C31">
        <w:rPr>
          <w:szCs w:val="24"/>
        </w:rPr>
        <w:t>P</w:t>
      </w:r>
      <w:r w:rsidR="00F179A1" w:rsidRPr="00391C31">
        <w:rPr>
          <w:szCs w:val="24"/>
        </w:rPr>
        <w:t>laintiffs in this case</w:t>
      </w:r>
      <w:r w:rsidR="00A961EF" w:rsidRPr="00391C31">
        <w:rPr>
          <w:szCs w:val="24"/>
        </w:rPr>
        <w:t>, received</w:t>
      </w:r>
      <w:r w:rsidR="00F179A1" w:rsidRPr="00391C31">
        <w:rPr>
          <w:szCs w:val="24"/>
        </w:rPr>
        <w:t xml:space="preserve"> Medicaid-funded medical care in the community.  They</w:t>
      </w:r>
      <w:r w:rsidR="00A71E07" w:rsidRPr="00391C31">
        <w:rPr>
          <w:szCs w:val="24"/>
        </w:rPr>
        <w:t xml:space="preserve"> argued that</w:t>
      </w:r>
      <w:r w:rsidR="00F3128C" w:rsidRPr="00391C31">
        <w:rPr>
          <w:szCs w:val="24"/>
        </w:rPr>
        <w:t xml:space="preserve"> Oklahoma’s </w:t>
      </w:r>
      <w:r w:rsidR="00A961EF" w:rsidRPr="00391C31">
        <w:rPr>
          <w:szCs w:val="24"/>
        </w:rPr>
        <w:t xml:space="preserve">planned policy limiting </w:t>
      </w:r>
      <w:r w:rsidR="00F3128C" w:rsidRPr="00391C31">
        <w:rPr>
          <w:szCs w:val="24"/>
        </w:rPr>
        <w:t xml:space="preserve">the number of available medically necessary prescriptions covered in community-based settings, while </w:t>
      </w:r>
      <w:r w:rsidR="00A961EF" w:rsidRPr="00391C31">
        <w:rPr>
          <w:szCs w:val="24"/>
        </w:rPr>
        <w:t>offering</w:t>
      </w:r>
      <w:r w:rsidR="00F3128C" w:rsidRPr="00391C31">
        <w:rPr>
          <w:szCs w:val="24"/>
        </w:rPr>
        <w:t xml:space="preserve"> unlimited coverage to individuals in institutions, </w:t>
      </w:r>
      <w:r w:rsidR="00A71E07" w:rsidRPr="00391C31">
        <w:rPr>
          <w:szCs w:val="24"/>
        </w:rPr>
        <w:t xml:space="preserve">placed </w:t>
      </w:r>
      <w:r w:rsidR="00F3128C" w:rsidRPr="00391C31">
        <w:rPr>
          <w:szCs w:val="24"/>
        </w:rPr>
        <w:t xml:space="preserve">them </w:t>
      </w:r>
      <w:r w:rsidR="00A71E07" w:rsidRPr="00391C31">
        <w:rPr>
          <w:szCs w:val="24"/>
        </w:rPr>
        <w:t>at risk of institutionalization</w:t>
      </w:r>
      <w:r w:rsidR="00695094" w:rsidRPr="00391C31">
        <w:rPr>
          <w:szCs w:val="24"/>
        </w:rPr>
        <w:t xml:space="preserve">.  </w:t>
      </w:r>
      <w:r w:rsidR="00695094" w:rsidRPr="00391C31">
        <w:rPr>
          <w:i/>
          <w:szCs w:val="24"/>
        </w:rPr>
        <w:t>Id</w:t>
      </w:r>
      <w:r w:rsidR="00695094" w:rsidRPr="00391C31">
        <w:rPr>
          <w:szCs w:val="24"/>
        </w:rPr>
        <w:t xml:space="preserve">. at 1181-82.  Because of the policy, they argued, they </w:t>
      </w:r>
      <w:r w:rsidR="00F3128C" w:rsidRPr="00391C31">
        <w:rPr>
          <w:szCs w:val="24"/>
        </w:rPr>
        <w:t xml:space="preserve">would remain </w:t>
      </w:r>
      <w:r w:rsidR="00A71E07" w:rsidRPr="00391C31">
        <w:rPr>
          <w:szCs w:val="24"/>
        </w:rPr>
        <w:t xml:space="preserve">in their homes only “until their health ha[d] deteriorated” and “eventually </w:t>
      </w:r>
      <w:r w:rsidR="00695094" w:rsidRPr="00391C31">
        <w:rPr>
          <w:szCs w:val="24"/>
        </w:rPr>
        <w:t xml:space="preserve">[would] </w:t>
      </w:r>
      <w:r w:rsidR="00A71E07" w:rsidRPr="00391C31">
        <w:rPr>
          <w:szCs w:val="24"/>
        </w:rPr>
        <w:t xml:space="preserve">end up in a nursing home.”  </w:t>
      </w:r>
      <w:r w:rsidR="00F10BCF" w:rsidRPr="00391C31">
        <w:rPr>
          <w:i/>
          <w:szCs w:val="24"/>
        </w:rPr>
        <w:t>Id</w:t>
      </w:r>
      <w:r w:rsidR="00F10BCF" w:rsidRPr="00391C31">
        <w:rPr>
          <w:szCs w:val="24"/>
        </w:rPr>
        <w:t>.</w:t>
      </w:r>
      <w:r w:rsidR="00A71E07" w:rsidRPr="00391C31">
        <w:rPr>
          <w:szCs w:val="24"/>
        </w:rPr>
        <w:t xml:space="preserve"> at </w:t>
      </w:r>
      <w:r w:rsidR="00F3128C" w:rsidRPr="00391C31">
        <w:rPr>
          <w:szCs w:val="24"/>
        </w:rPr>
        <w:t>1181-82,</w:t>
      </w:r>
      <w:r w:rsidR="00A71E07" w:rsidRPr="00391C31">
        <w:rPr>
          <w:szCs w:val="24"/>
        </w:rPr>
        <w:t>1185.  The Tenth Circuit agreed</w:t>
      </w:r>
      <w:r w:rsidR="00695094" w:rsidRPr="00391C31">
        <w:rPr>
          <w:szCs w:val="24"/>
        </w:rPr>
        <w:t xml:space="preserve"> that </w:t>
      </w:r>
      <w:r w:rsidR="001B1144">
        <w:rPr>
          <w:szCs w:val="24"/>
        </w:rPr>
        <w:t>the plaintiffs</w:t>
      </w:r>
      <w:r w:rsidR="00695094" w:rsidRPr="00391C31">
        <w:rPr>
          <w:szCs w:val="24"/>
        </w:rPr>
        <w:t xml:space="preserve"> had a cognizable claim under the ADA</w:t>
      </w:r>
      <w:r w:rsidR="005350AB">
        <w:rPr>
          <w:szCs w:val="24"/>
        </w:rPr>
        <w:t xml:space="preserve"> </w:t>
      </w:r>
      <w:r w:rsidR="00A71E07" w:rsidRPr="00391C31">
        <w:rPr>
          <w:szCs w:val="24"/>
        </w:rPr>
        <w:t xml:space="preserve">and noted that “nothing in the Olmstead decision supports a conclusion that institutionalization is a prerequisite to enforcement of the ADA’s integration requirements.”  </w:t>
      </w:r>
      <w:r w:rsidR="00A71E07" w:rsidRPr="00391C31">
        <w:rPr>
          <w:i/>
          <w:szCs w:val="24"/>
        </w:rPr>
        <w:t>Id</w:t>
      </w:r>
      <w:r w:rsidR="00A71E07" w:rsidRPr="00391C31">
        <w:rPr>
          <w:szCs w:val="24"/>
        </w:rPr>
        <w:t>. at 1181</w:t>
      </w:r>
      <w:r w:rsidRPr="00391C31">
        <w:rPr>
          <w:szCs w:val="24"/>
        </w:rPr>
        <w:fldChar w:fldCharType="begin"/>
      </w:r>
      <w:r w:rsidR="00EA249C" w:rsidRPr="00391C31">
        <w:rPr>
          <w:szCs w:val="24"/>
        </w:rPr>
        <w:instrText xml:space="preserve"> TA \s "Fisher v. Oklahoma Health Care Auth, 335 F.3d 1175 (10th Cir. 2003)" </w:instrText>
      </w:r>
      <w:r w:rsidRPr="00391C31">
        <w:rPr>
          <w:szCs w:val="24"/>
        </w:rPr>
        <w:fldChar w:fldCharType="end"/>
      </w:r>
      <w:r w:rsidR="00A71E07" w:rsidRPr="00391C31">
        <w:rPr>
          <w:szCs w:val="24"/>
        </w:rPr>
        <w:t xml:space="preserve">. </w:t>
      </w:r>
      <w:r w:rsidR="00890112" w:rsidRPr="00391C31">
        <w:rPr>
          <w:szCs w:val="24"/>
        </w:rPr>
        <w:t xml:space="preserve"> </w:t>
      </w:r>
    </w:p>
    <w:p w:rsidR="00A50BB5" w:rsidRPr="00391C31" w:rsidRDefault="00726D1D" w:rsidP="00391C31">
      <w:pPr>
        <w:spacing w:after="0" w:line="480" w:lineRule="exact"/>
        <w:ind w:firstLine="720"/>
        <w:rPr>
          <w:rFonts w:ascii="Times New Roman" w:hAnsi="Times New Roman"/>
          <w:sz w:val="24"/>
          <w:szCs w:val="24"/>
        </w:rPr>
      </w:pPr>
      <w:r w:rsidRPr="00726D1D">
        <w:rPr>
          <w:rFonts w:ascii="Times New Roman" w:hAnsi="Times New Roman"/>
          <w:i/>
          <w:iCs/>
          <w:noProof/>
          <w:sz w:val="24"/>
          <w:szCs w:val="24"/>
        </w:rPr>
        <w:pict>
          <v:shape id="_x0000_s1042" type="#_x0000_t202" style="position:absolute;left:0;text-align:left;margin-left:-46.5pt;margin-top:-.75pt;width:36pt;height:10in;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5328C9" w:rsidRPr="00391C31">
        <w:rPr>
          <w:rFonts w:ascii="Times New Roman" w:hAnsi="Times New Roman"/>
          <w:sz w:val="24"/>
          <w:szCs w:val="24"/>
        </w:rPr>
        <w:t xml:space="preserve">Defendants attempt to avoid the core holding of </w:t>
      </w:r>
      <w:r w:rsidR="005328C9" w:rsidRPr="00391C31">
        <w:rPr>
          <w:rFonts w:ascii="Times New Roman" w:hAnsi="Times New Roman"/>
          <w:i/>
          <w:sz w:val="24"/>
          <w:szCs w:val="24"/>
        </w:rPr>
        <w:t>Fisher –</w:t>
      </w:r>
      <w:r w:rsidR="005328C9" w:rsidRPr="00391C31">
        <w:rPr>
          <w:rFonts w:ascii="Times New Roman" w:hAnsi="Times New Roman"/>
          <w:sz w:val="24"/>
          <w:szCs w:val="24"/>
        </w:rPr>
        <w:t xml:space="preserve"> that </w:t>
      </w:r>
      <w:r w:rsidR="00F3128C" w:rsidRPr="00391C31">
        <w:rPr>
          <w:rFonts w:ascii="Times New Roman" w:hAnsi="Times New Roman"/>
          <w:sz w:val="24"/>
          <w:szCs w:val="24"/>
        </w:rPr>
        <w:t>a serious</w:t>
      </w:r>
      <w:r w:rsidR="005328C9" w:rsidRPr="00391C31">
        <w:rPr>
          <w:rFonts w:ascii="Times New Roman" w:hAnsi="Times New Roman"/>
          <w:sz w:val="24"/>
          <w:szCs w:val="24"/>
        </w:rPr>
        <w:t xml:space="preserve"> risk of institutionalization is sufficient to state a claim under the ADA – by arguing that this Court </w:t>
      </w:r>
      <w:r w:rsidR="001B1144">
        <w:rPr>
          <w:rFonts w:ascii="Times New Roman" w:hAnsi="Times New Roman"/>
          <w:sz w:val="24"/>
          <w:szCs w:val="24"/>
        </w:rPr>
        <w:t xml:space="preserve">misread </w:t>
      </w:r>
      <w:r w:rsidR="001B1144" w:rsidRPr="001B1144">
        <w:rPr>
          <w:rFonts w:ascii="Times New Roman" w:hAnsi="Times New Roman"/>
          <w:i/>
          <w:sz w:val="24"/>
          <w:szCs w:val="24"/>
        </w:rPr>
        <w:t>Fisher</w:t>
      </w:r>
      <w:r w:rsidR="001B1144">
        <w:rPr>
          <w:rFonts w:ascii="Times New Roman" w:hAnsi="Times New Roman"/>
          <w:sz w:val="24"/>
          <w:szCs w:val="24"/>
        </w:rPr>
        <w:t xml:space="preserve"> </w:t>
      </w:r>
      <w:r w:rsidR="00CD4A61">
        <w:rPr>
          <w:rFonts w:ascii="Times New Roman" w:hAnsi="Times New Roman"/>
          <w:sz w:val="24"/>
          <w:szCs w:val="24"/>
        </w:rPr>
        <w:t xml:space="preserve">in adopting its </w:t>
      </w:r>
      <w:r w:rsidR="005328C9" w:rsidRPr="00391C31">
        <w:rPr>
          <w:rFonts w:ascii="Times New Roman" w:hAnsi="Times New Roman"/>
          <w:sz w:val="24"/>
          <w:szCs w:val="24"/>
        </w:rPr>
        <w:t xml:space="preserve">holding in </w:t>
      </w:r>
      <w:r w:rsidR="005328C9" w:rsidRPr="00391C31">
        <w:rPr>
          <w:rFonts w:ascii="Times New Roman" w:hAnsi="Times New Roman"/>
          <w:i/>
          <w:sz w:val="24"/>
          <w:szCs w:val="24"/>
        </w:rPr>
        <w:t>Brantley</w:t>
      </w:r>
      <w:r w:rsidR="00CD4A61" w:rsidRPr="00CD4A61">
        <w:rPr>
          <w:rFonts w:ascii="Times New Roman" w:hAnsi="Times New Roman"/>
          <w:i/>
          <w:sz w:val="24"/>
          <w:szCs w:val="24"/>
        </w:rPr>
        <w:t>.</w:t>
      </w:r>
      <w:r w:rsidR="005328C9" w:rsidRPr="00391C31">
        <w:rPr>
          <w:rFonts w:ascii="Times New Roman" w:hAnsi="Times New Roman"/>
          <w:sz w:val="24"/>
          <w:szCs w:val="24"/>
        </w:rPr>
        <w:t xml:space="preserve"> (</w:t>
      </w:r>
      <w:r w:rsidR="005328C9" w:rsidRPr="00391C31">
        <w:rPr>
          <w:rFonts w:ascii="Times New Roman" w:hAnsi="Times New Roman"/>
          <w:i/>
          <w:sz w:val="24"/>
          <w:szCs w:val="24"/>
        </w:rPr>
        <w:t>See</w:t>
      </w:r>
      <w:r w:rsidR="005328C9" w:rsidRPr="00391C31">
        <w:rPr>
          <w:rFonts w:ascii="Times New Roman" w:hAnsi="Times New Roman"/>
          <w:sz w:val="24"/>
          <w:szCs w:val="24"/>
        </w:rPr>
        <w:t xml:space="preserve"> Defs.’ Br. at 14</w:t>
      </w:r>
      <w:r w:rsidR="007B2F8B" w:rsidRPr="00391C31">
        <w:rPr>
          <w:rFonts w:ascii="Times New Roman" w:hAnsi="Times New Roman"/>
          <w:sz w:val="24"/>
          <w:szCs w:val="24"/>
        </w:rPr>
        <w:t>.</w:t>
      </w:r>
      <w:r w:rsidR="005328C9" w:rsidRPr="00391C31">
        <w:rPr>
          <w:rFonts w:ascii="Times New Roman" w:hAnsi="Times New Roman"/>
          <w:sz w:val="24"/>
          <w:szCs w:val="24"/>
        </w:rPr>
        <w:t xml:space="preserve">)  Defendants </w:t>
      </w:r>
      <w:r w:rsidR="007B2F8B" w:rsidRPr="00391C31">
        <w:rPr>
          <w:rFonts w:ascii="Times New Roman" w:hAnsi="Times New Roman"/>
          <w:sz w:val="24"/>
          <w:szCs w:val="24"/>
        </w:rPr>
        <w:t xml:space="preserve">assert that </w:t>
      </w:r>
      <w:r w:rsidR="00EE714A" w:rsidRPr="00391C31">
        <w:rPr>
          <w:rFonts w:ascii="Times New Roman" w:hAnsi="Times New Roman"/>
          <w:sz w:val="24"/>
          <w:szCs w:val="24"/>
        </w:rPr>
        <w:t xml:space="preserve">to state </w:t>
      </w:r>
      <w:r w:rsidR="007B2F8B" w:rsidRPr="00391C31">
        <w:rPr>
          <w:rFonts w:ascii="Times New Roman" w:hAnsi="Times New Roman"/>
          <w:sz w:val="24"/>
          <w:szCs w:val="24"/>
        </w:rPr>
        <w:t xml:space="preserve">a claim </w:t>
      </w:r>
      <w:r w:rsidR="00EE714A" w:rsidRPr="00391C31">
        <w:rPr>
          <w:rFonts w:ascii="Times New Roman" w:hAnsi="Times New Roman"/>
          <w:sz w:val="24"/>
          <w:szCs w:val="24"/>
        </w:rPr>
        <w:t xml:space="preserve">for </w:t>
      </w:r>
      <w:r w:rsidR="005328C9" w:rsidRPr="00391C31">
        <w:rPr>
          <w:rFonts w:ascii="Times New Roman" w:hAnsi="Times New Roman"/>
          <w:sz w:val="24"/>
          <w:szCs w:val="24"/>
        </w:rPr>
        <w:t>violation of the integration mandate a plaintiff must show that he has “no choice” but to enter an institution to obtain needed care.  (</w:t>
      </w:r>
      <w:r w:rsidR="005328C9" w:rsidRPr="00391C31">
        <w:rPr>
          <w:rFonts w:ascii="Times New Roman" w:hAnsi="Times New Roman"/>
          <w:i/>
          <w:sz w:val="24"/>
          <w:szCs w:val="24"/>
        </w:rPr>
        <w:t>See id.</w:t>
      </w:r>
      <w:r w:rsidR="005328C9" w:rsidRPr="00391C31">
        <w:rPr>
          <w:rFonts w:ascii="Times New Roman" w:hAnsi="Times New Roman"/>
          <w:sz w:val="24"/>
          <w:szCs w:val="24"/>
        </w:rPr>
        <w:t>)</w:t>
      </w:r>
      <w:r w:rsidR="00BC1F60" w:rsidRPr="00391C31">
        <w:rPr>
          <w:rStyle w:val="FootnoteReference"/>
          <w:rFonts w:ascii="Times New Roman" w:hAnsi="Times New Roman"/>
          <w:sz w:val="24"/>
          <w:szCs w:val="24"/>
        </w:rPr>
        <w:t xml:space="preserve"> </w:t>
      </w:r>
      <w:r w:rsidR="00BC1F60" w:rsidRPr="00391C31">
        <w:rPr>
          <w:rStyle w:val="FootnoteReference"/>
          <w:rFonts w:ascii="Times New Roman" w:hAnsi="Times New Roman"/>
          <w:sz w:val="24"/>
          <w:szCs w:val="24"/>
        </w:rPr>
        <w:footnoteReference w:id="10"/>
      </w:r>
      <w:r w:rsidR="005328C9" w:rsidRPr="00391C31">
        <w:rPr>
          <w:rFonts w:ascii="Times New Roman" w:hAnsi="Times New Roman"/>
          <w:sz w:val="24"/>
          <w:szCs w:val="24"/>
        </w:rPr>
        <w:t xml:space="preserve">  </w:t>
      </w:r>
      <w:r w:rsidR="00831E0E" w:rsidRPr="00391C31">
        <w:rPr>
          <w:rFonts w:ascii="Times New Roman" w:hAnsi="Times New Roman"/>
          <w:sz w:val="24"/>
          <w:szCs w:val="24"/>
        </w:rPr>
        <w:t>In support of this</w:t>
      </w:r>
      <w:r w:rsidR="00F179A1" w:rsidRPr="00391C31">
        <w:rPr>
          <w:rFonts w:ascii="Times New Roman" w:hAnsi="Times New Roman"/>
          <w:sz w:val="24"/>
          <w:szCs w:val="24"/>
        </w:rPr>
        <w:t xml:space="preserve"> conclusion</w:t>
      </w:r>
      <w:r w:rsidR="00831E0E" w:rsidRPr="00391C31">
        <w:rPr>
          <w:rFonts w:ascii="Times New Roman" w:hAnsi="Times New Roman"/>
          <w:sz w:val="24"/>
          <w:szCs w:val="24"/>
        </w:rPr>
        <w:t xml:space="preserve">, </w:t>
      </w:r>
      <w:r w:rsidR="00F179A1" w:rsidRPr="00391C31">
        <w:rPr>
          <w:rFonts w:ascii="Times New Roman" w:hAnsi="Times New Roman"/>
          <w:sz w:val="24"/>
          <w:szCs w:val="24"/>
        </w:rPr>
        <w:t xml:space="preserve">Defendants can </w:t>
      </w:r>
      <w:r w:rsidR="005C27FB" w:rsidRPr="00391C31">
        <w:rPr>
          <w:rFonts w:ascii="Times New Roman" w:hAnsi="Times New Roman"/>
          <w:sz w:val="24"/>
          <w:szCs w:val="24"/>
        </w:rPr>
        <w:t xml:space="preserve">only </w:t>
      </w:r>
      <w:r w:rsidR="00831E0E" w:rsidRPr="00391C31">
        <w:rPr>
          <w:rFonts w:ascii="Times New Roman" w:hAnsi="Times New Roman"/>
          <w:sz w:val="24"/>
          <w:szCs w:val="24"/>
        </w:rPr>
        <w:t xml:space="preserve">cite </w:t>
      </w:r>
      <w:r w:rsidR="00F179A1" w:rsidRPr="00391C31">
        <w:rPr>
          <w:rFonts w:ascii="Times New Roman" w:hAnsi="Times New Roman"/>
          <w:sz w:val="24"/>
          <w:szCs w:val="24"/>
        </w:rPr>
        <w:t xml:space="preserve">to a </w:t>
      </w:r>
      <w:r w:rsidR="00831E0E" w:rsidRPr="00391C31">
        <w:rPr>
          <w:rFonts w:ascii="Times New Roman" w:hAnsi="Times New Roman"/>
          <w:sz w:val="24"/>
          <w:szCs w:val="24"/>
        </w:rPr>
        <w:t>single decision from a district court in Washington</w:t>
      </w:r>
      <w:r w:rsidR="00F179A1" w:rsidRPr="00391C31">
        <w:rPr>
          <w:rFonts w:ascii="Times New Roman" w:hAnsi="Times New Roman"/>
          <w:sz w:val="24"/>
          <w:szCs w:val="24"/>
        </w:rPr>
        <w:t>, which outlines the purported “no choice” standard</w:t>
      </w:r>
      <w:r w:rsidR="00695094" w:rsidRPr="00391C31">
        <w:rPr>
          <w:rFonts w:ascii="Times New Roman" w:hAnsi="Times New Roman"/>
          <w:sz w:val="24"/>
          <w:szCs w:val="24"/>
        </w:rPr>
        <w:t xml:space="preserve">. </w:t>
      </w:r>
      <w:r w:rsidR="00695094" w:rsidRPr="00391C31">
        <w:rPr>
          <w:rFonts w:ascii="Times New Roman" w:hAnsi="Times New Roman"/>
          <w:i/>
          <w:sz w:val="24"/>
          <w:szCs w:val="24"/>
        </w:rPr>
        <w:t>See</w:t>
      </w:r>
      <w:r w:rsidR="00695094" w:rsidRPr="00391C31">
        <w:rPr>
          <w:rFonts w:ascii="Times New Roman" w:hAnsi="Times New Roman"/>
          <w:sz w:val="24"/>
          <w:szCs w:val="24"/>
        </w:rPr>
        <w:t xml:space="preserve"> </w:t>
      </w:r>
      <w:r w:rsidR="00831E0E" w:rsidRPr="00391C31">
        <w:rPr>
          <w:rFonts w:ascii="Times New Roman" w:hAnsi="Times New Roman"/>
          <w:i/>
          <w:sz w:val="24"/>
          <w:szCs w:val="24"/>
        </w:rPr>
        <w:t>M.R. v. Dreyfus</w:t>
      </w:r>
      <w:r w:rsidR="00831E0E" w:rsidRPr="00391C31">
        <w:rPr>
          <w:rFonts w:ascii="Times New Roman" w:hAnsi="Times New Roman"/>
          <w:sz w:val="24"/>
          <w:szCs w:val="24"/>
        </w:rPr>
        <w:t>,</w:t>
      </w:r>
      <w:r w:rsidR="00BB5113" w:rsidRPr="00391C31">
        <w:rPr>
          <w:rFonts w:ascii="Times New Roman" w:hAnsi="Times New Roman"/>
          <w:sz w:val="24"/>
          <w:szCs w:val="24"/>
        </w:rPr>
        <w:t xml:space="preserve"> 767 F. Supp. 2d 1149,1168-70 (W.D. Wash. 2011)</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\l "</w:instrText>
      </w:r>
      <w:r w:rsidR="00EA249C" w:rsidRPr="00391C31">
        <w:rPr>
          <w:rFonts w:ascii="Times New Roman" w:hAnsi="Times New Roman"/>
          <w:i/>
          <w:sz w:val="24"/>
          <w:szCs w:val="24"/>
        </w:rPr>
        <w:instrText>M.R. v. Dreyfus</w:instrText>
      </w:r>
      <w:r w:rsidR="00EA249C" w:rsidRPr="00391C31">
        <w:rPr>
          <w:rFonts w:ascii="Times New Roman" w:hAnsi="Times New Roman"/>
          <w:sz w:val="24"/>
          <w:szCs w:val="24"/>
        </w:rPr>
        <w:instrText xml:space="preserve">, 767 F. Supp. 2d 1149 (W.D. Wash. 2011)" \s "M.R. v. Dreyfus, 767 F. Supp. 2d 1149 (W.D. Wash. 2011)" \c 1 </w:instrText>
      </w:r>
      <w:r w:rsidRPr="00391C31">
        <w:rPr>
          <w:rFonts w:ascii="Times New Roman" w:hAnsi="Times New Roman"/>
          <w:sz w:val="24"/>
          <w:szCs w:val="24"/>
        </w:rPr>
        <w:fldChar w:fldCharType="end"/>
      </w:r>
      <w:r w:rsidR="00831E0E" w:rsidRPr="00391C31">
        <w:rPr>
          <w:rFonts w:ascii="Times New Roman" w:hAnsi="Times New Roman"/>
          <w:sz w:val="24"/>
          <w:szCs w:val="24"/>
        </w:rPr>
        <w:t xml:space="preserve">, </w:t>
      </w:r>
      <w:r w:rsidR="00831E0E" w:rsidRPr="00391C31">
        <w:rPr>
          <w:rFonts w:ascii="Times New Roman" w:hAnsi="Times New Roman"/>
          <w:i/>
          <w:sz w:val="24"/>
          <w:szCs w:val="24"/>
        </w:rPr>
        <w:t>appeal docketed</w:t>
      </w:r>
      <w:r w:rsidR="00831E0E" w:rsidRPr="00391C31">
        <w:rPr>
          <w:rFonts w:ascii="Times New Roman" w:hAnsi="Times New Roman"/>
          <w:sz w:val="24"/>
          <w:szCs w:val="24"/>
        </w:rPr>
        <w:t>,</w:t>
      </w:r>
      <w:r w:rsidR="00831E0E" w:rsidRPr="00391C31">
        <w:rPr>
          <w:rFonts w:ascii="Times New Roman" w:hAnsi="Times New Roman"/>
          <w:i/>
          <w:sz w:val="24"/>
          <w:szCs w:val="24"/>
        </w:rPr>
        <w:t xml:space="preserve"> </w:t>
      </w:r>
      <w:r w:rsidR="00831E0E" w:rsidRPr="00391C31">
        <w:rPr>
          <w:rFonts w:ascii="Times New Roman" w:hAnsi="Times New Roman"/>
          <w:sz w:val="24"/>
          <w:szCs w:val="24"/>
        </w:rPr>
        <w:t xml:space="preserve">No. 11-35026 (9th Cir. Feb. 10, 2011).  The court’s decision in </w:t>
      </w:r>
      <w:r w:rsidR="00831E0E" w:rsidRPr="00391C31">
        <w:rPr>
          <w:rFonts w:ascii="Times New Roman" w:hAnsi="Times New Roman"/>
          <w:i/>
          <w:sz w:val="24"/>
          <w:szCs w:val="24"/>
        </w:rPr>
        <w:t>M.R.</w:t>
      </w:r>
      <w:r w:rsidR="00831E0E" w:rsidRPr="00391C31">
        <w:rPr>
          <w:rFonts w:ascii="Times New Roman" w:hAnsi="Times New Roman"/>
          <w:sz w:val="24"/>
          <w:szCs w:val="24"/>
        </w:rPr>
        <w:t xml:space="preserve">, however, is a flawed interpretation of the </w:t>
      </w:r>
      <w:r w:rsidR="00F27533" w:rsidRPr="00391C31">
        <w:rPr>
          <w:rFonts w:ascii="Times New Roman" w:hAnsi="Times New Roman"/>
          <w:sz w:val="24"/>
          <w:szCs w:val="24"/>
        </w:rPr>
        <w:t>integration mandate</w:t>
      </w:r>
      <w:r w:rsidR="00F179A1" w:rsidRPr="00391C31">
        <w:rPr>
          <w:rFonts w:ascii="Times New Roman" w:hAnsi="Times New Roman"/>
          <w:sz w:val="24"/>
          <w:szCs w:val="24"/>
        </w:rPr>
        <w:t xml:space="preserve"> and cannot be squared with t</w:t>
      </w:r>
      <w:r w:rsidR="00831E0E" w:rsidRPr="00391C31">
        <w:rPr>
          <w:rFonts w:ascii="Times New Roman" w:hAnsi="Times New Roman"/>
          <w:sz w:val="24"/>
          <w:szCs w:val="24"/>
        </w:rPr>
        <w:t xml:space="preserve">itle II of the ADA </w:t>
      </w:r>
      <w:r w:rsidR="000006E2" w:rsidRPr="00391C31">
        <w:rPr>
          <w:rFonts w:ascii="Times New Roman" w:hAnsi="Times New Roman"/>
          <w:sz w:val="24"/>
          <w:szCs w:val="24"/>
        </w:rPr>
        <w:t>and</w:t>
      </w:r>
      <w:r w:rsidR="00831E0E" w:rsidRPr="00391C31">
        <w:rPr>
          <w:rFonts w:ascii="Times New Roman" w:hAnsi="Times New Roman"/>
          <w:sz w:val="24"/>
          <w:szCs w:val="24"/>
        </w:rPr>
        <w:t xml:space="preserve"> existing precedent.</w:t>
      </w:r>
    </w:p>
    <w:p w:rsidR="00EE714A" w:rsidRPr="00391C31" w:rsidRDefault="00726D1D" w:rsidP="00391C31">
      <w:pPr>
        <w:spacing w:after="0" w:line="480" w:lineRule="exact"/>
        <w:ind w:firstLine="720"/>
        <w:rPr>
          <w:rFonts w:ascii="Times New Roman" w:hAnsi="Times New Roman"/>
          <w:sz w:val="24"/>
          <w:szCs w:val="24"/>
        </w:rPr>
      </w:pPr>
      <w:r>
        <w:rPr>
          <w:rFonts w:ascii="Times New Roman" w:hAnsi="Times New Roman"/>
          <w:noProof/>
          <w:sz w:val="24"/>
          <w:szCs w:val="24"/>
        </w:rPr>
        <w:pict>
          <v:shape id="_x0000_s1044" type="#_x0000_t202" style="position:absolute;left:0;text-align:left;margin-left:-43.5pt;margin-top:2.25pt;width:36pt;height:10in;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Pr>
          <w:rFonts w:ascii="Times New Roman" w:hAnsi="Times New Roman"/>
          <w:noProof/>
          <w:sz w:val="24"/>
          <w:szCs w:val="24"/>
        </w:rPr>
        <w:pict>
          <v:shape id="_x0000_s1043" type="#_x0000_t202" style="position:absolute;left:0;text-align:left;margin-left:-47.4pt;margin-top:-6pt;width:36pt;height:10in;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A50BB5" w:rsidRPr="00391C31">
        <w:rPr>
          <w:rFonts w:ascii="Times New Roman" w:hAnsi="Times New Roman"/>
          <w:sz w:val="24"/>
          <w:szCs w:val="24"/>
        </w:rPr>
        <w:t xml:space="preserve">Neither the </w:t>
      </w:r>
      <w:r w:rsidR="00BC1F60" w:rsidRPr="00391C31">
        <w:rPr>
          <w:rFonts w:ascii="Times New Roman" w:hAnsi="Times New Roman"/>
          <w:sz w:val="24"/>
          <w:szCs w:val="24"/>
        </w:rPr>
        <w:t>ADA</w:t>
      </w:r>
      <w:r w:rsidR="00A50BB5" w:rsidRPr="00391C31">
        <w:rPr>
          <w:rFonts w:ascii="Times New Roman" w:hAnsi="Times New Roman"/>
          <w:sz w:val="24"/>
          <w:szCs w:val="24"/>
        </w:rPr>
        <w:t xml:space="preserve"> nor the integration regulation applies solely to institutionalized persons</w:t>
      </w:r>
      <w:r w:rsidR="00F179A1" w:rsidRPr="00391C31">
        <w:rPr>
          <w:rFonts w:ascii="Times New Roman" w:hAnsi="Times New Roman"/>
          <w:sz w:val="24"/>
          <w:szCs w:val="24"/>
        </w:rPr>
        <w:t>, or those having “no choice” but institutionalization</w:t>
      </w:r>
      <w:r w:rsidR="00A50BB5" w:rsidRPr="00391C31">
        <w:rPr>
          <w:rFonts w:ascii="Times New Roman" w:hAnsi="Times New Roman"/>
          <w:sz w:val="24"/>
          <w:szCs w:val="24"/>
        </w:rPr>
        <w:t xml:space="preserve">.  On the contrary, both protect “qualified individuals with disabilities.”  28 C.F.R. </w:t>
      </w:r>
      <w:r w:rsidR="00F42088" w:rsidRPr="00391C31">
        <w:rPr>
          <w:rFonts w:ascii="Times New Roman" w:hAnsi="Times New Roman"/>
          <w:sz w:val="24"/>
          <w:szCs w:val="24"/>
        </w:rPr>
        <w:t xml:space="preserve">§ </w:t>
      </w:r>
      <w:r w:rsidR="00A50BB5" w:rsidRPr="00391C31">
        <w:rPr>
          <w:rFonts w:ascii="Times New Roman" w:hAnsi="Times New Roman"/>
          <w:sz w:val="24"/>
          <w:szCs w:val="24"/>
        </w:rPr>
        <w:t xml:space="preserve">35.130(d); </w:t>
      </w:r>
      <w:r w:rsidR="00A50BB5" w:rsidRPr="00391C31">
        <w:rPr>
          <w:rFonts w:ascii="Times New Roman" w:hAnsi="Times New Roman"/>
          <w:i/>
          <w:sz w:val="24"/>
          <w:szCs w:val="24"/>
        </w:rPr>
        <w:t>accord</w:t>
      </w:r>
      <w:r w:rsidR="00A50BB5" w:rsidRPr="00391C31">
        <w:rPr>
          <w:rFonts w:ascii="Times New Roman" w:hAnsi="Times New Roman"/>
          <w:sz w:val="24"/>
          <w:szCs w:val="24"/>
        </w:rPr>
        <w:t xml:space="preserve"> 42 U.S.C. </w:t>
      </w:r>
      <w:r w:rsidR="00F42088" w:rsidRPr="00391C31">
        <w:rPr>
          <w:rFonts w:ascii="Times New Roman" w:hAnsi="Times New Roman"/>
          <w:sz w:val="24"/>
          <w:szCs w:val="24"/>
        </w:rPr>
        <w:t xml:space="preserve">§ </w:t>
      </w:r>
      <w:r w:rsidR="00A50BB5" w:rsidRPr="00391C31">
        <w:rPr>
          <w:rFonts w:ascii="Times New Roman" w:hAnsi="Times New Roman"/>
          <w:sz w:val="24"/>
          <w:szCs w:val="24"/>
        </w:rPr>
        <w:t>12132</w:t>
      </w:r>
      <w:r w:rsidRPr="00391C31">
        <w:rPr>
          <w:rFonts w:ascii="Times New Roman" w:hAnsi="Times New Roman"/>
          <w:sz w:val="24"/>
          <w:szCs w:val="24"/>
        </w:rPr>
        <w:fldChar w:fldCharType="begin"/>
      </w:r>
      <w:r w:rsidR="00EA249C" w:rsidRPr="00391C31">
        <w:rPr>
          <w:rFonts w:ascii="Times New Roman" w:hAnsi="Times New Roman"/>
          <w:sz w:val="24"/>
          <w:szCs w:val="24"/>
        </w:rPr>
        <w:instrText xml:space="preserve"> TA \s "42 U.S.C. § 12132" </w:instrText>
      </w:r>
      <w:r w:rsidRPr="00391C31">
        <w:rPr>
          <w:rFonts w:ascii="Times New Roman" w:hAnsi="Times New Roman"/>
          <w:sz w:val="24"/>
          <w:szCs w:val="24"/>
        </w:rPr>
        <w:fldChar w:fldCharType="end"/>
      </w:r>
      <w:r w:rsidR="00A50BB5" w:rsidRPr="00391C31">
        <w:rPr>
          <w:rFonts w:ascii="Times New Roman" w:hAnsi="Times New Roman"/>
          <w:sz w:val="24"/>
          <w:szCs w:val="24"/>
        </w:rPr>
        <w:t xml:space="preserve">.  </w:t>
      </w:r>
      <w:r w:rsidR="00612AB2" w:rsidRPr="00391C31">
        <w:rPr>
          <w:rFonts w:ascii="Times New Roman" w:hAnsi="Times New Roman"/>
          <w:sz w:val="24"/>
          <w:szCs w:val="24"/>
        </w:rPr>
        <w:t>Indeed, t</w:t>
      </w:r>
      <w:r w:rsidR="005328C9" w:rsidRPr="00391C31">
        <w:rPr>
          <w:rFonts w:ascii="Times New Roman" w:hAnsi="Times New Roman"/>
          <w:sz w:val="24"/>
          <w:szCs w:val="24"/>
        </w:rPr>
        <w:t xml:space="preserve">he </w:t>
      </w:r>
      <w:r w:rsidR="00612AB2" w:rsidRPr="00391C31">
        <w:rPr>
          <w:rFonts w:ascii="Times New Roman" w:hAnsi="Times New Roman"/>
          <w:sz w:val="24"/>
          <w:szCs w:val="24"/>
        </w:rPr>
        <w:t>Tenth Circuit</w:t>
      </w:r>
      <w:r w:rsidR="005328C9" w:rsidRPr="00391C31">
        <w:rPr>
          <w:rFonts w:ascii="Times New Roman" w:hAnsi="Times New Roman"/>
          <w:sz w:val="24"/>
          <w:szCs w:val="24"/>
        </w:rPr>
        <w:t xml:space="preserve"> in </w:t>
      </w:r>
      <w:r w:rsidR="005328C9" w:rsidRPr="00391C31">
        <w:rPr>
          <w:rFonts w:ascii="Times New Roman" w:hAnsi="Times New Roman"/>
          <w:i/>
          <w:sz w:val="24"/>
          <w:szCs w:val="24"/>
        </w:rPr>
        <w:t>Fisher</w:t>
      </w:r>
      <w:r w:rsidR="005328C9" w:rsidRPr="00391C31">
        <w:rPr>
          <w:rFonts w:ascii="Times New Roman" w:hAnsi="Times New Roman"/>
          <w:sz w:val="24"/>
          <w:szCs w:val="24"/>
        </w:rPr>
        <w:t xml:space="preserve"> explicitly </w:t>
      </w:r>
      <w:r w:rsidR="00F27533" w:rsidRPr="00391C31">
        <w:rPr>
          <w:rFonts w:ascii="Times New Roman" w:hAnsi="Times New Roman"/>
          <w:sz w:val="24"/>
          <w:szCs w:val="24"/>
        </w:rPr>
        <w:t>concluded</w:t>
      </w:r>
      <w:r w:rsidR="005328C9" w:rsidRPr="00391C31">
        <w:rPr>
          <w:rFonts w:ascii="Times New Roman" w:hAnsi="Times New Roman"/>
          <w:sz w:val="24"/>
          <w:szCs w:val="24"/>
        </w:rPr>
        <w:t xml:space="preserve"> that</w:t>
      </w:r>
      <w:r w:rsidR="00085076" w:rsidRPr="00391C31">
        <w:rPr>
          <w:rFonts w:ascii="Times New Roman" w:hAnsi="Times New Roman"/>
          <w:sz w:val="24"/>
          <w:szCs w:val="24"/>
        </w:rPr>
        <w:t>, under</w:t>
      </w:r>
      <w:r w:rsidR="00F27533" w:rsidRPr="00391C31">
        <w:rPr>
          <w:rFonts w:ascii="Times New Roman" w:hAnsi="Times New Roman"/>
          <w:sz w:val="24"/>
          <w:szCs w:val="24"/>
        </w:rPr>
        <w:t xml:space="preserve"> </w:t>
      </w:r>
      <w:r w:rsidR="00F27533" w:rsidRPr="00391C31">
        <w:rPr>
          <w:rFonts w:ascii="Times New Roman" w:hAnsi="Times New Roman"/>
          <w:i/>
          <w:sz w:val="24"/>
          <w:szCs w:val="24"/>
        </w:rPr>
        <w:t>Olmstead</w:t>
      </w:r>
      <w:r w:rsidR="00085076" w:rsidRPr="00391C31">
        <w:rPr>
          <w:rFonts w:ascii="Times New Roman" w:hAnsi="Times New Roman"/>
          <w:sz w:val="24"/>
          <w:szCs w:val="24"/>
        </w:rPr>
        <w:t>,</w:t>
      </w:r>
      <w:r w:rsidR="005328C9" w:rsidRPr="00391C31">
        <w:rPr>
          <w:rFonts w:ascii="Times New Roman" w:hAnsi="Times New Roman"/>
          <w:sz w:val="24"/>
          <w:szCs w:val="24"/>
        </w:rPr>
        <w:t xml:space="preserve"> </w:t>
      </w:r>
      <w:r w:rsidR="00EE714A" w:rsidRPr="00391C31">
        <w:rPr>
          <w:rFonts w:ascii="Times New Roman" w:hAnsi="Times New Roman"/>
          <w:sz w:val="24"/>
          <w:szCs w:val="24"/>
        </w:rPr>
        <w:t>those “imperiled wit</w:t>
      </w:r>
      <w:r w:rsidR="00F27533" w:rsidRPr="00391C31">
        <w:rPr>
          <w:rFonts w:ascii="Times New Roman" w:hAnsi="Times New Roman"/>
          <w:sz w:val="24"/>
          <w:szCs w:val="24"/>
        </w:rPr>
        <w:t>h segregation” or “threaten[ed]”</w:t>
      </w:r>
      <w:r w:rsidR="00EE714A" w:rsidRPr="00391C31">
        <w:rPr>
          <w:rFonts w:ascii="Times New Roman" w:hAnsi="Times New Roman"/>
          <w:sz w:val="24"/>
          <w:szCs w:val="24"/>
        </w:rPr>
        <w:t xml:space="preserve"> with </w:t>
      </w:r>
      <w:r w:rsidR="00F27533" w:rsidRPr="00391C31">
        <w:rPr>
          <w:rFonts w:ascii="Times New Roman" w:hAnsi="Times New Roman"/>
          <w:sz w:val="24"/>
          <w:szCs w:val="24"/>
        </w:rPr>
        <w:t xml:space="preserve">“segregated </w:t>
      </w:r>
      <w:r w:rsidR="00EE714A" w:rsidRPr="00391C31">
        <w:rPr>
          <w:rFonts w:ascii="Times New Roman" w:hAnsi="Times New Roman"/>
          <w:sz w:val="24"/>
          <w:szCs w:val="24"/>
        </w:rPr>
        <w:t>isolation</w:t>
      </w:r>
      <w:r w:rsidR="00F27533" w:rsidRPr="00391C31">
        <w:rPr>
          <w:rFonts w:ascii="Times New Roman" w:hAnsi="Times New Roman"/>
          <w:sz w:val="24"/>
          <w:szCs w:val="24"/>
        </w:rPr>
        <w:t>”</w:t>
      </w:r>
      <w:r w:rsidR="00EE714A" w:rsidRPr="00391C31">
        <w:rPr>
          <w:rFonts w:ascii="Times New Roman" w:hAnsi="Times New Roman"/>
          <w:sz w:val="24"/>
          <w:szCs w:val="24"/>
        </w:rPr>
        <w:t xml:space="preserve"> </w:t>
      </w:r>
      <w:r w:rsidR="00D223CF" w:rsidRPr="00391C31">
        <w:rPr>
          <w:rFonts w:ascii="Times New Roman" w:hAnsi="Times New Roman"/>
          <w:sz w:val="24"/>
          <w:szCs w:val="24"/>
        </w:rPr>
        <w:t>by reason of a change in state policy</w:t>
      </w:r>
      <w:r w:rsidR="004F07A3" w:rsidRPr="00391C31">
        <w:rPr>
          <w:rFonts w:ascii="Times New Roman" w:hAnsi="Times New Roman"/>
          <w:sz w:val="24"/>
          <w:szCs w:val="24"/>
        </w:rPr>
        <w:t xml:space="preserve"> m</w:t>
      </w:r>
      <w:r w:rsidR="00EE714A" w:rsidRPr="00391C31">
        <w:rPr>
          <w:rFonts w:ascii="Times New Roman" w:hAnsi="Times New Roman"/>
          <w:sz w:val="24"/>
          <w:szCs w:val="24"/>
        </w:rPr>
        <w:t>ay</w:t>
      </w:r>
      <w:r w:rsidR="00F27533" w:rsidRPr="00391C31">
        <w:rPr>
          <w:rFonts w:ascii="Times New Roman" w:hAnsi="Times New Roman"/>
          <w:sz w:val="24"/>
          <w:szCs w:val="24"/>
        </w:rPr>
        <w:t xml:space="preserve"> </w:t>
      </w:r>
      <w:r w:rsidR="00EE714A" w:rsidRPr="00391C31">
        <w:rPr>
          <w:rFonts w:ascii="Times New Roman" w:hAnsi="Times New Roman"/>
          <w:sz w:val="24"/>
          <w:szCs w:val="24"/>
        </w:rPr>
        <w:t xml:space="preserve">bring </w:t>
      </w:r>
      <w:r w:rsidR="00F27533" w:rsidRPr="00391C31">
        <w:rPr>
          <w:rFonts w:ascii="Times New Roman" w:hAnsi="Times New Roman"/>
          <w:sz w:val="24"/>
          <w:szCs w:val="24"/>
        </w:rPr>
        <w:t>a challenge to that policy under the ADA</w:t>
      </w:r>
      <w:r w:rsidR="00D223CF" w:rsidRPr="00391C31">
        <w:rPr>
          <w:rFonts w:ascii="Times New Roman" w:hAnsi="Times New Roman"/>
          <w:sz w:val="24"/>
          <w:szCs w:val="24"/>
        </w:rPr>
        <w:t xml:space="preserve"> without first submitting to institutionalization</w:t>
      </w:r>
      <w:r w:rsidR="00EE714A" w:rsidRPr="00391C31">
        <w:rPr>
          <w:rFonts w:ascii="Times New Roman" w:hAnsi="Times New Roman"/>
          <w:sz w:val="24"/>
          <w:szCs w:val="24"/>
        </w:rPr>
        <w:t xml:space="preserve">.  </w:t>
      </w:r>
      <w:r w:rsidR="00F27533" w:rsidRPr="00391C31">
        <w:rPr>
          <w:rFonts w:ascii="Times New Roman" w:hAnsi="Times New Roman"/>
          <w:sz w:val="24"/>
          <w:szCs w:val="24"/>
        </w:rPr>
        <w:t xml:space="preserve">335 F.3d at </w:t>
      </w:r>
      <w:r w:rsidR="00EE714A" w:rsidRPr="00391C31">
        <w:rPr>
          <w:rFonts w:ascii="Times New Roman" w:hAnsi="Times New Roman"/>
          <w:sz w:val="24"/>
          <w:szCs w:val="24"/>
        </w:rPr>
        <w:t>118</w:t>
      </w:r>
      <w:r w:rsidR="00F27533" w:rsidRPr="00391C31">
        <w:rPr>
          <w:rFonts w:ascii="Times New Roman" w:hAnsi="Times New Roman"/>
          <w:sz w:val="24"/>
          <w:szCs w:val="24"/>
        </w:rPr>
        <w:t>1-8</w:t>
      </w:r>
      <w:r w:rsidR="00EE714A" w:rsidRPr="00391C31">
        <w:rPr>
          <w:rFonts w:ascii="Times New Roman" w:hAnsi="Times New Roman"/>
          <w:sz w:val="24"/>
          <w:szCs w:val="24"/>
        </w:rPr>
        <w:t>2</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"Fisher v. Oklahoma Health Care Auth, 335 F.3d 1175 (10th Cir. 2003)" </w:instrText>
      </w:r>
      <w:r w:rsidRPr="00391C31">
        <w:rPr>
          <w:rFonts w:ascii="Times New Roman" w:hAnsi="Times New Roman"/>
          <w:sz w:val="24"/>
          <w:szCs w:val="24"/>
        </w:rPr>
        <w:fldChar w:fldCharType="end"/>
      </w:r>
      <w:r w:rsidR="00EE714A" w:rsidRPr="00391C31">
        <w:rPr>
          <w:rFonts w:ascii="Times New Roman" w:hAnsi="Times New Roman"/>
          <w:sz w:val="24"/>
          <w:szCs w:val="24"/>
        </w:rPr>
        <w:t>.</w:t>
      </w:r>
      <w:r w:rsidR="004B25F8" w:rsidRPr="00391C31">
        <w:rPr>
          <w:rFonts w:ascii="Times New Roman" w:hAnsi="Times New Roman"/>
          <w:sz w:val="24"/>
          <w:szCs w:val="24"/>
        </w:rPr>
        <w:t xml:space="preserve"> </w:t>
      </w:r>
      <w:r w:rsidR="00EE714A" w:rsidRPr="00391C31">
        <w:rPr>
          <w:rFonts w:ascii="Times New Roman" w:hAnsi="Times New Roman"/>
          <w:sz w:val="24"/>
          <w:szCs w:val="24"/>
        </w:rPr>
        <w:t>That language does not suggest that beneficiaries must be put in a position where they have “no choice” but to enter an institution to receive necessary care.</w:t>
      </w:r>
      <w:r w:rsidR="00D223CF" w:rsidRPr="00391C31">
        <w:rPr>
          <w:rFonts w:ascii="Times New Roman" w:hAnsi="Times New Roman"/>
          <w:sz w:val="24"/>
          <w:szCs w:val="24"/>
        </w:rPr>
        <w:t xml:space="preserve"> </w:t>
      </w:r>
      <w:r w:rsidR="00EE714A" w:rsidRPr="00391C31">
        <w:rPr>
          <w:rFonts w:ascii="Times New Roman" w:hAnsi="Times New Roman"/>
          <w:sz w:val="24"/>
          <w:szCs w:val="24"/>
        </w:rPr>
        <w:t xml:space="preserve"> In fact, Defendants’ fictional “no choice” requirement appears nowhere in the </w:t>
      </w:r>
      <w:r w:rsidR="00EE714A" w:rsidRPr="00391C31">
        <w:rPr>
          <w:rFonts w:ascii="Times New Roman" w:hAnsi="Times New Roman"/>
          <w:i/>
          <w:sz w:val="24"/>
          <w:szCs w:val="24"/>
        </w:rPr>
        <w:t>Fisher</w:t>
      </w:r>
      <w:r w:rsidR="00EE714A" w:rsidRPr="00391C31">
        <w:rPr>
          <w:rFonts w:ascii="Times New Roman" w:hAnsi="Times New Roman"/>
          <w:sz w:val="24"/>
          <w:szCs w:val="24"/>
        </w:rPr>
        <w:t xml:space="preserve"> opinion, and this Court has already explicitly rejected such an interpretation of the ADA.  </w:t>
      </w:r>
      <w:r w:rsidR="00EE714A" w:rsidRPr="00391C31">
        <w:rPr>
          <w:rFonts w:ascii="Times New Roman" w:hAnsi="Times New Roman"/>
          <w:i/>
          <w:sz w:val="24"/>
          <w:szCs w:val="24"/>
        </w:rPr>
        <w:t>See</w:t>
      </w:r>
      <w:r w:rsidR="00EE714A" w:rsidRPr="00391C31">
        <w:rPr>
          <w:rFonts w:ascii="Times New Roman" w:hAnsi="Times New Roman"/>
          <w:sz w:val="24"/>
          <w:szCs w:val="24"/>
        </w:rPr>
        <w:t xml:space="preserve"> </w:t>
      </w:r>
      <w:r w:rsidR="00EE714A" w:rsidRPr="00391C31">
        <w:rPr>
          <w:rFonts w:ascii="Times New Roman" w:hAnsi="Times New Roman"/>
          <w:i/>
          <w:sz w:val="24"/>
          <w:szCs w:val="24"/>
        </w:rPr>
        <w:t>Brantley</w:t>
      </w:r>
      <w:r w:rsidR="00EE714A" w:rsidRPr="00391C31">
        <w:rPr>
          <w:rFonts w:ascii="Times New Roman" w:hAnsi="Times New Roman"/>
          <w:sz w:val="24"/>
          <w:szCs w:val="24"/>
        </w:rPr>
        <w:t>, 656 F. Supp. 2d at 1170</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"Brantley v. Maxwell-Jolly, 656 F. Supp. 2d 1161 (N.D. Cal. 2009)" </w:instrText>
      </w:r>
      <w:r w:rsidRPr="00391C31">
        <w:rPr>
          <w:rFonts w:ascii="Times New Roman" w:hAnsi="Times New Roman"/>
          <w:sz w:val="24"/>
          <w:szCs w:val="24"/>
        </w:rPr>
        <w:fldChar w:fldCharType="end"/>
      </w:r>
      <w:r w:rsidR="00EE714A" w:rsidRPr="00391C31">
        <w:rPr>
          <w:rFonts w:ascii="Times New Roman" w:hAnsi="Times New Roman"/>
          <w:sz w:val="24"/>
          <w:szCs w:val="24"/>
        </w:rPr>
        <w:t>.</w:t>
      </w:r>
    </w:p>
    <w:p w:rsidR="000922C1" w:rsidRPr="00391C31" w:rsidRDefault="00726D1D" w:rsidP="00391C31">
      <w:pPr>
        <w:spacing w:after="0" w:line="480" w:lineRule="exact"/>
        <w:ind w:firstLine="720"/>
        <w:rPr>
          <w:rFonts w:ascii="Times New Roman" w:hAnsi="Times New Roman"/>
          <w:sz w:val="24"/>
          <w:szCs w:val="24"/>
        </w:rPr>
      </w:pPr>
      <w:r>
        <w:rPr>
          <w:rFonts w:ascii="Times New Roman" w:hAnsi="Times New Roman"/>
          <w:noProof/>
          <w:sz w:val="24"/>
          <w:szCs w:val="24"/>
        </w:rPr>
        <w:pict>
          <v:shape id="_x0000_s1068" type="#_x0000_t202" style="position:absolute;left:0;text-align:left;margin-left:-44.1pt;margin-top:-2.25pt;width:36pt;height:10in;z-index:2516981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J1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" o:allowincell="f" stroked="f">
            <v:textbox style="mso-next-textbox:#_x0000_s1068" inset="0,0,0,0">
              <w:txbxContent>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685365">
                  <w:pPr>
                    <w:spacing w:after="0" w:line="480" w:lineRule="exact"/>
                    <w:jc w:val="right"/>
                  </w:pPr>
                </w:p>
              </w:txbxContent>
            </v:textbox>
            <w10:wrap anchorx="margin" anchory="margin"/>
          </v:shape>
        </w:pict>
      </w:r>
      <w:r w:rsidR="00085076" w:rsidRPr="00391C31">
        <w:rPr>
          <w:rFonts w:ascii="Times New Roman" w:hAnsi="Times New Roman"/>
          <w:sz w:val="24"/>
          <w:szCs w:val="24"/>
        </w:rPr>
        <w:t>The</w:t>
      </w:r>
      <w:r w:rsidR="004B25F8" w:rsidRPr="00391C31">
        <w:rPr>
          <w:rFonts w:ascii="Times New Roman" w:hAnsi="Times New Roman"/>
          <w:sz w:val="24"/>
          <w:szCs w:val="24"/>
        </w:rPr>
        <w:t xml:space="preserve"> stan</w:t>
      </w:r>
      <w:r w:rsidR="00085076" w:rsidRPr="00391C31">
        <w:rPr>
          <w:rFonts w:ascii="Times New Roman" w:hAnsi="Times New Roman"/>
          <w:sz w:val="24"/>
          <w:szCs w:val="24"/>
        </w:rPr>
        <w:t xml:space="preserve">dard suggested by Defendants </w:t>
      </w:r>
      <w:r w:rsidR="004B25F8" w:rsidRPr="00391C31">
        <w:rPr>
          <w:rFonts w:ascii="Times New Roman" w:hAnsi="Times New Roman"/>
          <w:sz w:val="24"/>
          <w:szCs w:val="24"/>
        </w:rPr>
        <w:t xml:space="preserve">would present beneficiaries </w:t>
      </w:r>
      <w:r w:rsidR="00085076" w:rsidRPr="00391C31">
        <w:rPr>
          <w:rFonts w:ascii="Times New Roman" w:hAnsi="Times New Roman"/>
          <w:sz w:val="24"/>
          <w:szCs w:val="24"/>
        </w:rPr>
        <w:t xml:space="preserve">who live in the community and face </w:t>
      </w:r>
      <w:r w:rsidR="004B25F8" w:rsidRPr="00391C31">
        <w:rPr>
          <w:rFonts w:ascii="Times New Roman" w:hAnsi="Times New Roman"/>
          <w:sz w:val="24"/>
          <w:szCs w:val="24"/>
        </w:rPr>
        <w:t xml:space="preserve">a reduction in services </w:t>
      </w:r>
      <w:r w:rsidR="00CD4A61">
        <w:rPr>
          <w:rFonts w:ascii="Times New Roman" w:hAnsi="Times New Roman"/>
          <w:sz w:val="24"/>
          <w:szCs w:val="24"/>
        </w:rPr>
        <w:t xml:space="preserve">sufficient to present a serious risk of their institutionalization </w:t>
      </w:r>
      <w:r w:rsidR="004B25F8" w:rsidRPr="00391C31">
        <w:rPr>
          <w:rFonts w:ascii="Times New Roman" w:hAnsi="Times New Roman"/>
          <w:sz w:val="24"/>
          <w:szCs w:val="24"/>
        </w:rPr>
        <w:t xml:space="preserve">with a Hobson’s choice:  to be able to vindicate their rights under </w:t>
      </w:r>
      <w:r w:rsidR="004B25F8" w:rsidRPr="00391C31">
        <w:rPr>
          <w:rFonts w:ascii="Times New Roman" w:hAnsi="Times New Roman"/>
          <w:i/>
          <w:sz w:val="24"/>
          <w:szCs w:val="24"/>
        </w:rPr>
        <w:t xml:space="preserve">Olmstead </w:t>
      </w:r>
      <w:r w:rsidR="004B25F8" w:rsidRPr="00391C31">
        <w:rPr>
          <w:rFonts w:ascii="Times New Roman" w:hAnsi="Times New Roman"/>
          <w:sz w:val="24"/>
          <w:szCs w:val="24"/>
        </w:rPr>
        <w:t xml:space="preserve">and obtain services </w:t>
      </w:r>
      <w:r w:rsidR="00085076" w:rsidRPr="00391C31">
        <w:rPr>
          <w:rFonts w:ascii="Times New Roman" w:hAnsi="Times New Roman"/>
          <w:sz w:val="24"/>
          <w:szCs w:val="24"/>
        </w:rPr>
        <w:t xml:space="preserve">in the most integrated setting appropriate to their </w:t>
      </w:r>
      <w:r w:rsidR="004B25F8" w:rsidRPr="00391C31">
        <w:rPr>
          <w:rFonts w:ascii="Times New Roman" w:hAnsi="Times New Roman"/>
          <w:sz w:val="24"/>
          <w:szCs w:val="24"/>
        </w:rPr>
        <w:t>need</w:t>
      </w:r>
      <w:r w:rsidR="00085076" w:rsidRPr="00391C31">
        <w:rPr>
          <w:rFonts w:ascii="Times New Roman" w:hAnsi="Times New Roman"/>
          <w:sz w:val="24"/>
          <w:szCs w:val="24"/>
        </w:rPr>
        <w:t xml:space="preserve">s, </w:t>
      </w:r>
      <w:r w:rsidR="004B25F8" w:rsidRPr="00391C31">
        <w:rPr>
          <w:rFonts w:ascii="Times New Roman" w:hAnsi="Times New Roman"/>
          <w:sz w:val="24"/>
          <w:szCs w:val="24"/>
        </w:rPr>
        <w:t>they</w:t>
      </w:r>
      <w:r w:rsidR="00085076" w:rsidRPr="00391C31">
        <w:rPr>
          <w:rFonts w:ascii="Times New Roman" w:hAnsi="Times New Roman"/>
          <w:sz w:val="24"/>
          <w:szCs w:val="24"/>
        </w:rPr>
        <w:t xml:space="preserve"> must</w:t>
      </w:r>
      <w:r w:rsidR="004B25F8" w:rsidRPr="00391C31">
        <w:rPr>
          <w:rFonts w:ascii="Times New Roman" w:hAnsi="Times New Roman"/>
          <w:sz w:val="24"/>
          <w:szCs w:val="24"/>
        </w:rPr>
        <w:t xml:space="preserve"> either first be institutionalized</w:t>
      </w:r>
      <w:r w:rsidR="00085076" w:rsidRPr="00391C31">
        <w:rPr>
          <w:rFonts w:ascii="Times New Roman" w:hAnsi="Times New Roman"/>
          <w:sz w:val="24"/>
          <w:szCs w:val="24"/>
        </w:rPr>
        <w:t xml:space="preserve"> </w:t>
      </w:r>
      <w:r w:rsidR="004B25F8" w:rsidRPr="00391C31">
        <w:rPr>
          <w:rFonts w:ascii="Times New Roman" w:hAnsi="Times New Roman"/>
          <w:sz w:val="24"/>
          <w:szCs w:val="24"/>
        </w:rPr>
        <w:t xml:space="preserve">or </w:t>
      </w:r>
      <w:r w:rsidR="00085076" w:rsidRPr="00391C31">
        <w:rPr>
          <w:rFonts w:ascii="Times New Roman" w:hAnsi="Times New Roman"/>
          <w:sz w:val="24"/>
          <w:szCs w:val="24"/>
        </w:rPr>
        <w:t xml:space="preserve">continue to </w:t>
      </w:r>
      <w:r w:rsidR="004B25F8" w:rsidRPr="00391C31">
        <w:rPr>
          <w:rFonts w:ascii="Times New Roman" w:hAnsi="Times New Roman"/>
          <w:sz w:val="24"/>
          <w:szCs w:val="24"/>
        </w:rPr>
        <w:t xml:space="preserve">receive </w:t>
      </w:r>
      <w:r w:rsidR="00085076" w:rsidRPr="00391C31">
        <w:rPr>
          <w:rFonts w:ascii="Times New Roman" w:hAnsi="Times New Roman"/>
          <w:sz w:val="24"/>
          <w:szCs w:val="24"/>
        </w:rPr>
        <w:t xml:space="preserve">reduced services </w:t>
      </w:r>
      <w:r w:rsidR="004B25F8" w:rsidRPr="00391C31">
        <w:rPr>
          <w:rFonts w:ascii="Times New Roman" w:hAnsi="Times New Roman"/>
          <w:sz w:val="24"/>
          <w:szCs w:val="24"/>
        </w:rPr>
        <w:t>and wait for a sufficient decline in health so that institutionalization is necessary (</w:t>
      </w:r>
      <w:r w:rsidR="004B25F8" w:rsidRPr="00391C31">
        <w:rPr>
          <w:rFonts w:ascii="Times New Roman" w:hAnsi="Times New Roman"/>
          <w:i/>
          <w:sz w:val="24"/>
          <w:szCs w:val="24"/>
        </w:rPr>
        <w:t>i.e.</w:t>
      </w:r>
      <w:r w:rsidR="004B25F8" w:rsidRPr="00391C31">
        <w:rPr>
          <w:rFonts w:ascii="Times New Roman" w:hAnsi="Times New Roman"/>
          <w:sz w:val="24"/>
          <w:szCs w:val="24"/>
        </w:rPr>
        <w:t>, so that they finally have “no choice”).</w:t>
      </w:r>
      <w:r w:rsidR="00D223CF" w:rsidRPr="00391C31">
        <w:rPr>
          <w:rFonts w:ascii="Times New Roman" w:hAnsi="Times New Roman"/>
          <w:sz w:val="24"/>
          <w:szCs w:val="24"/>
        </w:rPr>
        <w:t xml:space="preserve">  </w:t>
      </w:r>
      <w:r w:rsidR="004B25F8" w:rsidRPr="00391C31">
        <w:rPr>
          <w:rFonts w:ascii="Times New Roman" w:hAnsi="Times New Roman"/>
          <w:sz w:val="24"/>
          <w:szCs w:val="24"/>
        </w:rPr>
        <w:t xml:space="preserve"> As the Tenth Circuit </w:t>
      </w:r>
      <w:r w:rsidR="000F0493" w:rsidRPr="00391C31">
        <w:rPr>
          <w:rFonts w:ascii="Times New Roman" w:hAnsi="Times New Roman"/>
          <w:sz w:val="24"/>
          <w:szCs w:val="24"/>
        </w:rPr>
        <w:t>correctly</w:t>
      </w:r>
      <w:r w:rsidR="004B25F8" w:rsidRPr="00391C31">
        <w:rPr>
          <w:rFonts w:ascii="Times New Roman" w:hAnsi="Times New Roman"/>
          <w:sz w:val="24"/>
          <w:szCs w:val="24"/>
        </w:rPr>
        <w:t xml:space="preserve"> recognized, </w:t>
      </w:r>
      <w:r w:rsidR="00BC1F60" w:rsidRPr="00391C31">
        <w:rPr>
          <w:rFonts w:ascii="Times New Roman" w:hAnsi="Times New Roman"/>
          <w:sz w:val="24"/>
          <w:szCs w:val="24"/>
        </w:rPr>
        <w:t xml:space="preserve">the integration mandate </w:t>
      </w:r>
      <w:r w:rsidR="004B25F8" w:rsidRPr="00391C31">
        <w:rPr>
          <w:rFonts w:ascii="Times New Roman" w:hAnsi="Times New Roman"/>
          <w:sz w:val="24"/>
          <w:szCs w:val="24"/>
        </w:rPr>
        <w:t xml:space="preserve">“would be meaningless if plaintiffs were required to segregate themselves by entering an institution before they could challenge an allegedly discriminatory law or policy that threatens to force them into segregated isolation.” </w:t>
      </w:r>
      <w:r w:rsidR="004B25F8" w:rsidRPr="00391C31">
        <w:rPr>
          <w:rFonts w:ascii="Times New Roman" w:hAnsi="Times New Roman"/>
          <w:i/>
          <w:sz w:val="24"/>
          <w:szCs w:val="24"/>
        </w:rPr>
        <w:t>Fisher</w:t>
      </w:r>
      <w:r w:rsidR="004B25F8" w:rsidRPr="00391C31">
        <w:rPr>
          <w:rFonts w:ascii="Times New Roman" w:hAnsi="Times New Roman"/>
          <w:sz w:val="24"/>
          <w:szCs w:val="24"/>
        </w:rPr>
        <w:t>, 335 F.3d at 1181</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"Fisher v. Oklahoma Health Care Auth, 335 F.3d 1175 (10th Cir. 2003)" </w:instrText>
      </w:r>
      <w:r w:rsidRPr="00391C31">
        <w:rPr>
          <w:rFonts w:ascii="Times New Roman" w:hAnsi="Times New Roman"/>
          <w:sz w:val="24"/>
          <w:szCs w:val="24"/>
        </w:rPr>
        <w:fldChar w:fldCharType="end"/>
      </w:r>
      <w:r w:rsidR="004B25F8" w:rsidRPr="00391C31">
        <w:rPr>
          <w:rFonts w:ascii="Times New Roman" w:hAnsi="Times New Roman"/>
          <w:sz w:val="24"/>
          <w:szCs w:val="24"/>
        </w:rPr>
        <w:t>.</w:t>
      </w:r>
      <w:r w:rsidR="000922C1" w:rsidRPr="00391C31">
        <w:rPr>
          <w:rFonts w:ascii="Times New Roman" w:hAnsi="Times New Roman"/>
          <w:sz w:val="24"/>
          <w:szCs w:val="24"/>
        </w:rPr>
        <w:t xml:space="preserve">  Thus, contrary to Defendants’ assertions, protection under the ADA is not limited to persons who are currently institutionalized, face “imminent institutionalization, or have “no choice” but to enter into an institution to obtain needed services.</w:t>
      </w:r>
      <w:r w:rsidR="004F07A3" w:rsidRPr="00391C31">
        <w:rPr>
          <w:rStyle w:val="FootnoteReference"/>
          <w:rFonts w:ascii="Times New Roman" w:hAnsi="Times New Roman"/>
          <w:sz w:val="24"/>
          <w:szCs w:val="24"/>
        </w:rPr>
        <w:footnoteReference w:id="11"/>
      </w:r>
      <w:r w:rsidR="000922C1" w:rsidRPr="00391C31">
        <w:rPr>
          <w:rFonts w:ascii="Times New Roman" w:hAnsi="Times New Roman"/>
          <w:sz w:val="24"/>
          <w:szCs w:val="24"/>
        </w:rPr>
        <w:t xml:space="preserve">  </w:t>
      </w:r>
    </w:p>
    <w:p w:rsidR="00D223CF" w:rsidRPr="00391C31" w:rsidRDefault="00726D1D" w:rsidP="00391C31">
      <w:pPr>
        <w:spacing w:after="0" w:line="480" w:lineRule="exact"/>
        <w:ind w:firstLine="720"/>
        <w:rPr>
          <w:rFonts w:ascii="Times New Roman" w:hAnsi="Times New Roman"/>
          <w:sz w:val="24"/>
          <w:szCs w:val="24"/>
        </w:rPr>
      </w:pPr>
      <w:r>
        <w:rPr>
          <w:rFonts w:ascii="Times New Roman" w:hAnsi="Times New Roman"/>
          <w:noProof/>
          <w:sz w:val="24"/>
          <w:szCs w:val="24"/>
        </w:rPr>
        <w:pict>
          <v:shape id="_x0000_s1045" type="#_x0000_t202" style="position:absolute;left:0;text-align:left;margin-left:-44.25pt;margin-top:-1.5pt;width:36pt;height:10in;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b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612AB2" w:rsidRPr="00391C31">
        <w:rPr>
          <w:rFonts w:ascii="Times New Roman" w:hAnsi="Times New Roman"/>
          <w:sz w:val="24"/>
          <w:szCs w:val="24"/>
        </w:rPr>
        <w:t xml:space="preserve">Rather, the correct standard, as recognized by </w:t>
      </w:r>
      <w:r w:rsidR="000006E2" w:rsidRPr="00391C31">
        <w:rPr>
          <w:rFonts w:ascii="Times New Roman" w:hAnsi="Times New Roman"/>
          <w:sz w:val="24"/>
          <w:szCs w:val="24"/>
        </w:rPr>
        <w:t>the vast majority of c</w:t>
      </w:r>
      <w:r w:rsidR="00612AB2" w:rsidRPr="00391C31">
        <w:rPr>
          <w:rFonts w:ascii="Times New Roman" w:hAnsi="Times New Roman"/>
          <w:sz w:val="24"/>
          <w:szCs w:val="24"/>
        </w:rPr>
        <w:t>ourts, is that a s</w:t>
      </w:r>
      <w:r w:rsidR="003549DC" w:rsidRPr="00391C31">
        <w:rPr>
          <w:rFonts w:ascii="Times New Roman" w:hAnsi="Times New Roman"/>
          <w:sz w:val="24"/>
          <w:szCs w:val="24"/>
        </w:rPr>
        <w:t>tate may be found liable under t</w:t>
      </w:r>
      <w:r w:rsidR="00612AB2" w:rsidRPr="00391C31">
        <w:rPr>
          <w:rFonts w:ascii="Times New Roman" w:hAnsi="Times New Roman"/>
          <w:sz w:val="24"/>
          <w:szCs w:val="24"/>
        </w:rPr>
        <w:t>itle II if it adopts a policy that places individuals with disabilities who receive services from the state at serious risk of being institutionalized.</w:t>
      </w:r>
      <w:r w:rsidR="00DC1A92" w:rsidRPr="00391C31">
        <w:rPr>
          <w:rStyle w:val="FootnoteReference"/>
          <w:rFonts w:ascii="Times New Roman" w:hAnsi="Times New Roman"/>
          <w:sz w:val="24"/>
          <w:szCs w:val="24"/>
        </w:rPr>
        <w:footnoteReference w:id="12"/>
      </w:r>
      <w:r w:rsidR="00DC1A92" w:rsidRPr="00391C31">
        <w:rPr>
          <w:rFonts w:ascii="Times New Roman" w:hAnsi="Times New Roman"/>
          <w:sz w:val="24"/>
          <w:szCs w:val="24"/>
        </w:rPr>
        <w:t xml:space="preserve"> </w:t>
      </w:r>
      <w:r w:rsidR="00612AB2" w:rsidRPr="00391C31">
        <w:rPr>
          <w:rFonts w:ascii="Times New Roman" w:hAnsi="Times New Roman"/>
          <w:sz w:val="24"/>
          <w:szCs w:val="24"/>
        </w:rPr>
        <w:t xml:space="preserve"> This conclusion follows from the principle that it is the elimination of services that have enabled beneficiaries to remain in the community, </w:t>
      </w:r>
      <w:r w:rsidR="00612AB2" w:rsidRPr="00391C31">
        <w:rPr>
          <w:rFonts w:ascii="Times New Roman" w:hAnsi="Times New Roman"/>
          <w:i/>
          <w:sz w:val="24"/>
          <w:szCs w:val="24"/>
        </w:rPr>
        <w:t>i.e.</w:t>
      </w:r>
      <w:r w:rsidR="00612AB2" w:rsidRPr="00391C31">
        <w:rPr>
          <w:rFonts w:ascii="Times New Roman" w:hAnsi="Times New Roman"/>
          <w:sz w:val="24"/>
          <w:szCs w:val="24"/>
        </w:rPr>
        <w:t>, the failure to provide services in the most integrated setting appropriate to the needs of qualified individuals with disabilities, that violates the ADA</w:t>
      </w:r>
      <w:r w:rsidR="003549DC" w:rsidRPr="00391C31">
        <w:rPr>
          <w:rFonts w:ascii="Times New Roman" w:hAnsi="Times New Roman"/>
          <w:sz w:val="24"/>
          <w:szCs w:val="24"/>
        </w:rPr>
        <w:t>.  This is so</w:t>
      </w:r>
      <w:r w:rsidR="00612AB2" w:rsidRPr="00391C31">
        <w:rPr>
          <w:rFonts w:ascii="Times New Roman" w:hAnsi="Times New Roman"/>
          <w:sz w:val="24"/>
          <w:szCs w:val="24"/>
        </w:rPr>
        <w:t xml:space="preserve"> regardless of whether the failure to </w:t>
      </w:r>
      <w:r w:rsidR="003549DC" w:rsidRPr="00391C31">
        <w:rPr>
          <w:rFonts w:ascii="Times New Roman" w:hAnsi="Times New Roman"/>
          <w:sz w:val="24"/>
          <w:szCs w:val="24"/>
        </w:rPr>
        <w:t>provide the services</w:t>
      </w:r>
      <w:r w:rsidR="00612AB2" w:rsidRPr="00391C31">
        <w:rPr>
          <w:rFonts w:ascii="Times New Roman" w:hAnsi="Times New Roman"/>
          <w:sz w:val="24"/>
          <w:szCs w:val="24"/>
        </w:rPr>
        <w:t xml:space="preserve"> causes an individual to be immediately hospitalized, or whether it causes an individual to decline in health over time and eventually enter an institution to seek necessary care.  </w:t>
      </w:r>
      <w:r w:rsidR="00BC1F60" w:rsidRPr="00391C31">
        <w:rPr>
          <w:rFonts w:ascii="Times New Roman" w:hAnsi="Times New Roman"/>
          <w:sz w:val="24"/>
          <w:szCs w:val="24"/>
        </w:rPr>
        <w:t>This</w:t>
      </w:r>
      <w:r w:rsidR="00F42088" w:rsidRPr="00391C31">
        <w:rPr>
          <w:rFonts w:ascii="Times New Roman" w:hAnsi="Times New Roman"/>
          <w:sz w:val="24"/>
          <w:szCs w:val="24"/>
        </w:rPr>
        <w:t xml:space="preserve"> conclusion is consistent with t</w:t>
      </w:r>
      <w:r w:rsidR="00BC1F60" w:rsidRPr="00391C31">
        <w:rPr>
          <w:rFonts w:ascii="Times New Roman" w:hAnsi="Times New Roman"/>
          <w:sz w:val="24"/>
          <w:szCs w:val="24"/>
        </w:rPr>
        <w:t>itle II’s emphasis on ensuring that services are provided to persons with disabilities in the most integrated setting.</w:t>
      </w:r>
    </w:p>
    <w:p w:rsidR="00733583" w:rsidRPr="00391C31" w:rsidRDefault="00726D1D" w:rsidP="00BD0704">
      <w:pPr>
        <w:pStyle w:val="SubHeading3"/>
        <w:outlineLvl w:val="3"/>
      </w:pPr>
      <w:r>
        <w:rPr>
          <w:noProof/>
        </w:rPr>
        <w:pict>
          <v:shape id="_x0000_s1063" type="#_x0000_t202" style="position:absolute;left:0;text-align:left;margin-left:-43.5pt;margin-top:1.9pt;width:36pt;height:10in;z-index:2516940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krdQIAAPw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" o:allowincell="f" stroked="f">
            <v:textbox inset="0,0,0,0">
              <w:txbxContent>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43FE1">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43FE1">
                  <w:pPr>
                    <w:spacing w:after="0" w:line="480" w:lineRule="exact"/>
                    <w:jc w:val="right"/>
                  </w:pPr>
                </w:p>
              </w:txbxContent>
            </v:textbox>
            <w10:wrap anchorx="margin" anchory="margin"/>
          </v:shape>
        </w:pict>
      </w:r>
      <w:bookmarkStart w:id="11" w:name="_Toc298266488"/>
      <w:r w:rsidR="00733583" w:rsidRPr="00391C31">
        <w:t xml:space="preserve">Defendants’ elimination of ADHC </w:t>
      </w:r>
      <w:r w:rsidR="009E7AB8" w:rsidRPr="00391C31">
        <w:t>services</w:t>
      </w:r>
      <w:r w:rsidR="00733583" w:rsidRPr="00391C31">
        <w:t xml:space="preserve"> will place </w:t>
      </w:r>
      <w:r w:rsidR="00D377ED" w:rsidRPr="00391C31">
        <w:t>Plaintiffs</w:t>
      </w:r>
      <w:r w:rsidR="00AF5775" w:rsidRPr="00391C31">
        <w:t xml:space="preserve"> and others similarly situated</w:t>
      </w:r>
      <w:r w:rsidR="00733583" w:rsidRPr="00391C31">
        <w:t xml:space="preserve"> at serious risk of institutionalization</w:t>
      </w:r>
      <w:bookmarkEnd w:id="11"/>
      <w:r w:rsidR="00733583" w:rsidRPr="00391C31">
        <w:t xml:space="preserve"> </w:t>
      </w:r>
    </w:p>
    <w:p w:rsidR="00BE4C0A" w:rsidRPr="00391C31" w:rsidRDefault="00733583" w:rsidP="00391C31">
      <w:pPr>
        <w:spacing w:after="0" w:line="480" w:lineRule="exact"/>
        <w:ind w:firstLine="720"/>
        <w:rPr>
          <w:rFonts w:ascii="Times New Roman" w:hAnsi="Times New Roman"/>
          <w:sz w:val="24"/>
          <w:szCs w:val="24"/>
        </w:rPr>
      </w:pPr>
      <w:r w:rsidRPr="00391C31">
        <w:rPr>
          <w:rFonts w:ascii="Times New Roman" w:hAnsi="Times New Roman"/>
          <w:sz w:val="24"/>
          <w:szCs w:val="24"/>
        </w:rPr>
        <w:t xml:space="preserve">Defendants’ </w:t>
      </w:r>
      <w:r w:rsidR="00D94650" w:rsidRPr="00391C31">
        <w:rPr>
          <w:rFonts w:ascii="Times New Roman" w:hAnsi="Times New Roman"/>
          <w:sz w:val="24"/>
          <w:szCs w:val="24"/>
        </w:rPr>
        <w:t xml:space="preserve">plan to eliminate </w:t>
      </w:r>
      <w:r w:rsidRPr="00391C31">
        <w:rPr>
          <w:rFonts w:ascii="Times New Roman" w:hAnsi="Times New Roman"/>
          <w:sz w:val="24"/>
          <w:szCs w:val="24"/>
        </w:rPr>
        <w:t>ADHC</w:t>
      </w:r>
      <w:r w:rsidR="00D223CF" w:rsidRPr="00391C31">
        <w:rPr>
          <w:rFonts w:ascii="Times New Roman" w:hAnsi="Times New Roman"/>
          <w:sz w:val="24"/>
          <w:szCs w:val="24"/>
        </w:rPr>
        <w:t>, without ensuring the availability of adequate replacement services,</w:t>
      </w:r>
      <w:r w:rsidRPr="00391C31">
        <w:rPr>
          <w:rFonts w:ascii="Times New Roman" w:hAnsi="Times New Roman"/>
          <w:sz w:val="24"/>
          <w:szCs w:val="24"/>
        </w:rPr>
        <w:t xml:space="preserve"> will place</w:t>
      </w:r>
      <w:r w:rsidRPr="00391C31">
        <w:rPr>
          <w:rFonts w:ascii="Times New Roman" w:hAnsi="Times New Roman"/>
          <w:i/>
          <w:sz w:val="24"/>
          <w:szCs w:val="24"/>
        </w:rPr>
        <w:t xml:space="preserve"> </w:t>
      </w:r>
      <w:r w:rsidR="00E32316" w:rsidRPr="00391C31">
        <w:rPr>
          <w:rFonts w:ascii="Times New Roman" w:hAnsi="Times New Roman"/>
          <w:sz w:val="24"/>
          <w:szCs w:val="24"/>
        </w:rPr>
        <w:t xml:space="preserve">Plaintiffs </w:t>
      </w:r>
      <w:r w:rsidRPr="00391C31">
        <w:rPr>
          <w:rFonts w:ascii="Times New Roman" w:hAnsi="Times New Roman"/>
          <w:sz w:val="24"/>
          <w:szCs w:val="24"/>
        </w:rPr>
        <w:t>at serious risk of institutionalization in violation of the ADA</w:t>
      </w:r>
      <w:r w:rsidR="006D6747" w:rsidRPr="00391C31">
        <w:rPr>
          <w:rFonts w:ascii="Times New Roman" w:hAnsi="Times New Roman"/>
          <w:sz w:val="24"/>
          <w:szCs w:val="24"/>
        </w:rPr>
        <w:t>.  Twice before, this C</w:t>
      </w:r>
      <w:r w:rsidRPr="00391C31">
        <w:rPr>
          <w:rFonts w:ascii="Times New Roman" w:hAnsi="Times New Roman"/>
          <w:sz w:val="24"/>
          <w:szCs w:val="24"/>
        </w:rPr>
        <w:t xml:space="preserve">ourt has found that </w:t>
      </w:r>
      <w:r w:rsidR="00F91745" w:rsidRPr="00391C31">
        <w:rPr>
          <w:rFonts w:ascii="Times New Roman" w:hAnsi="Times New Roman"/>
          <w:sz w:val="24"/>
          <w:szCs w:val="24"/>
        </w:rPr>
        <w:t xml:space="preserve">the </w:t>
      </w:r>
      <w:r w:rsidR="000006E2" w:rsidRPr="00391C31">
        <w:rPr>
          <w:rFonts w:ascii="Times New Roman" w:hAnsi="Times New Roman"/>
          <w:sz w:val="24"/>
          <w:szCs w:val="24"/>
        </w:rPr>
        <w:t xml:space="preserve">mere </w:t>
      </w:r>
      <w:r w:rsidRPr="00391C31">
        <w:rPr>
          <w:rFonts w:ascii="Times New Roman" w:hAnsi="Times New Roman"/>
          <w:i/>
          <w:sz w:val="24"/>
          <w:szCs w:val="24"/>
        </w:rPr>
        <w:t>reduction</w:t>
      </w:r>
      <w:r w:rsidR="00F91745" w:rsidRPr="00391C31">
        <w:rPr>
          <w:rFonts w:ascii="Times New Roman" w:hAnsi="Times New Roman"/>
          <w:sz w:val="24"/>
          <w:szCs w:val="24"/>
        </w:rPr>
        <w:t xml:space="preserve"> of available </w:t>
      </w:r>
      <w:r w:rsidRPr="00391C31">
        <w:rPr>
          <w:rFonts w:ascii="Times New Roman" w:hAnsi="Times New Roman"/>
          <w:sz w:val="24"/>
          <w:szCs w:val="24"/>
        </w:rPr>
        <w:t xml:space="preserve">ADHC services </w:t>
      </w:r>
      <w:r w:rsidR="000006E2" w:rsidRPr="00391C31">
        <w:rPr>
          <w:rFonts w:ascii="Times New Roman" w:hAnsi="Times New Roman"/>
          <w:sz w:val="24"/>
          <w:szCs w:val="24"/>
        </w:rPr>
        <w:t xml:space="preserve">would </w:t>
      </w:r>
      <w:r w:rsidRPr="00391C31">
        <w:rPr>
          <w:rFonts w:ascii="Times New Roman" w:hAnsi="Times New Roman"/>
          <w:sz w:val="24"/>
          <w:szCs w:val="24"/>
        </w:rPr>
        <w:t xml:space="preserve">place recipients </w:t>
      </w:r>
      <w:r w:rsidR="00F91745" w:rsidRPr="00391C31">
        <w:rPr>
          <w:rFonts w:ascii="Times New Roman" w:hAnsi="Times New Roman"/>
          <w:sz w:val="24"/>
          <w:szCs w:val="24"/>
        </w:rPr>
        <w:t xml:space="preserve">of ADHC services </w:t>
      </w:r>
      <w:r w:rsidRPr="00391C31">
        <w:rPr>
          <w:rFonts w:ascii="Times New Roman" w:hAnsi="Times New Roman"/>
          <w:sz w:val="24"/>
          <w:szCs w:val="24"/>
        </w:rPr>
        <w:t>at risk of institutionalization</w:t>
      </w:r>
      <w:r w:rsidR="00D00BD2" w:rsidRPr="00391C31">
        <w:rPr>
          <w:rFonts w:ascii="Times New Roman" w:hAnsi="Times New Roman"/>
          <w:sz w:val="24"/>
          <w:szCs w:val="24"/>
        </w:rPr>
        <w:t xml:space="preserve">.  </w:t>
      </w:r>
      <w:r w:rsidR="00C12251" w:rsidRPr="00391C31">
        <w:rPr>
          <w:rFonts w:ascii="Times New Roman" w:hAnsi="Times New Roman"/>
          <w:i/>
          <w:sz w:val="24"/>
          <w:szCs w:val="24"/>
        </w:rPr>
        <w:t xml:space="preserve">See </w:t>
      </w:r>
      <w:r w:rsidR="00D00BD2" w:rsidRPr="00391C31">
        <w:rPr>
          <w:rFonts w:ascii="Times New Roman" w:hAnsi="Times New Roman"/>
          <w:i/>
          <w:sz w:val="24"/>
          <w:szCs w:val="24"/>
        </w:rPr>
        <w:t xml:space="preserve">Brantley, </w:t>
      </w:r>
      <w:r w:rsidR="00D00BD2" w:rsidRPr="00391C31">
        <w:rPr>
          <w:rFonts w:ascii="Times New Roman" w:hAnsi="Times New Roman"/>
          <w:sz w:val="24"/>
          <w:szCs w:val="24"/>
        </w:rPr>
        <w:t>656 F. Supp. 2d at 1171-72</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00D00BD2" w:rsidRPr="00391C31">
        <w:rPr>
          <w:rFonts w:ascii="Times New Roman" w:hAnsi="Times New Roman"/>
          <w:sz w:val="24"/>
          <w:szCs w:val="24"/>
        </w:rPr>
        <w:t xml:space="preserve">, 1176; </w:t>
      </w:r>
      <w:r w:rsidR="00D00BD2" w:rsidRPr="00391C31">
        <w:rPr>
          <w:rFonts w:ascii="Times New Roman" w:hAnsi="Times New Roman"/>
          <w:i/>
          <w:sz w:val="24"/>
          <w:szCs w:val="24"/>
        </w:rPr>
        <w:t>Cota,</w:t>
      </w:r>
      <w:r w:rsidR="00D00BD2" w:rsidRPr="00391C31">
        <w:rPr>
          <w:rFonts w:ascii="Times New Roman" w:hAnsi="Times New Roman"/>
          <w:sz w:val="24"/>
          <w:szCs w:val="24"/>
        </w:rPr>
        <w:t xml:space="preserve"> 688 F. Supp. 2d at 997</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"Cota v. Maxwell-Jolly, 688 F. Supp. 2d 980 (N.D. Cal. 2010)" </w:instrText>
      </w:r>
      <w:r w:rsidR="00726D1D" w:rsidRPr="00391C31">
        <w:rPr>
          <w:rFonts w:ascii="Times New Roman" w:hAnsi="Times New Roman"/>
          <w:sz w:val="24"/>
          <w:szCs w:val="24"/>
        </w:rPr>
        <w:fldChar w:fldCharType="end"/>
      </w:r>
      <w:r w:rsidR="00D00BD2" w:rsidRPr="00391C31">
        <w:rPr>
          <w:rFonts w:ascii="Times New Roman" w:hAnsi="Times New Roman"/>
          <w:sz w:val="24"/>
          <w:szCs w:val="24"/>
        </w:rPr>
        <w:t>.</w:t>
      </w:r>
      <w:r w:rsidR="00F91745" w:rsidRPr="00391C31">
        <w:rPr>
          <w:rFonts w:ascii="Times New Roman" w:hAnsi="Times New Roman"/>
          <w:sz w:val="24"/>
          <w:szCs w:val="24"/>
        </w:rPr>
        <w:t xml:space="preserve"> </w:t>
      </w:r>
      <w:r w:rsidRPr="00391C31">
        <w:rPr>
          <w:rFonts w:ascii="Times New Roman" w:hAnsi="Times New Roman"/>
          <w:sz w:val="24"/>
          <w:szCs w:val="24"/>
        </w:rPr>
        <w:t xml:space="preserve"> Now </w:t>
      </w:r>
      <w:r w:rsidR="00F91745" w:rsidRPr="00391C31">
        <w:rPr>
          <w:rFonts w:ascii="Times New Roman" w:hAnsi="Times New Roman"/>
          <w:bCs/>
          <w:sz w:val="24"/>
          <w:szCs w:val="24"/>
        </w:rPr>
        <w:t xml:space="preserve">Plaintiffs face the wholesale </w:t>
      </w:r>
      <w:r w:rsidRPr="00391C31">
        <w:rPr>
          <w:rFonts w:ascii="Times New Roman" w:hAnsi="Times New Roman"/>
          <w:bCs/>
          <w:i/>
          <w:sz w:val="24"/>
          <w:szCs w:val="24"/>
        </w:rPr>
        <w:t>elimination</w:t>
      </w:r>
      <w:r w:rsidR="00F91745" w:rsidRPr="00391C31">
        <w:rPr>
          <w:rFonts w:ascii="Times New Roman" w:hAnsi="Times New Roman"/>
          <w:bCs/>
          <w:i/>
          <w:sz w:val="24"/>
          <w:szCs w:val="24"/>
        </w:rPr>
        <w:t xml:space="preserve"> </w:t>
      </w:r>
      <w:r w:rsidR="00F91745" w:rsidRPr="00391C31">
        <w:rPr>
          <w:rFonts w:ascii="Times New Roman" w:hAnsi="Times New Roman"/>
          <w:bCs/>
          <w:sz w:val="24"/>
          <w:szCs w:val="24"/>
        </w:rPr>
        <w:t xml:space="preserve">of ADHC </w:t>
      </w:r>
      <w:r w:rsidRPr="00391C31">
        <w:rPr>
          <w:rFonts w:ascii="Times New Roman" w:hAnsi="Times New Roman"/>
          <w:bCs/>
          <w:sz w:val="24"/>
          <w:szCs w:val="24"/>
        </w:rPr>
        <w:t xml:space="preserve">services.  </w:t>
      </w:r>
      <w:r w:rsidR="00BE4C0A" w:rsidRPr="00391C31">
        <w:rPr>
          <w:rFonts w:ascii="Times New Roman" w:hAnsi="Times New Roman"/>
          <w:sz w:val="24"/>
          <w:szCs w:val="24"/>
        </w:rPr>
        <w:t>The deficiencies in Defendants’ transition planning process “will likely lead to gaps in services and result in harm to vulnerable participants in the form of, for example, poor health outcomes, hospitalization, institutionalization in nursing facilities, and even death.”  (</w:t>
      </w:r>
      <w:r w:rsidR="00043A29" w:rsidRPr="00391C31">
        <w:rPr>
          <w:rFonts w:ascii="Times New Roman" w:hAnsi="Times New Roman"/>
          <w:sz w:val="24"/>
          <w:szCs w:val="24"/>
        </w:rPr>
        <w:t>Decl. of Kathleen Wilber</w:t>
      </w:r>
      <w:r w:rsidR="00476931" w:rsidRPr="00391C31">
        <w:rPr>
          <w:rFonts w:ascii="Times New Roman" w:hAnsi="Times New Roman"/>
          <w:sz w:val="24"/>
          <w:szCs w:val="24"/>
        </w:rPr>
        <w:t>, ECF No. 257</w:t>
      </w:r>
      <w:r w:rsidR="00043A29" w:rsidRPr="00391C31">
        <w:rPr>
          <w:rFonts w:ascii="Times New Roman" w:hAnsi="Times New Roman"/>
          <w:sz w:val="24"/>
          <w:szCs w:val="24"/>
        </w:rPr>
        <w:t xml:space="preserve"> (“</w:t>
      </w:r>
      <w:r w:rsidR="00BE4C0A" w:rsidRPr="00391C31">
        <w:rPr>
          <w:rFonts w:ascii="Times New Roman" w:hAnsi="Times New Roman"/>
          <w:sz w:val="24"/>
          <w:szCs w:val="24"/>
        </w:rPr>
        <w:t>Wilber Decl.</w:t>
      </w:r>
      <w:r w:rsidR="00043A29" w:rsidRPr="00391C31">
        <w:rPr>
          <w:rFonts w:ascii="Times New Roman" w:hAnsi="Times New Roman"/>
          <w:sz w:val="24"/>
          <w:szCs w:val="24"/>
        </w:rPr>
        <w:t>”)</w:t>
      </w:r>
      <w:r w:rsidR="00BE4C0A" w:rsidRPr="00391C31">
        <w:rPr>
          <w:rFonts w:ascii="Times New Roman" w:hAnsi="Times New Roman"/>
          <w:sz w:val="24"/>
          <w:szCs w:val="24"/>
        </w:rPr>
        <w:t xml:space="preserve"> ¶ 7.B.)  A</w:t>
      </w:r>
      <w:r w:rsidR="00BE4C0A" w:rsidRPr="00391C31">
        <w:rPr>
          <w:rFonts w:ascii="Times New Roman" w:hAnsi="Times New Roman"/>
          <w:color w:val="000000"/>
          <w:sz w:val="24"/>
          <w:szCs w:val="24"/>
        </w:rPr>
        <w:t xml:space="preserve">s this Court previously found, “even temporary gaps in services would present serious consequences for Plaintiffs and place them at great risk of being institutionalized.”  </w:t>
      </w:r>
      <w:r w:rsidR="00BE4C0A" w:rsidRPr="00391C31">
        <w:rPr>
          <w:rFonts w:ascii="Times New Roman" w:hAnsi="Times New Roman"/>
          <w:i/>
          <w:color w:val="000000"/>
          <w:sz w:val="24"/>
          <w:szCs w:val="24"/>
        </w:rPr>
        <w:t>Brantley</w:t>
      </w:r>
      <w:r w:rsidR="00BE4C0A" w:rsidRPr="00391C31">
        <w:rPr>
          <w:rFonts w:ascii="Times New Roman" w:hAnsi="Times New Roman"/>
          <w:color w:val="000000"/>
          <w:sz w:val="24"/>
          <w:szCs w:val="24"/>
        </w:rPr>
        <w:t>, 656 F. Supp. 2d at 1174</w:t>
      </w:r>
      <w:r w:rsidR="00726D1D" w:rsidRPr="00391C31">
        <w:rPr>
          <w:rFonts w:ascii="Times New Roman" w:hAnsi="Times New Roman"/>
          <w:color w:val="000000"/>
          <w:sz w:val="24"/>
          <w:szCs w:val="24"/>
        </w:rPr>
        <w:fldChar w:fldCharType="begin"/>
      </w:r>
      <w:r w:rsidR="00A60A96"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color w:val="000000"/>
          <w:sz w:val="24"/>
          <w:szCs w:val="24"/>
        </w:rPr>
        <w:fldChar w:fldCharType="end"/>
      </w:r>
      <w:r w:rsidR="00BE4C0A" w:rsidRPr="00391C31">
        <w:rPr>
          <w:rFonts w:ascii="Times New Roman" w:hAnsi="Times New Roman"/>
          <w:color w:val="000000"/>
          <w:sz w:val="24"/>
          <w:szCs w:val="24"/>
        </w:rPr>
        <w:t>.</w:t>
      </w:r>
    </w:p>
    <w:p w:rsidR="008E53E5" w:rsidRDefault="00726D1D" w:rsidP="00391C31">
      <w:pPr>
        <w:autoSpaceDE w:val="0"/>
        <w:autoSpaceDN w:val="0"/>
        <w:adjustRightInd w:val="0"/>
        <w:spacing w:after="0" w:line="480" w:lineRule="exact"/>
        <w:ind w:firstLine="720"/>
        <w:rPr>
          <w:rFonts w:ascii="Times New Roman" w:hAnsi="Times New Roman"/>
          <w:sz w:val="24"/>
          <w:szCs w:val="24"/>
        </w:rPr>
      </w:pPr>
      <w:r>
        <w:rPr>
          <w:rFonts w:ascii="Times New Roman" w:hAnsi="Times New Roman"/>
          <w:noProof/>
          <w:sz w:val="24"/>
          <w:szCs w:val="24"/>
        </w:rPr>
        <w:pict>
          <v:shape id="_x0000_s1047" type="#_x0000_t202" style="position:absolute;left:0;text-align:left;margin-left:-45.75pt;margin-top:-.75pt;width:36pt;height:10in;z-index:2516797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qtdQIAAPw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Pr>
          <w:rFonts w:ascii="Times New Roman" w:hAnsi="Times New Roman"/>
          <w:noProof/>
          <w:sz w:val="24"/>
          <w:szCs w:val="24"/>
        </w:rPr>
        <w:pict>
          <v:shape id="_x0000_s1046" type="#_x0000_t202" style="position:absolute;left:0;text-align:left;margin-left:-45.75pt;margin-top:-6.75pt;width:36pt;height:10in;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3549DC" w:rsidRPr="00391C31">
        <w:rPr>
          <w:rFonts w:ascii="Times New Roman" w:hAnsi="Times New Roman"/>
          <w:sz w:val="24"/>
          <w:szCs w:val="24"/>
        </w:rPr>
        <w:t>Plaintiffs have submitted declarations from six experts,</w:t>
      </w:r>
      <w:r w:rsidR="000F0493" w:rsidRPr="00391C31">
        <w:rPr>
          <w:rFonts w:ascii="Times New Roman" w:hAnsi="Times New Roman"/>
          <w:sz w:val="24"/>
          <w:szCs w:val="24"/>
        </w:rPr>
        <w:t xml:space="preserve"> and</w:t>
      </w:r>
      <w:r w:rsidR="005B0692" w:rsidRPr="00391C31">
        <w:rPr>
          <w:rFonts w:ascii="Times New Roman" w:hAnsi="Times New Roman"/>
          <w:sz w:val="24"/>
          <w:szCs w:val="24"/>
        </w:rPr>
        <w:t xml:space="preserve"> </w:t>
      </w:r>
      <w:r w:rsidR="004F07A3" w:rsidRPr="00391C31">
        <w:rPr>
          <w:rFonts w:ascii="Times New Roman" w:hAnsi="Times New Roman"/>
          <w:sz w:val="24"/>
          <w:szCs w:val="24"/>
        </w:rPr>
        <w:t>numerous</w:t>
      </w:r>
      <w:r w:rsidR="003549DC" w:rsidRPr="00391C31">
        <w:rPr>
          <w:rFonts w:ascii="Times New Roman" w:hAnsi="Times New Roman"/>
          <w:sz w:val="24"/>
          <w:szCs w:val="24"/>
        </w:rPr>
        <w:t xml:space="preserve"> ADHC providers, as well as declarations from the individual participants or </w:t>
      </w:r>
      <w:r w:rsidR="000006E2" w:rsidRPr="00391C31">
        <w:rPr>
          <w:rFonts w:ascii="Times New Roman" w:hAnsi="Times New Roman"/>
          <w:sz w:val="24"/>
          <w:szCs w:val="24"/>
        </w:rPr>
        <w:t xml:space="preserve">their </w:t>
      </w:r>
      <w:r w:rsidR="003549DC" w:rsidRPr="00391C31">
        <w:rPr>
          <w:rFonts w:ascii="Times New Roman" w:hAnsi="Times New Roman"/>
          <w:sz w:val="24"/>
          <w:szCs w:val="24"/>
        </w:rPr>
        <w:t xml:space="preserve">caregivers, each of whom testifies that the loss of ADHC services, without the provision of adequate replacement services to </w:t>
      </w:r>
      <w:r w:rsidR="005B0692" w:rsidRPr="00391C31">
        <w:rPr>
          <w:rFonts w:ascii="Times New Roman" w:hAnsi="Times New Roman"/>
          <w:sz w:val="24"/>
          <w:szCs w:val="24"/>
        </w:rPr>
        <w:t>substitute for</w:t>
      </w:r>
      <w:r w:rsidR="003549DC" w:rsidRPr="00391C31">
        <w:rPr>
          <w:rFonts w:ascii="Times New Roman" w:hAnsi="Times New Roman"/>
          <w:sz w:val="24"/>
          <w:szCs w:val="24"/>
        </w:rPr>
        <w:t xml:space="preserve"> those outlined in their IPCs, will place Plaintiffs and </w:t>
      </w:r>
      <w:r w:rsidR="00E32316" w:rsidRPr="00391C31">
        <w:rPr>
          <w:rFonts w:ascii="Times New Roman" w:hAnsi="Times New Roman"/>
          <w:sz w:val="24"/>
          <w:szCs w:val="24"/>
        </w:rPr>
        <w:t>c</w:t>
      </w:r>
      <w:r w:rsidR="003549DC" w:rsidRPr="00391C31">
        <w:rPr>
          <w:rFonts w:ascii="Times New Roman" w:hAnsi="Times New Roman"/>
          <w:sz w:val="24"/>
          <w:szCs w:val="24"/>
        </w:rPr>
        <w:t xml:space="preserve">lass </w:t>
      </w:r>
      <w:r w:rsidR="00E32316" w:rsidRPr="00391C31">
        <w:rPr>
          <w:rFonts w:ascii="Times New Roman" w:hAnsi="Times New Roman"/>
          <w:sz w:val="24"/>
          <w:szCs w:val="24"/>
        </w:rPr>
        <w:t>m</w:t>
      </w:r>
      <w:r w:rsidR="003549DC" w:rsidRPr="00391C31">
        <w:rPr>
          <w:rFonts w:ascii="Times New Roman" w:hAnsi="Times New Roman"/>
          <w:sz w:val="24"/>
          <w:szCs w:val="24"/>
        </w:rPr>
        <w:t xml:space="preserve">embers at </w:t>
      </w:r>
      <w:r w:rsidR="004F07A3" w:rsidRPr="00391C31">
        <w:rPr>
          <w:rFonts w:ascii="Times New Roman" w:hAnsi="Times New Roman"/>
          <w:sz w:val="24"/>
          <w:szCs w:val="24"/>
        </w:rPr>
        <w:t xml:space="preserve">serious </w:t>
      </w:r>
      <w:r w:rsidR="003549DC" w:rsidRPr="00391C31">
        <w:rPr>
          <w:rFonts w:ascii="Times New Roman" w:hAnsi="Times New Roman"/>
          <w:sz w:val="24"/>
          <w:szCs w:val="24"/>
        </w:rPr>
        <w:t xml:space="preserve">risk of institutionalization.  </w:t>
      </w:r>
      <w:r w:rsidR="006D6747" w:rsidRPr="00391C31">
        <w:rPr>
          <w:rFonts w:ascii="Times New Roman" w:hAnsi="Times New Roman"/>
          <w:sz w:val="24"/>
          <w:szCs w:val="24"/>
        </w:rPr>
        <w:t xml:space="preserve">For example, Named Plaintiff Allie Jo Woodard is an 81 year-old recipient of ADHC services </w:t>
      </w:r>
      <w:r w:rsidR="00F47934" w:rsidRPr="00391C31">
        <w:rPr>
          <w:rFonts w:ascii="Times New Roman" w:hAnsi="Times New Roman"/>
          <w:sz w:val="24"/>
          <w:szCs w:val="24"/>
        </w:rPr>
        <w:t xml:space="preserve">five days per week </w:t>
      </w:r>
      <w:r w:rsidR="006D6747" w:rsidRPr="00391C31">
        <w:rPr>
          <w:rFonts w:ascii="Times New Roman" w:hAnsi="Times New Roman"/>
          <w:sz w:val="24"/>
          <w:szCs w:val="24"/>
        </w:rPr>
        <w:t>who has been diagnosed with bipolar affective disorder, depression, diabetes, glaucoma, hypertension, seizure disorder, and osteoarthritis.  (Decl. of Linda Gaspard-Berry</w:t>
      </w:r>
      <w:r w:rsidR="00F47934" w:rsidRPr="00391C31">
        <w:rPr>
          <w:rFonts w:ascii="Times New Roman" w:hAnsi="Times New Roman"/>
          <w:sz w:val="24"/>
          <w:szCs w:val="24"/>
        </w:rPr>
        <w:t xml:space="preserve">, </w:t>
      </w:r>
      <w:r w:rsidR="00476931" w:rsidRPr="00391C31">
        <w:rPr>
          <w:rFonts w:ascii="Times New Roman" w:hAnsi="Times New Roman"/>
          <w:sz w:val="24"/>
          <w:szCs w:val="24"/>
        </w:rPr>
        <w:t>ECF No.</w:t>
      </w:r>
      <w:r w:rsidR="00F47934" w:rsidRPr="00391C31">
        <w:rPr>
          <w:rFonts w:ascii="Times New Roman" w:hAnsi="Times New Roman"/>
          <w:sz w:val="24"/>
          <w:szCs w:val="24"/>
        </w:rPr>
        <w:t xml:space="preserve"> 239,</w:t>
      </w:r>
      <w:r w:rsidR="006D6747" w:rsidRPr="00391C31">
        <w:rPr>
          <w:rFonts w:ascii="Times New Roman" w:hAnsi="Times New Roman"/>
          <w:sz w:val="24"/>
          <w:szCs w:val="24"/>
        </w:rPr>
        <w:t xml:space="preserve"> (“Gaspard-Berry Decl.”) ¶¶</w:t>
      </w:r>
      <w:r w:rsidR="00F47934" w:rsidRPr="00391C31">
        <w:rPr>
          <w:rFonts w:ascii="Times New Roman" w:hAnsi="Times New Roman"/>
          <w:sz w:val="24"/>
          <w:szCs w:val="24"/>
        </w:rPr>
        <w:t xml:space="preserve"> 3-4.)</w:t>
      </w:r>
      <w:r w:rsidR="006D6747" w:rsidRPr="00391C31">
        <w:rPr>
          <w:rFonts w:ascii="Times New Roman" w:hAnsi="Times New Roman"/>
          <w:sz w:val="24"/>
          <w:szCs w:val="24"/>
        </w:rPr>
        <w:t xml:space="preserve">   </w:t>
      </w:r>
      <w:r w:rsidR="00F47934" w:rsidRPr="00391C31">
        <w:rPr>
          <w:rFonts w:ascii="Times New Roman" w:hAnsi="Times New Roman"/>
          <w:sz w:val="24"/>
          <w:szCs w:val="24"/>
        </w:rPr>
        <w:t xml:space="preserve">Both her daughter (who is her primary caregiver) and </w:t>
      </w:r>
      <w:r w:rsidR="002800D6" w:rsidRPr="00391C31">
        <w:rPr>
          <w:rFonts w:ascii="Times New Roman" w:hAnsi="Times New Roman"/>
          <w:sz w:val="24"/>
          <w:szCs w:val="24"/>
        </w:rPr>
        <w:t xml:space="preserve">her </w:t>
      </w:r>
      <w:r w:rsidR="006D6747" w:rsidRPr="00391C31">
        <w:rPr>
          <w:rFonts w:ascii="Times New Roman" w:hAnsi="Times New Roman"/>
          <w:sz w:val="24"/>
          <w:szCs w:val="24"/>
        </w:rPr>
        <w:t xml:space="preserve">ADHC </w:t>
      </w:r>
      <w:r w:rsidR="002800D6" w:rsidRPr="00391C31">
        <w:rPr>
          <w:rFonts w:ascii="Times New Roman" w:hAnsi="Times New Roman"/>
          <w:sz w:val="24"/>
          <w:szCs w:val="24"/>
        </w:rPr>
        <w:t>provider</w:t>
      </w:r>
      <w:r w:rsidR="006D6747" w:rsidRPr="00391C31">
        <w:rPr>
          <w:rFonts w:ascii="Times New Roman" w:hAnsi="Times New Roman"/>
          <w:sz w:val="24"/>
          <w:szCs w:val="24"/>
        </w:rPr>
        <w:t xml:space="preserve"> </w:t>
      </w:r>
      <w:r w:rsidR="002800D6" w:rsidRPr="00391C31">
        <w:rPr>
          <w:rFonts w:ascii="Times New Roman" w:hAnsi="Times New Roman"/>
          <w:sz w:val="24"/>
          <w:szCs w:val="24"/>
        </w:rPr>
        <w:t xml:space="preserve">of </w:t>
      </w:r>
      <w:r w:rsidR="00874510" w:rsidRPr="00391C31">
        <w:rPr>
          <w:rFonts w:ascii="Times New Roman" w:hAnsi="Times New Roman"/>
          <w:sz w:val="24"/>
          <w:szCs w:val="24"/>
        </w:rPr>
        <w:t xml:space="preserve">eleven </w:t>
      </w:r>
      <w:r w:rsidR="00F47934" w:rsidRPr="00391C31">
        <w:rPr>
          <w:rFonts w:ascii="Times New Roman" w:hAnsi="Times New Roman"/>
          <w:sz w:val="24"/>
          <w:szCs w:val="24"/>
        </w:rPr>
        <w:t>years attest that without ADHC services Ms. Woodard will be unable to receive the daily</w:t>
      </w:r>
      <w:r w:rsidR="005B0692" w:rsidRPr="00391C31">
        <w:rPr>
          <w:rFonts w:ascii="Times New Roman" w:hAnsi="Times New Roman"/>
          <w:sz w:val="24"/>
          <w:szCs w:val="24"/>
        </w:rPr>
        <w:t xml:space="preserve"> skilled</w:t>
      </w:r>
      <w:r w:rsidR="00F47934" w:rsidRPr="00391C31">
        <w:rPr>
          <w:rFonts w:ascii="Times New Roman" w:hAnsi="Times New Roman"/>
          <w:sz w:val="24"/>
          <w:szCs w:val="24"/>
        </w:rPr>
        <w:t xml:space="preserve"> nursing monitoring, and regular medical and rehabilitative care that help her avoid acute hospitalization and long-term institutionalization.  (Id. ¶¶ 17-18;</w:t>
      </w:r>
      <w:r w:rsidR="00DB3569" w:rsidRPr="00391C31">
        <w:rPr>
          <w:rFonts w:ascii="Times New Roman" w:hAnsi="Times New Roman"/>
          <w:sz w:val="24"/>
          <w:szCs w:val="24"/>
        </w:rPr>
        <w:t xml:space="preserve"> </w:t>
      </w:r>
      <w:r w:rsidR="00F47934" w:rsidRPr="00391C31">
        <w:rPr>
          <w:rFonts w:ascii="Times New Roman" w:hAnsi="Times New Roman"/>
          <w:sz w:val="24"/>
          <w:szCs w:val="24"/>
        </w:rPr>
        <w:t>Davis Decl.</w:t>
      </w:r>
      <w:r w:rsidR="00DB3569" w:rsidRPr="00391C31">
        <w:rPr>
          <w:rFonts w:ascii="Times New Roman" w:hAnsi="Times New Roman"/>
          <w:sz w:val="24"/>
          <w:szCs w:val="24"/>
        </w:rPr>
        <w:t xml:space="preserve"> </w:t>
      </w:r>
      <w:r w:rsidR="00F47934" w:rsidRPr="00391C31">
        <w:rPr>
          <w:rFonts w:ascii="Times New Roman" w:hAnsi="Times New Roman"/>
          <w:sz w:val="24"/>
          <w:szCs w:val="24"/>
        </w:rPr>
        <w:t xml:space="preserve">¶ 30.)  </w:t>
      </w:r>
      <w:r w:rsidR="002800D6" w:rsidRPr="00391C31">
        <w:rPr>
          <w:rFonts w:ascii="Times New Roman" w:hAnsi="Times New Roman"/>
          <w:sz w:val="24"/>
          <w:szCs w:val="24"/>
        </w:rPr>
        <w:t xml:space="preserve">Named Plaintiff Esther Darling is 74 years old and has been diagnosed with </w:t>
      </w:r>
      <w:r w:rsidR="005741E1" w:rsidRPr="00391C31">
        <w:rPr>
          <w:rFonts w:ascii="Times New Roman" w:hAnsi="Times New Roman"/>
          <w:sz w:val="24"/>
          <w:szCs w:val="24"/>
        </w:rPr>
        <w:t xml:space="preserve">congestive heart failure, </w:t>
      </w:r>
      <w:r w:rsidR="002800D6" w:rsidRPr="00391C31">
        <w:rPr>
          <w:rFonts w:ascii="Times New Roman" w:hAnsi="Times New Roman"/>
          <w:sz w:val="24"/>
          <w:szCs w:val="24"/>
        </w:rPr>
        <w:t>diabetes,</w:t>
      </w:r>
      <w:r w:rsidR="005741E1" w:rsidRPr="00391C31">
        <w:rPr>
          <w:rFonts w:ascii="Times New Roman" w:hAnsi="Times New Roman"/>
          <w:sz w:val="24"/>
          <w:szCs w:val="24"/>
        </w:rPr>
        <w:t xml:space="preserve"> post-stroke paralysis affecting her left side, </w:t>
      </w:r>
      <w:r w:rsidR="002800D6" w:rsidRPr="00391C31">
        <w:rPr>
          <w:rFonts w:ascii="Times New Roman" w:hAnsi="Times New Roman"/>
          <w:sz w:val="24"/>
          <w:szCs w:val="24"/>
        </w:rPr>
        <w:t xml:space="preserve">atrial fibrillation, </w:t>
      </w:r>
      <w:r w:rsidR="005741E1" w:rsidRPr="00391C31">
        <w:rPr>
          <w:rFonts w:ascii="Times New Roman" w:hAnsi="Times New Roman"/>
          <w:sz w:val="24"/>
          <w:szCs w:val="24"/>
        </w:rPr>
        <w:t xml:space="preserve">incontinence, </w:t>
      </w:r>
      <w:r w:rsidR="002800D6" w:rsidRPr="00391C31">
        <w:rPr>
          <w:rFonts w:ascii="Times New Roman" w:hAnsi="Times New Roman"/>
          <w:sz w:val="24"/>
          <w:szCs w:val="24"/>
        </w:rPr>
        <w:t xml:space="preserve">edema, </w:t>
      </w:r>
      <w:r w:rsidR="005741E1" w:rsidRPr="00391C31">
        <w:rPr>
          <w:rFonts w:ascii="Times New Roman" w:hAnsi="Times New Roman"/>
          <w:sz w:val="24"/>
          <w:szCs w:val="24"/>
        </w:rPr>
        <w:t xml:space="preserve">depression, </w:t>
      </w:r>
      <w:r w:rsidR="002800D6" w:rsidRPr="00391C31">
        <w:rPr>
          <w:rFonts w:ascii="Times New Roman" w:hAnsi="Times New Roman"/>
          <w:sz w:val="24"/>
          <w:szCs w:val="24"/>
        </w:rPr>
        <w:t>hearing loss,</w:t>
      </w:r>
      <w:r w:rsidR="004F07A3" w:rsidRPr="00391C31">
        <w:rPr>
          <w:rFonts w:ascii="Times New Roman" w:hAnsi="Times New Roman"/>
          <w:sz w:val="24"/>
          <w:szCs w:val="24"/>
        </w:rPr>
        <w:t xml:space="preserve"> and other disabilities</w:t>
      </w:r>
      <w:r w:rsidR="002800D6" w:rsidRPr="00391C31">
        <w:rPr>
          <w:rFonts w:ascii="Times New Roman" w:hAnsi="Times New Roman"/>
          <w:sz w:val="24"/>
          <w:szCs w:val="24"/>
        </w:rPr>
        <w:t xml:space="preserve">.  </w:t>
      </w:r>
      <w:r w:rsidR="005741E1" w:rsidRPr="00391C31">
        <w:rPr>
          <w:rFonts w:ascii="Times New Roman" w:hAnsi="Times New Roman"/>
          <w:sz w:val="24"/>
          <w:szCs w:val="24"/>
        </w:rPr>
        <w:t xml:space="preserve">(Decl. of Esther Darling, </w:t>
      </w:r>
      <w:r w:rsidR="00D97E13" w:rsidRPr="00391C31">
        <w:rPr>
          <w:rFonts w:ascii="Times New Roman" w:hAnsi="Times New Roman"/>
          <w:sz w:val="24"/>
          <w:szCs w:val="24"/>
        </w:rPr>
        <w:t xml:space="preserve">ECF No. </w:t>
      </w:r>
      <w:r w:rsidR="005741E1" w:rsidRPr="00391C31">
        <w:rPr>
          <w:rFonts w:ascii="Times New Roman" w:hAnsi="Times New Roman"/>
          <w:sz w:val="24"/>
          <w:szCs w:val="24"/>
        </w:rPr>
        <w:t xml:space="preserve">231, (“Darling Decl.”) ¶¶ 4, 6; Decl. of Jeffrey Yee, M.D., </w:t>
      </w:r>
      <w:r w:rsidR="00476931" w:rsidRPr="00391C31">
        <w:rPr>
          <w:rFonts w:ascii="Times New Roman" w:hAnsi="Times New Roman"/>
          <w:sz w:val="24"/>
          <w:szCs w:val="24"/>
        </w:rPr>
        <w:t xml:space="preserve">ECF No. </w:t>
      </w:r>
      <w:r w:rsidR="005741E1" w:rsidRPr="00391C31">
        <w:rPr>
          <w:rFonts w:ascii="Times New Roman" w:hAnsi="Times New Roman"/>
          <w:sz w:val="24"/>
          <w:szCs w:val="24"/>
        </w:rPr>
        <w:t>258, (“Yee Decl.”) ¶ 11)  She lives alone in her apartment but receives</w:t>
      </w:r>
      <w:r w:rsidR="000006E2" w:rsidRPr="00391C31">
        <w:rPr>
          <w:rFonts w:ascii="Times New Roman" w:hAnsi="Times New Roman"/>
          <w:sz w:val="24"/>
          <w:szCs w:val="24"/>
        </w:rPr>
        <w:t xml:space="preserve"> some</w:t>
      </w:r>
      <w:r w:rsidR="005741E1" w:rsidRPr="00391C31">
        <w:rPr>
          <w:rFonts w:ascii="Times New Roman" w:hAnsi="Times New Roman"/>
          <w:sz w:val="24"/>
          <w:szCs w:val="24"/>
        </w:rPr>
        <w:t xml:space="preserve"> daily assistance from a</w:t>
      </w:r>
      <w:r w:rsidR="00E82C7F" w:rsidRPr="00391C31">
        <w:rPr>
          <w:rFonts w:ascii="Times New Roman" w:hAnsi="Times New Roman"/>
          <w:sz w:val="24"/>
          <w:szCs w:val="24"/>
        </w:rPr>
        <w:t xml:space="preserve"> personal care worker </w:t>
      </w:r>
      <w:r w:rsidR="005741E1" w:rsidRPr="00391C31">
        <w:rPr>
          <w:rFonts w:ascii="Times New Roman" w:hAnsi="Times New Roman"/>
          <w:sz w:val="24"/>
          <w:szCs w:val="24"/>
        </w:rPr>
        <w:t xml:space="preserve">through the </w:t>
      </w:r>
      <w:r w:rsidR="00E82C7F" w:rsidRPr="00391C31">
        <w:rPr>
          <w:rFonts w:ascii="Times New Roman" w:hAnsi="Times New Roman"/>
          <w:sz w:val="24"/>
          <w:szCs w:val="24"/>
        </w:rPr>
        <w:t xml:space="preserve">State’s In-Home </w:t>
      </w:r>
      <w:r w:rsidR="001D692E" w:rsidRPr="00391C31">
        <w:rPr>
          <w:rFonts w:ascii="Times New Roman" w:hAnsi="Times New Roman"/>
          <w:sz w:val="24"/>
          <w:szCs w:val="24"/>
        </w:rPr>
        <w:t>Supportive</w:t>
      </w:r>
      <w:r w:rsidR="00E82C7F" w:rsidRPr="00391C31">
        <w:rPr>
          <w:rFonts w:ascii="Times New Roman" w:hAnsi="Times New Roman"/>
          <w:sz w:val="24"/>
          <w:szCs w:val="24"/>
        </w:rPr>
        <w:t xml:space="preserve"> Services (“</w:t>
      </w:r>
      <w:r w:rsidR="005741E1" w:rsidRPr="00391C31">
        <w:rPr>
          <w:rFonts w:ascii="Times New Roman" w:hAnsi="Times New Roman"/>
          <w:sz w:val="24"/>
          <w:szCs w:val="24"/>
        </w:rPr>
        <w:t>IHSS</w:t>
      </w:r>
      <w:r w:rsidR="00E82C7F" w:rsidRPr="00391C31">
        <w:rPr>
          <w:rFonts w:ascii="Times New Roman" w:hAnsi="Times New Roman"/>
          <w:sz w:val="24"/>
          <w:szCs w:val="24"/>
        </w:rPr>
        <w:t>”)</w:t>
      </w:r>
      <w:r w:rsidR="00EC096E" w:rsidRPr="00391C31">
        <w:rPr>
          <w:rFonts w:ascii="Times New Roman" w:hAnsi="Times New Roman"/>
          <w:sz w:val="24"/>
          <w:szCs w:val="24"/>
        </w:rPr>
        <w:t xml:space="preserve"> program.  (Darling Decl. </w:t>
      </w:r>
      <w:r w:rsidR="005741E1" w:rsidRPr="00391C31">
        <w:rPr>
          <w:rFonts w:ascii="Times New Roman" w:hAnsi="Times New Roman"/>
          <w:sz w:val="24"/>
          <w:szCs w:val="24"/>
        </w:rPr>
        <w:t xml:space="preserve">¶ 8)  </w:t>
      </w:r>
      <w:r w:rsidR="005B0692" w:rsidRPr="00391C31">
        <w:rPr>
          <w:rFonts w:ascii="Times New Roman" w:hAnsi="Times New Roman"/>
          <w:sz w:val="24"/>
          <w:szCs w:val="24"/>
        </w:rPr>
        <w:t>In addition, s</w:t>
      </w:r>
      <w:r w:rsidR="005741E1" w:rsidRPr="00391C31">
        <w:rPr>
          <w:rFonts w:ascii="Times New Roman" w:hAnsi="Times New Roman"/>
          <w:sz w:val="24"/>
          <w:szCs w:val="24"/>
        </w:rPr>
        <w:t xml:space="preserve">he has attended </w:t>
      </w:r>
      <w:r w:rsidR="002800D6" w:rsidRPr="00391C31">
        <w:rPr>
          <w:rFonts w:ascii="Times New Roman" w:hAnsi="Times New Roman"/>
          <w:sz w:val="24"/>
          <w:szCs w:val="24"/>
        </w:rPr>
        <w:t>the Yolo Adult Day Health Center</w:t>
      </w:r>
      <w:r w:rsidR="005741E1" w:rsidRPr="00391C31">
        <w:rPr>
          <w:rFonts w:ascii="Times New Roman" w:hAnsi="Times New Roman"/>
          <w:sz w:val="24"/>
          <w:szCs w:val="24"/>
        </w:rPr>
        <w:t xml:space="preserve"> for the last 14 years, and currently attends five days per week.  (Id. ¶ 3.) The Center’s Medical Director, who has been Ms. Darling’s physician for more than </w:t>
      </w:r>
      <w:r w:rsidR="00874510" w:rsidRPr="00391C31">
        <w:rPr>
          <w:rFonts w:ascii="Times New Roman" w:hAnsi="Times New Roman"/>
          <w:sz w:val="24"/>
          <w:szCs w:val="24"/>
        </w:rPr>
        <w:t>twenty</w:t>
      </w:r>
      <w:r w:rsidR="005741E1" w:rsidRPr="00391C31">
        <w:rPr>
          <w:rFonts w:ascii="Times New Roman" w:hAnsi="Times New Roman"/>
          <w:sz w:val="24"/>
          <w:szCs w:val="24"/>
        </w:rPr>
        <w:t xml:space="preserve"> years and who helped draft her current IPC, </w:t>
      </w:r>
      <w:r w:rsidR="00874510" w:rsidRPr="00391C31">
        <w:rPr>
          <w:rFonts w:ascii="Times New Roman" w:hAnsi="Times New Roman"/>
          <w:sz w:val="24"/>
          <w:szCs w:val="24"/>
        </w:rPr>
        <w:t xml:space="preserve">attests that without ADHC </w:t>
      </w:r>
      <w:r w:rsidR="005741E1" w:rsidRPr="00391C31">
        <w:rPr>
          <w:rFonts w:ascii="Times New Roman" w:hAnsi="Times New Roman"/>
          <w:sz w:val="24"/>
          <w:szCs w:val="24"/>
        </w:rPr>
        <w:t xml:space="preserve">she will not be able to remain safely in her home. (Yee Decl. ¶ 15).  He states that daily monitoring </w:t>
      </w:r>
      <w:r w:rsidR="005B0692" w:rsidRPr="00391C31">
        <w:rPr>
          <w:rFonts w:ascii="Times New Roman" w:hAnsi="Times New Roman"/>
          <w:sz w:val="24"/>
          <w:szCs w:val="24"/>
        </w:rPr>
        <w:t xml:space="preserve">by a qualified nurse, which she receives at the ADHC, is necessary to assess changes in her condition, and </w:t>
      </w:r>
      <w:r w:rsidR="005741E1" w:rsidRPr="00391C31">
        <w:rPr>
          <w:rFonts w:ascii="Times New Roman" w:hAnsi="Times New Roman"/>
          <w:sz w:val="24"/>
          <w:szCs w:val="24"/>
        </w:rPr>
        <w:t xml:space="preserve">that </w:t>
      </w:r>
      <w:r w:rsidR="005B0692" w:rsidRPr="00391C31">
        <w:rPr>
          <w:rFonts w:ascii="Times New Roman" w:hAnsi="Times New Roman"/>
          <w:sz w:val="24"/>
          <w:szCs w:val="24"/>
        </w:rPr>
        <w:t xml:space="preserve">an </w:t>
      </w:r>
      <w:r w:rsidR="005741E1" w:rsidRPr="00391C31">
        <w:rPr>
          <w:rFonts w:ascii="Times New Roman" w:hAnsi="Times New Roman"/>
          <w:sz w:val="24"/>
          <w:szCs w:val="24"/>
        </w:rPr>
        <w:t xml:space="preserve">IHSS worker is </w:t>
      </w:r>
      <w:r w:rsidR="005B0692" w:rsidRPr="00391C31">
        <w:rPr>
          <w:rFonts w:ascii="Times New Roman" w:hAnsi="Times New Roman"/>
          <w:sz w:val="24"/>
          <w:szCs w:val="24"/>
        </w:rPr>
        <w:t xml:space="preserve">not qualified to perform these tasks. (Id.) </w:t>
      </w:r>
      <w:r w:rsidR="00874510" w:rsidRPr="00391C31">
        <w:rPr>
          <w:rFonts w:ascii="Times New Roman" w:hAnsi="Times New Roman"/>
          <w:sz w:val="24"/>
          <w:szCs w:val="24"/>
        </w:rPr>
        <w:t xml:space="preserve">  </w:t>
      </w:r>
    </w:p>
    <w:p w:rsidR="003549DC" w:rsidRPr="008E53E5" w:rsidRDefault="00726D1D" w:rsidP="008E53E5">
      <w:pPr>
        <w:autoSpaceDE w:val="0"/>
        <w:autoSpaceDN w:val="0"/>
        <w:adjustRightInd w:val="0"/>
        <w:spacing w:after="0" w:line="480" w:lineRule="exact"/>
        <w:ind w:firstLine="720"/>
        <w:rPr>
          <w:rFonts w:ascii="Times New Roman" w:hAnsi="Times New Roman"/>
          <w:sz w:val="24"/>
          <w:szCs w:val="24"/>
        </w:rPr>
      </w:pPr>
      <w:r>
        <w:rPr>
          <w:rFonts w:ascii="Times New Roman" w:hAnsi="Times New Roman"/>
          <w:noProof/>
          <w:sz w:val="24"/>
          <w:szCs w:val="24"/>
        </w:rPr>
        <w:pict>
          <v:shape id="_x0000_s1069" type="#_x0000_t202" style="position:absolute;left:0;text-align:left;margin-left:-43.5pt;margin-top:-1.5pt;width:36pt;height:10in;z-index:2516992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J1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" o:allowincell="f" stroked="f">
            <v:textbox inset="0,0,0,0">
              <w:txbxContent>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685365">
                  <w:pPr>
                    <w:spacing w:after="0" w:line="480" w:lineRule="exact"/>
                    <w:jc w:val="right"/>
                  </w:pPr>
                </w:p>
              </w:txbxContent>
            </v:textbox>
            <w10:wrap anchorx="margin" anchory="margin"/>
          </v:shape>
        </w:pict>
      </w:r>
      <w:r w:rsidR="008E53E5" w:rsidRPr="008E53E5">
        <w:rPr>
          <w:rFonts w:ascii="Times New Roman" w:hAnsi="Times New Roman"/>
          <w:sz w:val="24"/>
          <w:szCs w:val="24"/>
        </w:rPr>
        <w:t>The impact</w:t>
      </w:r>
      <w:r w:rsidR="008E53E5">
        <w:rPr>
          <w:rFonts w:ascii="Times New Roman" w:hAnsi="Times New Roman"/>
          <w:sz w:val="24"/>
          <w:szCs w:val="24"/>
        </w:rPr>
        <w:t xml:space="preserve"> of Defendants’ </w:t>
      </w:r>
      <w:r w:rsidR="002E52AC">
        <w:rPr>
          <w:rFonts w:ascii="Times New Roman" w:hAnsi="Times New Roman"/>
          <w:sz w:val="24"/>
          <w:szCs w:val="24"/>
        </w:rPr>
        <w:t>actions</w:t>
      </w:r>
      <w:r w:rsidR="008E53E5" w:rsidRPr="008E53E5">
        <w:rPr>
          <w:rFonts w:ascii="Times New Roman" w:hAnsi="Times New Roman"/>
          <w:sz w:val="24"/>
          <w:szCs w:val="24"/>
        </w:rPr>
        <w:t xml:space="preserve"> on other Plaintiffs </w:t>
      </w:r>
      <w:r w:rsidR="008E53E5">
        <w:rPr>
          <w:rFonts w:ascii="Times New Roman" w:hAnsi="Times New Roman"/>
          <w:sz w:val="24"/>
          <w:szCs w:val="24"/>
        </w:rPr>
        <w:t xml:space="preserve">will be </w:t>
      </w:r>
      <w:r w:rsidR="008E53E5" w:rsidRPr="008E53E5">
        <w:rPr>
          <w:rFonts w:ascii="Times New Roman" w:hAnsi="Times New Roman"/>
          <w:sz w:val="24"/>
          <w:szCs w:val="24"/>
        </w:rPr>
        <w:t>similarly devastating.  (</w:t>
      </w:r>
      <w:r w:rsidR="008E53E5" w:rsidRPr="008E53E5">
        <w:rPr>
          <w:rFonts w:ascii="Times New Roman" w:hAnsi="Times New Roman"/>
          <w:i/>
          <w:sz w:val="24"/>
          <w:szCs w:val="24"/>
        </w:rPr>
        <w:t>See</w:t>
      </w:r>
      <w:r w:rsidR="008E53E5" w:rsidRPr="008E53E5">
        <w:rPr>
          <w:rFonts w:ascii="Times New Roman" w:hAnsi="Times New Roman"/>
          <w:sz w:val="24"/>
          <w:szCs w:val="24"/>
        </w:rPr>
        <w:t xml:space="preserve"> Decl. of Gary Steinke, ECF No. 254 (</w:t>
      </w:r>
      <w:r w:rsidR="008E53E5" w:rsidRPr="008E53E5">
        <w:rPr>
          <w:rFonts w:ascii="Times New Roman" w:hAnsi="Times New Roman"/>
          <w:i/>
          <w:sz w:val="24"/>
          <w:szCs w:val="24"/>
        </w:rPr>
        <w:t>“</w:t>
      </w:r>
      <w:r w:rsidR="008E53E5" w:rsidRPr="008E53E5">
        <w:rPr>
          <w:rFonts w:ascii="Times New Roman" w:hAnsi="Times New Roman"/>
          <w:sz w:val="24"/>
          <w:szCs w:val="24"/>
        </w:rPr>
        <w:t>Steinke Decl.”) ¶ 27; McCloud Decl. ¶ 39; Decl. of Gilda Garcia, ECF No. 237 (“Garcia Decl.”) ¶ 18; Decl. of Vitta Perelman, ECF No. 249  ¶¶ 14-15 (Gilda Garcia’s risk of acute hospitalization and institutionalization); Nolcox Decl. ¶¶ 33-34; Decl. of William I. Gardner, ECF No. 238 (“Gardner Decl.”) ¶ 17 (Ronald Bell’s risk of placement in a nursing facility); Gardner Decl. ¶¶ 18-19; Decl. of Dennis Arnett, ECF No. 227 (“Arnett Decl.”) ¶ 18; Regalia Decl. ¶</w:t>
      </w:r>
      <w:r w:rsidR="00CD3546">
        <w:rPr>
          <w:rFonts w:ascii="Times New Roman" w:hAnsi="Times New Roman"/>
          <w:sz w:val="24"/>
          <w:szCs w:val="24"/>
        </w:rPr>
        <w:t>¶</w:t>
      </w:r>
      <w:r w:rsidR="008E53E5" w:rsidRPr="008E53E5">
        <w:rPr>
          <w:rFonts w:ascii="Times New Roman" w:hAnsi="Times New Roman"/>
          <w:sz w:val="24"/>
          <w:szCs w:val="24"/>
        </w:rPr>
        <w:t xml:space="preserve"> 53</w:t>
      </w:r>
      <w:r w:rsidR="00CD3546">
        <w:rPr>
          <w:rFonts w:ascii="Times New Roman" w:hAnsi="Times New Roman"/>
          <w:sz w:val="24"/>
          <w:szCs w:val="24"/>
        </w:rPr>
        <w:t>-54</w:t>
      </w:r>
      <w:r w:rsidR="008E53E5" w:rsidRPr="008E53E5">
        <w:rPr>
          <w:rFonts w:ascii="Times New Roman" w:hAnsi="Times New Roman"/>
          <w:sz w:val="24"/>
          <w:szCs w:val="24"/>
        </w:rPr>
        <w:t xml:space="preserve"> (Wendy Helfrich’s risk of institutional placement); Steinke Decl. ¶ 29; Behr Decl. ¶¶ 27, 36; Decl. of Jessie Jones, ECF No. 243 (“Jones Decl.”) ¶ 10; Decl. of  Helene Philips, ECF No. 250 (“Philips Decl.”) ¶ 14 (Jessie Jones would have to enter a nursing facility without appropriate services);  Toth Decl. ¶ 49; Gardner Decl. ¶ 23 (Raif Nasyrov would have to enter a nursing facility without appropriate services); Decl. of  Cordula Dick-Muehlke ECF No. 233 (“Dick-Muehlke Decl.”) ¶</w:t>
      </w:r>
      <w:r w:rsidR="00CD3546">
        <w:rPr>
          <w:rFonts w:ascii="Times New Roman" w:hAnsi="Times New Roman"/>
          <w:sz w:val="24"/>
          <w:szCs w:val="24"/>
        </w:rPr>
        <w:t>¶</w:t>
      </w:r>
      <w:r w:rsidR="008E53E5" w:rsidRPr="008E53E5">
        <w:rPr>
          <w:rFonts w:ascii="Times New Roman" w:hAnsi="Times New Roman"/>
          <w:sz w:val="24"/>
          <w:szCs w:val="24"/>
        </w:rPr>
        <w:t xml:space="preserve"> 33</w:t>
      </w:r>
      <w:r w:rsidR="00CD3546">
        <w:rPr>
          <w:rFonts w:ascii="Times New Roman" w:hAnsi="Times New Roman"/>
          <w:sz w:val="24"/>
          <w:szCs w:val="24"/>
        </w:rPr>
        <w:t>-34</w:t>
      </w:r>
      <w:r w:rsidR="008E53E5" w:rsidRPr="008E53E5">
        <w:rPr>
          <w:rFonts w:ascii="Times New Roman" w:hAnsi="Times New Roman"/>
          <w:sz w:val="24"/>
          <w:szCs w:val="24"/>
        </w:rPr>
        <w:t xml:space="preserve">; Steinke Decl. ¶¶ 21-25; Toth Decl. ¶ 68; McCloud Decl. ¶¶ 43, 52; Puckett Decl. ¶¶ 46-48; Myers-Purkey Decl. ¶¶ 38-44; Regalia Decl. ¶¶ 29-31, 56-58; Nolcox Decl. ¶¶ 22, 35-37; Davis Decl. ¶¶ 36-40; Behr Decl. ¶¶ 34, 36; Houghton Decl. ¶ 21-24 (Class Members’ risks of institutionalization)).   </w:t>
      </w:r>
      <w:r w:rsidR="008E53E5" w:rsidRPr="008E53E5">
        <w:rPr>
          <w:rStyle w:val="FootnoteReference"/>
          <w:rFonts w:ascii="Times New Roman" w:hAnsi="Times New Roman"/>
          <w:sz w:val="24"/>
          <w:szCs w:val="24"/>
        </w:rPr>
        <w:t xml:space="preserve"> </w:t>
      </w:r>
      <w:r w:rsidR="004F07A3" w:rsidRPr="008E53E5">
        <w:rPr>
          <w:rFonts w:ascii="Times New Roman" w:hAnsi="Times New Roman"/>
          <w:sz w:val="24"/>
          <w:szCs w:val="24"/>
        </w:rPr>
        <w:t xml:space="preserve">  </w:t>
      </w:r>
    </w:p>
    <w:p w:rsidR="007548D9" w:rsidRPr="00391C31" w:rsidRDefault="00726D1D" w:rsidP="008E53E5">
      <w:pPr>
        <w:autoSpaceDE w:val="0"/>
        <w:autoSpaceDN w:val="0"/>
        <w:adjustRightInd w:val="0"/>
        <w:spacing w:after="0" w:line="480" w:lineRule="exact"/>
        <w:ind w:firstLine="720"/>
        <w:rPr>
          <w:rFonts w:ascii="Times New Roman" w:hAnsi="Times New Roman"/>
          <w:sz w:val="24"/>
          <w:szCs w:val="24"/>
        </w:rPr>
      </w:pPr>
      <w:r>
        <w:rPr>
          <w:rFonts w:ascii="Times New Roman" w:hAnsi="Times New Roman"/>
          <w:noProof/>
          <w:sz w:val="24"/>
          <w:szCs w:val="24"/>
        </w:rPr>
        <w:pict>
          <v:shape id="_x0000_s1048" type="#_x0000_t202" style="position:absolute;left:0;text-align:left;margin-left:-45pt;margin-top:0;width:36pt;height:10in;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9dQIAAPw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3549DC" w:rsidRPr="008E53E5">
        <w:rPr>
          <w:rFonts w:ascii="Times New Roman" w:hAnsi="Times New Roman"/>
          <w:sz w:val="24"/>
          <w:szCs w:val="24"/>
        </w:rPr>
        <w:t>Defendants allege that they are developing</w:t>
      </w:r>
      <w:r w:rsidR="003549DC" w:rsidRPr="00391C31">
        <w:rPr>
          <w:rFonts w:ascii="Times New Roman" w:hAnsi="Times New Roman"/>
          <w:sz w:val="24"/>
          <w:szCs w:val="24"/>
        </w:rPr>
        <w:t xml:space="preserve"> a </w:t>
      </w:r>
      <w:r w:rsidR="003035C9" w:rsidRPr="00391C31">
        <w:rPr>
          <w:rFonts w:ascii="Times New Roman" w:hAnsi="Times New Roman"/>
          <w:sz w:val="24"/>
          <w:szCs w:val="24"/>
        </w:rPr>
        <w:t>“</w:t>
      </w:r>
      <w:r w:rsidR="00A243F2" w:rsidRPr="00391C31">
        <w:rPr>
          <w:rFonts w:ascii="Times New Roman" w:hAnsi="Times New Roman"/>
          <w:sz w:val="24"/>
          <w:szCs w:val="24"/>
        </w:rPr>
        <w:t>short-term</w:t>
      </w:r>
      <w:r w:rsidR="003549DC" w:rsidRPr="00391C31">
        <w:rPr>
          <w:rFonts w:ascii="Times New Roman" w:hAnsi="Times New Roman"/>
          <w:sz w:val="24"/>
          <w:szCs w:val="24"/>
        </w:rPr>
        <w:t xml:space="preserve"> plan</w:t>
      </w:r>
      <w:r w:rsidR="003035C9" w:rsidRPr="00391C31">
        <w:rPr>
          <w:rFonts w:ascii="Times New Roman" w:hAnsi="Times New Roman"/>
          <w:sz w:val="24"/>
          <w:szCs w:val="24"/>
        </w:rPr>
        <w:t>”</w:t>
      </w:r>
      <w:r w:rsidR="003549DC" w:rsidRPr="00391C31">
        <w:rPr>
          <w:rFonts w:ascii="Times New Roman" w:hAnsi="Times New Roman"/>
          <w:sz w:val="24"/>
          <w:szCs w:val="24"/>
        </w:rPr>
        <w:t xml:space="preserve"> to transition </w:t>
      </w:r>
      <w:r w:rsidR="003035C9" w:rsidRPr="00391C31">
        <w:rPr>
          <w:rFonts w:ascii="Times New Roman" w:hAnsi="Times New Roman"/>
          <w:sz w:val="24"/>
          <w:szCs w:val="24"/>
        </w:rPr>
        <w:t xml:space="preserve">the </w:t>
      </w:r>
      <w:r w:rsidR="003549DC" w:rsidRPr="00391C31">
        <w:rPr>
          <w:rFonts w:ascii="Times New Roman" w:hAnsi="Times New Roman"/>
          <w:sz w:val="24"/>
          <w:szCs w:val="24"/>
        </w:rPr>
        <w:t>approximately 35,000 ADHC program participants to existing Medi-Cal services by September 1, 2011.</w:t>
      </w:r>
      <w:r w:rsidR="002831CA" w:rsidRPr="00391C31">
        <w:rPr>
          <w:rStyle w:val="FootnoteReference"/>
          <w:rFonts w:ascii="Times New Roman" w:hAnsi="Times New Roman"/>
          <w:sz w:val="24"/>
          <w:szCs w:val="24"/>
        </w:rPr>
        <w:footnoteReference w:id="13"/>
      </w:r>
      <w:r w:rsidR="003549DC" w:rsidRPr="00391C31">
        <w:rPr>
          <w:rFonts w:ascii="Times New Roman" w:hAnsi="Times New Roman"/>
          <w:sz w:val="24"/>
          <w:szCs w:val="24"/>
        </w:rPr>
        <w:t xml:space="preserve">  </w:t>
      </w:r>
      <w:r w:rsidR="003035C9" w:rsidRPr="00391C31">
        <w:rPr>
          <w:rFonts w:ascii="Times New Roman" w:hAnsi="Times New Roman"/>
          <w:sz w:val="24"/>
          <w:szCs w:val="24"/>
        </w:rPr>
        <w:t>E</w:t>
      </w:r>
      <w:r w:rsidR="005B0692" w:rsidRPr="00391C31">
        <w:rPr>
          <w:rFonts w:ascii="Times New Roman" w:hAnsi="Times New Roman"/>
          <w:sz w:val="24"/>
          <w:szCs w:val="24"/>
        </w:rPr>
        <w:t xml:space="preserve">ven assuming that ADHC </w:t>
      </w:r>
      <w:r w:rsidR="003C593B">
        <w:rPr>
          <w:rFonts w:ascii="Times New Roman" w:hAnsi="Times New Roman"/>
          <w:sz w:val="24"/>
          <w:szCs w:val="24"/>
        </w:rPr>
        <w:t>participants</w:t>
      </w:r>
      <w:r w:rsidR="00874510" w:rsidRPr="00391C31">
        <w:rPr>
          <w:rFonts w:ascii="Times New Roman" w:hAnsi="Times New Roman"/>
          <w:sz w:val="24"/>
          <w:szCs w:val="24"/>
        </w:rPr>
        <w:t xml:space="preserve"> or their proxies</w:t>
      </w:r>
      <w:r w:rsidR="005B0692" w:rsidRPr="00391C31">
        <w:rPr>
          <w:rFonts w:ascii="Times New Roman" w:hAnsi="Times New Roman"/>
          <w:sz w:val="24"/>
          <w:szCs w:val="24"/>
        </w:rPr>
        <w:t xml:space="preserve"> </w:t>
      </w:r>
      <w:r w:rsidR="00B3321C" w:rsidRPr="00391C31">
        <w:rPr>
          <w:rFonts w:ascii="Times New Roman" w:hAnsi="Times New Roman"/>
          <w:sz w:val="24"/>
          <w:szCs w:val="24"/>
        </w:rPr>
        <w:t>could locate, contact</w:t>
      </w:r>
      <w:r w:rsidR="005B0692" w:rsidRPr="00391C31">
        <w:rPr>
          <w:rFonts w:ascii="Times New Roman" w:hAnsi="Times New Roman"/>
          <w:sz w:val="24"/>
          <w:szCs w:val="24"/>
        </w:rPr>
        <w:t>,</w:t>
      </w:r>
      <w:r w:rsidR="00B3321C" w:rsidRPr="00391C31">
        <w:rPr>
          <w:rFonts w:ascii="Times New Roman" w:hAnsi="Times New Roman"/>
          <w:sz w:val="24"/>
          <w:szCs w:val="24"/>
        </w:rPr>
        <w:t xml:space="preserve"> apply to, be assessed for medical necessity</w:t>
      </w:r>
      <w:r w:rsidR="00874510" w:rsidRPr="00391C31">
        <w:rPr>
          <w:rFonts w:ascii="Times New Roman" w:hAnsi="Times New Roman"/>
          <w:sz w:val="24"/>
          <w:szCs w:val="24"/>
        </w:rPr>
        <w:t xml:space="preserve"> determinations</w:t>
      </w:r>
      <w:r w:rsidR="000F0493" w:rsidRPr="00391C31">
        <w:rPr>
          <w:rFonts w:ascii="Times New Roman" w:hAnsi="Times New Roman"/>
          <w:sz w:val="24"/>
          <w:szCs w:val="24"/>
        </w:rPr>
        <w:t xml:space="preserve"> by</w:t>
      </w:r>
      <w:r w:rsidR="00B3321C" w:rsidRPr="00391C31">
        <w:rPr>
          <w:rFonts w:ascii="Times New Roman" w:hAnsi="Times New Roman"/>
          <w:sz w:val="24"/>
          <w:szCs w:val="24"/>
        </w:rPr>
        <w:t xml:space="preserve">, and admitted to these hypothetical alternatives before the September 1st termination date, existing Medi-Cal services are likely </w:t>
      </w:r>
      <w:r w:rsidR="00874510" w:rsidRPr="00391C31">
        <w:rPr>
          <w:rFonts w:ascii="Times New Roman" w:hAnsi="Times New Roman"/>
          <w:sz w:val="24"/>
          <w:szCs w:val="24"/>
        </w:rPr>
        <w:t>insufficient</w:t>
      </w:r>
      <w:r w:rsidR="003549DC" w:rsidRPr="00391C31">
        <w:rPr>
          <w:rFonts w:ascii="Times New Roman" w:hAnsi="Times New Roman"/>
          <w:sz w:val="24"/>
          <w:szCs w:val="24"/>
        </w:rPr>
        <w:t xml:space="preserve"> to replace the </w:t>
      </w:r>
      <w:r w:rsidR="00874510" w:rsidRPr="00391C31">
        <w:rPr>
          <w:rFonts w:ascii="Times New Roman" w:hAnsi="Times New Roman"/>
          <w:sz w:val="24"/>
          <w:szCs w:val="24"/>
        </w:rPr>
        <w:t xml:space="preserve">ADHC </w:t>
      </w:r>
      <w:r w:rsidR="003549DC" w:rsidRPr="00391C31">
        <w:rPr>
          <w:rFonts w:ascii="Times New Roman" w:hAnsi="Times New Roman"/>
          <w:sz w:val="24"/>
          <w:szCs w:val="24"/>
        </w:rPr>
        <w:t xml:space="preserve">services that are prescribed in </w:t>
      </w:r>
      <w:r w:rsidR="00B3321C" w:rsidRPr="00391C31">
        <w:rPr>
          <w:rFonts w:ascii="Times New Roman" w:hAnsi="Times New Roman"/>
          <w:sz w:val="24"/>
          <w:szCs w:val="24"/>
        </w:rPr>
        <w:t xml:space="preserve">recipients current </w:t>
      </w:r>
      <w:r w:rsidR="003549DC" w:rsidRPr="00391C31">
        <w:rPr>
          <w:rFonts w:ascii="Times New Roman" w:hAnsi="Times New Roman"/>
          <w:sz w:val="24"/>
          <w:szCs w:val="24"/>
        </w:rPr>
        <w:t>plans of care.</w:t>
      </w:r>
      <w:r w:rsidR="008640AD" w:rsidRPr="00391C31">
        <w:rPr>
          <w:rStyle w:val="FootnoteReference"/>
          <w:rFonts w:ascii="Times New Roman" w:hAnsi="Times New Roman"/>
          <w:sz w:val="24"/>
          <w:szCs w:val="24"/>
        </w:rPr>
        <w:footnoteReference w:id="14"/>
      </w:r>
      <w:r w:rsidR="003549DC" w:rsidRPr="00391C31">
        <w:rPr>
          <w:rFonts w:ascii="Times New Roman" w:hAnsi="Times New Roman"/>
          <w:sz w:val="24"/>
          <w:szCs w:val="24"/>
        </w:rPr>
        <w:t xml:space="preserve"> </w:t>
      </w:r>
      <w:r w:rsidR="00A243F2" w:rsidRPr="00391C31">
        <w:rPr>
          <w:rFonts w:ascii="Times New Roman" w:hAnsi="Times New Roman"/>
          <w:sz w:val="24"/>
          <w:szCs w:val="24"/>
        </w:rPr>
        <w:t xml:space="preserve">  </w:t>
      </w:r>
      <w:r w:rsidR="007548D9" w:rsidRPr="00391C31">
        <w:rPr>
          <w:rFonts w:ascii="Times New Roman" w:hAnsi="Times New Roman"/>
          <w:sz w:val="24"/>
          <w:szCs w:val="24"/>
        </w:rPr>
        <w:t xml:space="preserve">For example, </w:t>
      </w:r>
      <w:r w:rsidR="00A243F2" w:rsidRPr="00391C31">
        <w:rPr>
          <w:rFonts w:ascii="Times New Roman" w:hAnsi="Times New Roman"/>
          <w:sz w:val="24"/>
          <w:szCs w:val="24"/>
        </w:rPr>
        <w:t xml:space="preserve">IHSS, which many of the </w:t>
      </w:r>
      <w:r w:rsidR="00E70772" w:rsidRPr="00391C31">
        <w:rPr>
          <w:rFonts w:ascii="Times New Roman" w:hAnsi="Times New Roman"/>
          <w:sz w:val="24"/>
          <w:szCs w:val="24"/>
        </w:rPr>
        <w:t>P</w:t>
      </w:r>
      <w:r w:rsidR="00A243F2" w:rsidRPr="00391C31">
        <w:rPr>
          <w:rFonts w:ascii="Times New Roman" w:hAnsi="Times New Roman"/>
          <w:sz w:val="24"/>
          <w:szCs w:val="24"/>
        </w:rPr>
        <w:t xml:space="preserve">laintiffs and </w:t>
      </w:r>
      <w:r w:rsidR="003C593B">
        <w:rPr>
          <w:rFonts w:ascii="Times New Roman" w:hAnsi="Times New Roman"/>
          <w:sz w:val="24"/>
          <w:szCs w:val="24"/>
        </w:rPr>
        <w:t>other ADHC participants</w:t>
      </w:r>
      <w:r w:rsidR="00A243F2" w:rsidRPr="00391C31">
        <w:rPr>
          <w:rFonts w:ascii="Times New Roman" w:hAnsi="Times New Roman"/>
          <w:sz w:val="24"/>
          <w:szCs w:val="24"/>
        </w:rPr>
        <w:t xml:space="preserve"> already receive, </w:t>
      </w:r>
      <w:r w:rsidR="00E82C7F" w:rsidRPr="00391C31">
        <w:rPr>
          <w:rFonts w:ascii="Times New Roman" w:hAnsi="Times New Roman"/>
          <w:sz w:val="24"/>
          <w:szCs w:val="24"/>
        </w:rPr>
        <w:t xml:space="preserve">is a personal care program and does not </w:t>
      </w:r>
      <w:r w:rsidR="00A243F2" w:rsidRPr="00391C31">
        <w:rPr>
          <w:rFonts w:ascii="Times New Roman" w:hAnsi="Times New Roman"/>
          <w:sz w:val="24"/>
          <w:szCs w:val="24"/>
        </w:rPr>
        <w:t xml:space="preserve">offer the skilled nursing services, physical, speech, or occupational therapies, or </w:t>
      </w:r>
      <w:r w:rsidR="007548D9" w:rsidRPr="00391C31">
        <w:rPr>
          <w:rFonts w:ascii="Times New Roman" w:hAnsi="Times New Roman"/>
          <w:sz w:val="24"/>
          <w:szCs w:val="24"/>
        </w:rPr>
        <w:t xml:space="preserve">sufficient </w:t>
      </w:r>
      <w:r w:rsidR="00A243F2" w:rsidRPr="00391C31">
        <w:rPr>
          <w:rFonts w:ascii="Times New Roman" w:hAnsi="Times New Roman"/>
          <w:sz w:val="24"/>
          <w:szCs w:val="24"/>
        </w:rPr>
        <w:t xml:space="preserve">medication management and supervision currently </w:t>
      </w:r>
      <w:r w:rsidR="005350AB">
        <w:rPr>
          <w:rFonts w:ascii="Times New Roman" w:hAnsi="Times New Roman"/>
          <w:sz w:val="24"/>
          <w:szCs w:val="24"/>
        </w:rPr>
        <w:t xml:space="preserve">provided </w:t>
      </w:r>
      <w:r w:rsidR="00A243F2" w:rsidRPr="00391C31">
        <w:rPr>
          <w:rFonts w:ascii="Times New Roman" w:hAnsi="Times New Roman"/>
          <w:sz w:val="24"/>
          <w:szCs w:val="24"/>
        </w:rPr>
        <w:t>at their ADHC centers. (</w:t>
      </w:r>
      <w:r w:rsidR="00B3321C" w:rsidRPr="00391C31">
        <w:rPr>
          <w:rFonts w:ascii="Times New Roman" w:hAnsi="Times New Roman"/>
          <w:i/>
          <w:sz w:val="24"/>
          <w:szCs w:val="24"/>
        </w:rPr>
        <w:t>See</w:t>
      </w:r>
      <w:r w:rsidR="00B3321C" w:rsidRPr="00391C31">
        <w:rPr>
          <w:rFonts w:ascii="Times New Roman" w:hAnsi="Times New Roman"/>
          <w:sz w:val="24"/>
          <w:szCs w:val="24"/>
        </w:rPr>
        <w:t xml:space="preserve"> Yee Decl. ¶ 15; Darling Decl. ¶ 8; Myers-Purkey Decl. ¶ 22; Missaelides Decl. ¶</w:t>
      </w:r>
      <w:r w:rsidR="00D97E13" w:rsidRPr="00391C31">
        <w:rPr>
          <w:rFonts w:ascii="Times New Roman" w:hAnsi="Times New Roman"/>
          <w:sz w:val="24"/>
          <w:szCs w:val="24"/>
        </w:rPr>
        <w:t>¶</w:t>
      </w:r>
      <w:r w:rsidR="00B3321C" w:rsidRPr="00391C31">
        <w:rPr>
          <w:rFonts w:ascii="Times New Roman" w:hAnsi="Times New Roman"/>
          <w:sz w:val="24"/>
          <w:szCs w:val="24"/>
        </w:rPr>
        <w:t xml:space="preserve"> 89-90</w:t>
      </w:r>
      <w:r w:rsidR="00AC2C37" w:rsidRPr="00391C31">
        <w:rPr>
          <w:rFonts w:ascii="Times New Roman" w:hAnsi="Times New Roman"/>
          <w:sz w:val="24"/>
          <w:szCs w:val="24"/>
        </w:rPr>
        <w:t>.</w:t>
      </w:r>
      <w:r w:rsidR="00A243F2" w:rsidRPr="00391C31">
        <w:rPr>
          <w:rFonts w:ascii="Times New Roman" w:hAnsi="Times New Roman"/>
          <w:sz w:val="24"/>
          <w:szCs w:val="24"/>
        </w:rPr>
        <w:t xml:space="preserve">) </w:t>
      </w:r>
      <w:r w:rsidR="00B3321C" w:rsidRPr="00391C31">
        <w:rPr>
          <w:rFonts w:ascii="Times New Roman" w:hAnsi="Times New Roman"/>
          <w:sz w:val="24"/>
          <w:szCs w:val="24"/>
        </w:rPr>
        <w:t xml:space="preserve">  The Multi-Purpose Senior Services Program (MSSP) is a</w:t>
      </w:r>
      <w:r w:rsidR="00E82C7F" w:rsidRPr="00391C31">
        <w:rPr>
          <w:rFonts w:ascii="Times New Roman" w:hAnsi="Times New Roman"/>
          <w:sz w:val="24"/>
          <w:szCs w:val="24"/>
        </w:rPr>
        <w:t xml:space="preserve"> Medicaid home and</w:t>
      </w:r>
      <w:r w:rsidR="00B3321C" w:rsidRPr="00391C31">
        <w:rPr>
          <w:rFonts w:ascii="Times New Roman" w:hAnsi="Times New Roman"/>
          <w:sz w:val="24"/>
          <w:szCs w:val="24"/>
        </w:rPr>
        <w:t xml:space="preserve"> </w:t>
      </w:r>
      <w:r w:rsidR="00E82C7F" w:rsidRPr="00391C31">
        <w:rPr>
          <w:rFonts w:ascii="Times New Roman" w:hAnsi="Times New Roman"/>
          <w:sz w:val="24"/>
          <w:szCs w:val="24"/>
        </w:rPr>
        <w:t xml:space="preserve">community-based waiver that provides </w:t>
      </w:r>
      <w:r w:rsidR="00B3321C" w:rsidRPr="00391C31">
        <w:rPr>
          <w:rFonts w:ascii="Times New Roman" w:hAnsi="Times New Roman"/>
          <w:sz w:val="24"/>
          <w:szCs w:val="24"/>
        </w:rPr>
        <w:t xml:space="preserve">care coordination </w:t>
      </w:r>
      <w:r w:rsidR="00E82C7F" w:rsidRPr="00391C31">
        <w:rPr>
          <w:rFonts w:ascii="Times New Roman" w:hAnsi="Times New Roman"/>
          <w:sz w:val="24"/>
          <w:szCs w:val="24"/>
        </w:rPr>
        <w:t xml:space="preserve">services to </w:t>
      </w:r>
      <w:r w:rsidR="00B3321C" w:rsidRPr="00391C31">
        <w:rPr>
          <w:rFonts w:ascii="Times New Roman" w:hAnsi="Times New Roman"/>
          <w:sz w:val="24"/>
          <w:szCs w:val="24"/>
        </w:rPr>
        <w:t xml:space="preserve">a limited number of participants, </w:t>
      </w:r>
      <w:r w:rsidR="007548D9" w:rsidRPr="00391C31">
        <w:rPr>
          <w:rFonts w:ascii="Times New Roman" w:hAnsi="Times New Roman"/>
          <w:sz w:val="24"/>
          <w:szCs w:val="24"/>
        </w:rPr>
        <w:t xml:space="preserve">is </w:t>
      </w:r>
      <w:r w:rsidR="00B3321C" w:rsidRPr="00391C31">
        <w:rPr>
          <w:rFonts w:ascii="Times New Roman" w:hAnsi="Times New Roman"/>
          <w:sz w:val="24"/>
          <w:szCs w:val="24"/>
        </w:rPr>
        <w:t>only available to individuals over the age of 65, is not available in all areas of the state, and has a waiting list.  (</w:t>
      </w:r>
      <w:r w:rsidR="00B3321C" w:rsidRPr="00391C31">
        <w:rPr>
          <w:rFonts w:ascii="Times New Roman" w:hAnsi="Times New Roman"/>
          <w:i/>
          <w:sz w:val="24"/>
          <w:szCs w:val="24"/>
        </w:rPr>
        <w:t>See</w:t>
      </w:r>
      <w:r w:rsidR="00B3321C" w:rsidRPr="00391C31">
        <w:rPr>
          <w:rFonts w:ascii="Times New Roman" w:hAnsi="Times New Roman"/>
          <w:sz w:val="24"/>
          <w:szCs w:val="24"/>
        </w:rPr>
        <w:t xml:space="preserve"> Missaelides Decl. ¶ 91; Ex. N to Missaelides Decl. at PL 00907.)  </w:t>
      </w:r>
      <w:r w:rsidR="00A243F2" w:rsidRPr="00391C31">
        <w:rPr>
          <w:rFonts w:ascii="Times New Roman" w:hAnsi="Times New Roman"/>
          <w:sz w:val="24"/>
          <w:szCs w:val="24"/>
        </w:rPr>
        <w:t xml:space="preserve">Other </w:t>
      </w:r>
      <w:r w:rsidR="00D377ED" w:rsidRPr="00391C31">
        <w:rPr>
          <w:rFonts w:ascii="Times New Roman" w:hAnsi="Times New Roman"/>
          <w:sz w:val="24"/>
          <w:szCs w:val="24"/>
        </w:rPr>
        <w:t>purported</w:t>
      </w:r>
      <w:r w:rsidR="00A243F2" w:rsidRPr="00391C31">
        <w:rPr>
          <w:rFonts w:ascii="Times New Roman" w:hAnsi="Times New Roman"/>
          <w:sz w:val="24"/>
          <w:szCs w:val="24"/>
        </w:rPr>
        <w:t xml:space="preserve"> alternative programs </w:t>
      </w:r>
      <w:r w:rsidR="00B3321C" w:rsidRPr="00391C31">
        <w:rPr>
          <w:rFonts w:ascii="Times New Roman" w:hAnsi="Times New Roman"/>
          <w:sz w:val="24"/>
          <w:szCs w:val="24"/>
        </w:rPr>
        <w:t xml:space="preserve">currently in existence </w:t>
      </w:r>
      <w:r w:rsidR="00E70772" w:rsidRPr="00391C31">
        <w:rPr>
          <w:rFonts w:ascii="Times New Roman" w:hAnsi="Times New Roman"/>
          <w:sz w:val="24"/>
          <w:szCs w:val="24"/>
        </w:rPr>
        <w:t>have</w:t>
      </w:r>
      <w:r w:rsidR="00B3321C" w:rsidRPr="00391C31">
        <w:rPr>
          <w:rFonts w:ascii="Times New Roman" w:hAnsi="Times New Roman"/>
          <w:sz w:val="24"/>
          <w:szCs w:val="24"/>
        </w:rPr>
        <w:t xml:space="preserve"> waiting lists, and o</w:t>
      </w:r>
      <w:r w:rsidR="00A243F2" w:rsidRPr="00391C31">
        <w:rPr>
          <w:rFonts w:ascii="Times New Roman" w:hAnsi="Times New Roman"/>
          <w:sz w:val="24"/>
          <w:szCs w:val="24"/>
        </w:rPr>
        <w:t>btaining these services after ADHC is eliminated will be difficult, if not impossible for ma</w:t>
      </w:r>
      <w:r w:rsidR="00AC2C37" w:rsidRPr="00391C31">
        <w:rPr>
          <w:rFonts w:ascii="Times New Roman" w:hAnsi="Times New Roman"/>
          <w:sz w:val="24"/>
          <w:szCs w:val="24"/>
        </w:rPr>
        <w:t xml:space="preserve">ny Plaintiffs and </w:t>
      </w:r>
      <w:r w:rsidR="00E32316" w:rsidRPr="00391C31">
        <w:rPr>
          <w:rFonts w:ascii="Times New Roman" w:hAnsi="Times New Roman"/>
          <w:sz w:val="24"/>
          <w:szCs w:val="24"/>
        </w:rPr>
        <w:t>class m</w:t>
      </w:r>
      <w:r w:rsidR="00AC2C37" w:rsidRPr="00391C31">
        <w:rPr>
          <w:rFonts w:ascii="Times New Roman" w:hAnsi="Times New Roman"/>
          <w:sz w:val="24"/>
          <w:szCs w:val="24"/>
        </w:rPr>
        <w:t>embers.</w:t>
      </w:r>
      <w:r w:rsidR="004F07A3" w:rsidRPr="00391C31">
        <w:rPr>
          <w:rFonts w:ascii="Times New Roman" w:hAnsi="Times New Roman"/>
          <w:sz w:val="24"/>
          <w:szCs w:val="24"/>
        </w:rPr>
        <w:t xml:space="preserve"> </w:t>
      </w:r>
      <w:r w:rsidR="008640AD">
        <w:rPr>
          <w:rFonts w:ascii="Times New Roman" w:hAnsi="Times New Roman"/>
          <w:sz w:val="24"/>
          <w:szCs w:val="24"/>
        </w:rPr>
        <w:t>(</w:t>
      </w:r>
      <w:r w:rsidR="008640AD" w:rsidRPr="00D9488C">
        <w:rPr>
          <w:rFonts w:ascii="Times New Roman" w:hAnsi="Times New Roman"/>
          <w:i/>
          <w:sz w:val="24"/>
          <w:szCs w:val="24"/>
        </w:rPr>
        <w:t>See</w:t>
      </w:r>
      <w:r w:rsidR="008640AD" w:rsidRPr="00D9488C">
        <w:rPr>
          <w:rFonts w:ascii="Times New Roman" w:hAnsi="Times New Roman"/>
          <w:sz w:val="24"/>
          <w:szCs w:val="24"/>
        </w:rPr>
        <w:t xml:space="preserve"> Missaelides Decl. ¶ 81; Wilber Decl. ¶ 9.)</w:t>
      </w:r>
      <w:r w:rsidR="00AC2C37" w:rsidRPr="00391C31">
        <w:rPr>
          <w:rFonts w:ascii="Times New Roman" w:hAnsi="Times New Roman"/>
          <w:sz w:val="24"/>
          <w:szCs w:val="24"/>
        </w:rPr>
        <w:t xml:space="preserve">  As one of Plaintiffs’ experts attests</w:t>
      </w:r>
    </w:p>
    <w:p w:rsidR="007548D9" w:rsidRPr="00391C31" w:rsidRDefault="00726D1D" w:rsidP="00685365">
      <w:pPr>
        <w:autoSpaceDE w:val="0"/>
        <w:autoSpaceDN w:val="0"/>
        <w:adjustRightInd w:val="0"/>
        <w:spacing w:before="120" w:after="120" w:line="240" w:lineRule="auto"/>
        <w:ind w:left="720" w:right="720"/>
        <w:jc w:val="both"/>
        <w:rPr>
          <w:rFonts w:ascii="Times New Roman" w:hAnsi="Times New Roman"/>
          <w:sz w:val="24"/>
          <w:szCs w:val="24"/>
        </w:rPr>
      </w:pPr>
      <w:r>
        <w:rPr>
          <w:rFonts w:ascii="Times New Roman" w:hAnsi="Times New Roman"/>
          <w:noProof/>
          <w:sz w:val="24"/>
          <w:szCs w:val="24"/>
        </w:rPr>
        <w:pict>
          <v:shape id="_x0000_s1049" type="#_x0000_t202" style="position:absolute;left:0;text-align:left;margin-left:-46.5pt;margin-top:.75pt;width:36pt;height:10in;z-index:2516817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AC2C37" w:rsidRPr="00391C31">
        <w:rPr>
          <w:rFonts w:ascii="Times New Roman" w:hAnsi="Times New Roman"/>
          <w:sz w:val="24"/>
          <w:szCs w:val="24"/>
        </w:rPr>
        <w:t>[t]hese services are administered by a variety of different agencies and departments, have varying eligibility requirements and assessment procedures, and may be limited in their availability in terms of the type and amount of services provided. Other services may have capped enrollment or limited or no availability in certain geographic locations. Some services are at capacity and currently rely on waiting lists.</w:t>
      </w:r>
    </w:p>
    <w:p w:rsidR="00A243F2" w:rsidRPr="00391C31" w:rsidRDefault="00AC2C37" w:rsidP="00685365">
      <w:pPr>
        <w:autoSpaceDE w:val="0"/>
        <w:autoSpaceDN w:val="0"/>
        <w:adjustRightInd w:val="0"/>
        <w:spacing w:after="0" w:line="480" w:lineRule="exact"/>
        <w:ind w:right="720"/>
        <w:rPr>
          <w:rFonts w:ascii="Times New Roman" w:hAnsi="Times New Roman"/>
          <w:sz w:val="24"/>
          <w:szCs w:val="24"/>
        </w:rPr>
      </w:pPr>
      <w:r w:rsidRPr="00391C31">
        <w:rPr>
          <w:rFonts w:ascii="Times New Roman" w:hAnsi="Times New Roman"/>
          <w:sz w:val="24"/>
          <w:szCs w:val="24"/>
        </w:rPr>
        <w:t xml:space="preserve"> (Wilber Decl. ¶ 11.)</w:t>
      </w:r>
    </w:p>
    <w:p w:rsidR="007548D9" w:rsidRPr="00391C31" w:rsidRDefault="004129A7" w:rsidP="00685365">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 xml:space="preserve">Indeed, </w:t>
      </w:r>
      <w:r w:rsidR="003035C9" w:rsidRPr="00391C31">
        <w:rPr>
          <w:rFonts w:ascii="Times New Roman" w:hAnsi="Times New Roman"/>
          <w:sz w:val="24"/>
          <w:szCs w:val="24"/>
        </w:rPr>
        <w:t xml:space="preserve">Defendants have submitted </w:t>
      </w:r>
      <w:r w:rsidRPr="00391C31">
        <w:rPr>
          <w:rFonts w:ascii="Times New Roman" w:hAnsi="Times New Roman"/>
          <w:sz w:val="24"/>
          <w:szCs w:val="24"/>
        </w:rPr>
        <w:t>scant</w:t>
      </w:r>
      <w:r w:rsidR="003035C9" w:rsidRPr="00391C31">
        <w:rPr>
          <w:rFonts w:ascii="Times New Roman" w:hAnsi="Times New Roman"/>
          <w:sz w:val="24"/>
          <w:szCs w:val="24"/>
        </w:rPr>
        <w:t xml:space="preserve"> evidence demonstrating </w:t>
      </w:r>
      <w:r w:rsidR="00D377ED" w:rsidRPr="00391C31">
        <w:rPr>
          <w:rFonts w:ascii="Times New Roman" w:hAnsi="Times New Roman"/>
          <w:sz w:val="24"/>
          <w:szCs w:val="24"/>
        </w:rPr>
        <w:t xml:space="preserve">concrete </w:t>
      </w:r>
      <w:r w:rsidR="00F42088" w:rsidRPr="00391C31">
        <w:rPr>
          <w:rFonts w:ascii="Times New Roman" w:hAnsi="Times New Roman"/>
          <w:sz w:val="24"/>
          <w:szCs w:val="24"/>
        </w:rPr>
        <w:t>and realistic</w:t>
      </w:r>
      <w:r w:rsidR="003035C9" w:rsidRPr="00391C31">
        <w:rPr>
          <w:rFonts w:ascii="Times New Roman" w:hAnsi="Times New Roman"/>
          <w:sz w:val="24"/>
          <w:szCs w:val="24"/>
        </w:rPr>
        <w:t xml:space="preserve"> </w:t>
      </w:r>
      <w:r w:rsidR="009A0B2D" w:rsidRPr="00391C31">
        <w:rPr>
          <w:rFonts w:ascii="Times New Roman" w:hAnsi="Times New Roman"/>
          <w:sz w:val="24"/>
          <w:szCs w:val="24"/>
        </w:rPr>
        <w:t xml:space="preserve">efforts to locate and identify alternative services and actually ensure that such services </w:t>
      </w:r>
      <w:r w:rsidR="007548D9" w:rsidRPr="00391C31">
        <w:rPr>
          <w:rFonts w:ascii="Times New Roman" w:hAnsi="Times New Roman"/>
          <w:sz w:val="24"/>
          <w:szCs w:val="24"/>
        </w:rPr>
        <w:t>will be</w:t>
      </w:r>
      <w:r w:rsidR="009A0B2D" w:rsidRPr="00391C31">
        <w:rPr>
          <w:rFonts w:ascii="Times New Roman" w:hAnsi="Times New Roman"/>
          <w:sz w:val="24"/>
          <w:szCs w:val="24"/>
        </w:rPr>
        <w:t xml:space="preserve"> provided to the highly medically acute population of individuals currently receiving ADHC services</w:t>
      </w:r>
      <w:r w:rsidR="007548D9" w:rsidRPr="00391C31">
        <w:rPr>
          <w:rFonts w:ascii="Times New Roman" w:hAnsi="Times New Roman"/>
          <w:sz w:val="24"/>
          <w:szCs w:val="24"/>
        </w:rPr>
        <w:t xml:space="preserve"> when those services terminate</w:t>
      </w:r>
      <w:r w:rsidR="00E82C7F" w:rsidRPr="00391C31">
        <w:rPr>
          <w:rFonts w:ascii="Times New Roman" w:hAnsi="Times New Roman"/>
          <w:sz w:val="24"/>
          <w:szCs w:val="24"/>
        </w:rPr>
        <w:t xml:space="preserve"> on September 1, 2011</w:t>
      </w:r>
      <w:r w:rsidR="003035C9" w:rsidRPr="00391C31">
        <w:rPr>
          <w:rFonts w:ascii="Times New Roman" w:hAnsi="Times New Roman"/>
          <w:sz w:val="24"/>
          <w:szCs w:val="24"/>
        </w:rPr>
        <w:t xml:space="preserve">. </w:t>
      </w:r>
      <w:r w:rsidR="00085076" w:rsidRPr="00391C31">
        <w:rPr>
          <w:rFonts w:ascii="Times New Roman" w:hAnsi="Times New Roman"/>
          <w:sz w:val="24"/>
          <w:szCs w:val="24"/>
        </w:rPr>
        <w:t xml:space="preserve"> (</w:t>
      </w:r>
      <w:r w:rsidR="00085076" w:rsidRPr="00391C31">
        <w:rPr>
          <w:rFonts w:ascii="Times New Roman" w:hAnsi="Times New Roman"/>
          <w:i/>
          <w:sz w:val="24"/>
          <w:szCs w:val="24"/>
        </w:rPr>
        <w:t>See</w:t>
      </w:r>
      <w:r w:rsidR="00085076" w:rsidRPr="00391C31">
        <w:rPr>
          <w:rFonts w:ascii="Times New Roman" w:hAnsi="Times New Roman"/>
          <w:sz w:val="24"/>
          <w:szCs w:val="24"/>
        </w:rPr>
        <w:t xml:space="preserve"> Defs.’ Br. at 2-3.)</w:t>
      </w:r>
      <w:r w:rsidR="00D377ED" w:rsidRPr="00391C31">
        <w:rPr>
          <w:rFonts w:ascii="Times New Roman" w:hAnsi="Times New Roman"/>
          <w:sz w:val="24"/>
          <w:szCs w:val="24"/>
        </w:rPr>
        <w:t xml:space="preserve">  Rather, D</w:t>
      </w:r>
      <w:r w:rsidR="009A0B2D" w:rsidRPr="00391C31">
        <w:rPr>
          <w:rFonts w:ascii="Times New Roman" w:hAnsi="Times New Roman"/>
          <w:sz w:val="24"/>
          <w:szCs w:val="24"/>
        </w:rPr>
        <w:t xml:space="preserve">efendants’ efforts </w:t>
      </w:r>
      <w:r w:rsidR="003035C9" w:rsidRPr="00391C31">
        <w:rPr>
          <w:rFonts w:ascii="Times New Roman" w:hAnsi="Times New Roman"/>
          <w:sz w:val="24"/>
          <w:szCs w:val="24"/>
        </w:rPr>
        <w:t xml:space="preserve">undertaken thus </w:t>
      </w:r>
      <w:r w:rsidR="002E52AC">
        <w:rPr>
          <w:rFonts w:ascii="Times New Roman" w:hAnsi="Times New Roman"/>
          <w:sz w:val="24"/>
          <w:szCs w:val="24"/>
        </w:rPr>
        <w:t xml:space="preserve">far </w:t>
      </w:r>
      <w:r w:rsidR="00D377ED" w:rsidRPr="00391C31">
        <w:rPr>
          <w:rFonts w:ascii="Times New Roman" w:hAnsi="Times New Roman"/>
          <w:sz w:val="24"/>
          <w:szCs w:val="24"/>
        </w:rPr>
        <w:t>amount</w:t>
      </w:r>
      <w:r w:rsidR="002E52AC">
        <w:rPr>
          <w:rFonts w:ascii="Times New Roman" w:hAnsi="Times New Roman"/>
          <w:sz w:val="24"/>
          <w:szCs w:val="24"/>
        </w:rPr>
        <w:t xml:space="preserve"> </w:t>
      </w:r>
      <w:r w:rsidR="00D377ED" w:rsidRPr="00391C31">
        <w:rPr>
          <w:rFonts w:ascii="Times New Roman" w:hAnsi="Times New Roman"/>
          <w:sz w:val="24"/>
          <w:szCs w:val="24"/>
        </w:rPr>
        <w:t>to pre-</w:t>
      </w:r>
      <w:r w:rsidR="00726D1D">
        <w:rPr>
          <w:rFonts w:ascii="Times New Roman" w:hAnsi="Times New Roman"/>
          <w:noProof/>
          <w:sz w:val="24"/>
          <w:szCs w:val="24"/>
        </w:rPr>
        <w:pict>
          <v:shape id="_x0000_s1064" type="#_x0000_t202" style="position:absolute;left:0;text-align:left;margin-left:-45.75pt;margin-top:0;width:36pt;height:10in;z-index:2516951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" o:allowincell="f" stroked="f">
            <v:textbox inset="0,0,0,0">
              <w:txbxContent>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4B5B67">
                  <w:pPr>
                    <w:spacing w:after="0" w:line="480" w:lineRule="exact"/>
                    <w:jc w:val="right"/>
                  </w:pPr>
                </w:p>
              </w:txbxContent>
            </v:textbox>
            <w10:wrap anchorx="margin" anchory="margin"/>
          </v:shape>
        </w:pict>
      </w:r>
      <w:r w:rsidR="00D377ED" w:rsidRPr="00391C31">
        <w:rPr>
          <w:rFonts w:ascii="Times New Roman" w:hAnsi="Times New Roman"/>
          <w:sz w:val="24"/>
          <w:szCs w:val="24"/>
        </w:rPr>
        <w:t xml:space="preserve">planning, </w:t>
      </w:r>
      <w:r w:rsidR="00E7284F">
        <w:rPr>
          <w:rFonts w:ascii="Times New Roman" w:hAnsi="Times New Roman"/>
          <w:sz w:val="24"/>
          <w:szCs w:val="24"/>
        </w:rPr>
        <w:t>instead of</w:t>
      </w:r>
      <w:r w:rsidR="00D377ED" w:rsidRPr="00391C31">
        <w:rPr>
          <w:rFonts w:ascii="Times New Roman" w:hAnsi="Times New Roman"/>
          <w:sz w:val="24"/>
          <w:szCs w:val="24"/>
        </w:rPr>
        <w:t xml:space="preserve"> actual implementation of effective transitions.  For example, there are “</w:t>
      </w:r>
      <w:r w:rsidR="009A0B2D" w:rsidRPr="00391C31">
        <w:rPr>
          <w:rFonts w:ascii="Times New Roman" w:hAnsi="Times New Roman"/>
          <w:sz w:val="24"/>
          <w:szCs w:val="24"/>
        </w:rPr>
        <w:t xml:space="preserve">ongoing meetings” between five state agencies, whose staff are “reaching out </w:t>
      </w:r>
      <w:r w:rsidR="007548D9" w:rsidRPr="00391C31">
        <w:rPr>
          <w:rFonts w:ascii="Times New Roman" w:hAnsi="Times New Roman"/>
          <w:sz w:val="24"/>
          <w:szCs w:val="24"/>
        </w:rPr>
        <w:t xml:space="preserve">to </w:t>
      </w:r>
      <w:r w:rsidR="009A0B2D" w:rsidRPr="00391C31">
        <w:rPr>
          <w:rFonts w:ascii="Times New Roman" w:hAnsi="Times New Roman"/>
          <w:sz w:val="24"/>
          <w:szCs w:val="24"/>
        </w:rPr>
        <w:t>local partners … to inform them of the pending benefit elimination so that they can begin to prepare for possible referrals</w:t>
      </w:r>
      <w:r w:rsidR="003035C9" w:rsidRPr="00391C31">
        <w:rPr>
          <w:rFonts w:ascii="Times New Roman" w:hAnsi="Times New Roman"/>
          <w:sz w:val="24"/>
          <w:szCs w:val="24"/>
        </w:rPr>
        <w:t xml:space="preserve">…. </w:t>
      </w:r>
      <w:r w:rsidR="009A0B2D" w:rsidRPr="00391C31">
        <w:rPr>
          <w:rFonts w:ascii="Times New Roman" w:hAnsi="Times New Roman"/>
          <w:sz w:val="24"/>
          <w:szCs w:val="24"/>
        </w:rPr>
        <w:t>provid[ing] other departments with a contact list of thirty-three Area Agencies on Aging</w:t>
      </w:r>
      <w:r w:rsidR="009A0B2D" w:rsidRPr="00391C31">
        <w:rPr>
          <w:rStyle w:val="FootnoteReference"/>
          <w:rFonts w:ascii="Times New Roman" w:hAnsi="Times New Roman"/>
          <w:sz w:val="24"/>
          <w:szCs w:val="24"/>
        </w:rPr>
        <w:footnoteReference w:id="15"/>
      </w:r>
      <w:r w:rsidR="009A0B2D" w:rsidRPr="00391C31">
        <w:rPr>
          <w:rFonts w:ascii="Times New Roman" w:hAnsi="Times New Roman"/>
          <w:sz w:val="24"/>
          <w:szCs w:val="24"/>
        </w:rPr>
        <w:t xml:space="preserve"> and a map identifying each catchment area,” and developing “[c]ounty-level community resource sheets identifying key local agencies … and their contact information.” (Decl. of Jane Ogle, </w:t>
      </w:r>
      <w:r w:rsidR="00BF66BF" w:rsidRPr="00391C31">
        <w:rPr>
          <w:rFonts w:ascii="Times New Roman" w:hAnsi="Times New Roman"/>
          <w:sz w:val="24"/>
          <w:szCs w:val="24"/>
        </w:rPr>
        <w:t xml:space="preserve">ECF No.  </w:t>
      </w:r>
      <w:r w:rsidR="009A0B2D" w:rsidRPr="00391C31">
        <w:rPr>
          <w:rFonts w:ascii="Times New Roman" w:hAnsi="Times New Roman"/>
          <w:sz w:val="24"/>
          <w:szCs w:val="24"/>
        </w:rPr>
        <w:t xml:space="preserve">274, (“Ogle Decl.”) ¶ 12-13; </w:t>
      </w:r>
      <w:r w:rsidR="009A0B2D" w:rsidRPr="00391C31">
        <w:rPr>
          <w:rFonts w:ascii="Times New Roman" w:hAnsi="Times New Roman"/>
          <w:i/>
          <w:sz w:val="24"/>
          <w:szCs w:val="24"/>
        </w:rPr>
        <w:t>see also</w:t>
      </w:r>
      <w:r w:rsidR="009A0B2D" w:rsidRPr="00391C31">
        <w:rPr>
          <w:rFonts w:ascii="Times New Roman" w:hAnsi="Times New Roman"/>
          <w:sz w:val="24"/>
          <w:szCs w:val="24"/>
        </w:rPr>
        <w:t xml:space="preserve"> Ex. B to Ogle Decl, “Draft Community Resource Guide for Los Angeles City.</w:t>
      </w:r>
      <w:r w:rsidR="007548D9" w:rsidRPr="00391C31">
        <w:rPr>
          <w:rFonts w:ascii="Times New Roman" w:hAnsi="Times New Roman"/>
          <w:sz w:val="24"/>
          <w:szCs w:val="24"/>
        </w:rPr>
        <w:t>”</w:t>
      </w:r>
      <w:r w:rsidR="009A0B2D" w:rsidRPr="00391C31">
        <w:rPr>
          <w:rFonts w:ascii="Times New Roman" w:hAnsi="Times New Roman"/>
          <w:sz w:val="24"/>
          <w:szCs w:val="24"/>
        </w:rPr>
        <w:t>)  Staff from DHCS and California Department of Aging (</w:t>
      </w:r>
      <w:r w:rsidR="00E7284F">
        <w:rPr>
          <w:rFonts w:ascii="Times New Roman" w:hAnsi="Times New Roman"/>
          <w:sz w:val="24"/>
          <w:szCs w:val="24"/>
        </w:rPr>
        <w:t>“</w:t>
      </w:r>
      <w:r w:rsidR="009A0B2D" w:rsidRPr="00391C31">
        <w:rPr>
          <w:rFonts w:ascii="Times New Roman" w:hAnsi="Times New Roman"/>
          <w:sz w:val="24"/>
          <w:szCs w:val="24"/>
        </w:rPr>
        <w:t>CDA</w:t>
      </w:r>
      <w:r w:rsidR="00E7284F">
        <w:rPr>
          <w:rFonts w:ascii="Times New Roman" w:hAnsi="Times New Roman"/>
          <w:sz w:val="24"/>
          <w:szCs w:val="24"/>
        </w:rPr>
        <w:t>”</w:t>
      </w:r>
      <w:r w:rsidR="009A0B2D" w:rsidRPr="00391C31">
        <w:rPr>
          <w:rFonts w:ascii="Times New Roman" w:hAnsi="Times New Roman"/>
          <w:sz w:val="24"/>
          <w:szCs w:val="24"/>
        </w:rPr>
        <w:t xml:space="preserve">) are reviewing the IPCs of current ADHC participants who receive four or five days per week of ADHC services in an attempt to “understand[] the most prevalent diagnoses,” which will allegedly aid Defendants with “identify[ing] the community resources that may be able to provide an alternative to ADHC services” and “communicating the results to state and local agencies with requests that these results are reviewed </w:t>
      </w:r>
      <w:r w:rsidR="009A0B2D" w:rsidRPr="003C593B">
        <w:rPr>
          <w:rFonts w:ascii="Times New Roman" w:hAnsi="Times New Roman"/>
          <w:i/>
          <w:sz w:val="24"/>
          <w:szCs w:val="24"/>
        </w:rPr>
        <w:t>to determine the availability</w:t>
      </w:r>
      <w:r w:rsidR="009A0B2D" w:rsidRPr="00391C31">
        <w:rPr>
          <w:rFonts w:ascii="Times New Roman" w:hAnsi="Times New Roman"/>
          <w:sz w:val="24"/>
          <w:szCs w:val="24"/>
        </w:rPr>
        <w:t xml:space="preserve"> of needed services.”  (</w:t>
      </w:r>
      <w:r w:rsidR="009A0B2D" w:rsidRPr="00391C31">
        <w:rPr>
          <w:rFonts w:ascii="Times New Roman" w:hAnsi="Times New Roman"/>
          <w:i/>
          <w:sz w:val="24"/>
          <w:szCs w:val="24"/>
        </w:rPr>
        <w:t>See</w:t>
      </w:r>
      <w:r w:rsidR="009A0B2D" w:rsidRPr="00391C31">
        <w:rPr>
          <w:rFonts w:ascii="Times New Roman" w:hAnsi="Times New Roman"/>
          <w:sz w:val="24"/>
          <w:szCs w:val="24"/>
        </w:rPr>
        <w:t xml:space="preserve"> Ogle Decl. ¶ 15</w:t>
      </w:r>
      <w:r w:rsidR="002E52AC">
        <w:rPr>
          <w:rFonts w:ascii="Times New Roman" w:hAnsi="Times New Roman"/>
          <w:sz w:val="24"/>
          <w:szCs w:val="24"/>
        </w:rPr>
        <w:t>.</w:t>
      </w:r>
      <w:r w:rsidR="009A0B2D" w:rsidRPr="00391C31">
        <w:rPr>
          <w:rFonts w:ascii="Times New Roman" w:hAnsi="Times New Roman"/>
          <w:sz w:val="24"/>
          <w:szCs w:val="24"/>
        </w:rPr>
        <w:t>)</w:t>
      </w:r>
      <w:r w:rsidR="003C593B">
        <w:rPr>
          <w:rFonts w:ascii="Times New Roman" w:hAnsi="Times New Roman"/>
          <w:sz w:val="24"/>
          <w:szCs w:val="24"/>
        </w:rPr>
        <w:t xml:space="preserve"> (emphasis added)</w:t>
      </w:r>
      <w:r w:rsidR="009A0B2D" w:rsidRPr="00391C31">
        <w:rPr>
          <w:rStyle w:val="FootnoteReference"/>
          <w:rFonts w:ascii="Times New Roman" w:hAnsi="Times New Roman"/>
          <w:sz w:val="24"/>
          <w:szCs w:val="24"/>
        </w:rPr>
        <w:footnoteReference w:id="16"/>
      </w:r>
      <w:r w:rsidR="009A0B2D" w:rsidRPr="00391C31">
        <w:rPr>
          <w:rFonts w:ascii="Times New Roman" w:hAnsi="Times New Roman"/>
          <w:sz w:val="24"/>
          <w:szCs w:val="24"/>
        </w:rPr>
        <w:t xml:space="preserve">  </w:t>
      </w:r>
      <w:r w:rsidR="003C593B">
        <w:rPr>
          <w:rFonts w:ascii="Times New Roman" w:hAnsi="Times New Roman"/>
          <w:sz w:val="24"/>
          <w:szCs w:val="24"/>
        </w:rPr>
        <w:t>And l</w:t>
      </w:r>
      <w:r w:rsidR="008D5E3A" w:rsidRPr="00391C31">
        <w:rPr>
          <w:rFonts w:ascii="Times New Roman" w:hAnsi="Times New Roman"/>
          <w:sz w:val="24"/>
          <w:szCs w:val="24"/>
        </w:rPr>
        <w:t>ess</w:t>
      </w:r>
      <w:r w:rsidR="00D377ED" w:rsidRPr="00391C31">
        <w:rPr>
          <w:rFonts w:ascii="Times New Roman" w:hAnsi="Times New Roman"/>
          <w:sz w:val="24"/>
          <w:szCs w:val="24"/>
        </w:rPr>
        <w:t xml:space="preserve"> than sixty days before all ADHC services will abruptly end, </w:t>
      </w:r>
      <w:r w:rsidR="007548D9" w:rsidRPr="00391C31">
        <w:rPr>
          <w:rFonts w:ascii="Times New Roman" w:hAnsi="Times New Roman"/>
          <w:sz w:val="24"/>
          <w:szCs w:val="24"/>
        </w:rPr>
        <w:t xml:space="preserve">Defendants </w:t>
      </w:r>
      <w:r w:rsidR="008D5E3A" w:rsidRPr="00391C31">
        <w:rPr>
          <w:rFonts w:ascii="Times New Roman" w:hAnsi="Times New Roman"/>
          <w:sz w:val="24"/>
          <w:szCs w:val="24"/>
        </w:rPr>
        <w:t xml:space="preserve">cannot point to </w:t>
      </w:r>
      <w:r w:rsidR="007548D9" w:rsidRPr="00391C31">
        <w:rPr>
          <w:rFonts w:ascii="Times New Roman" w:hAnsi="Times New Roman"/>
          <w:sz w:val="24"/>
          <w:szCs w:val="24"/>
        </w:rPr>
        <w:t xml:space="preserve">any </w:t>
      </w:r>
      <w:r w:rsidR="004F07A3" w:rsidRPr="00391C31">
        <w:rPr>
          <w:rFonts w:ascii="Times New Roman" w:hAnsi="Times New Roman"/>
          <w:sz w:val="24"/>
          <w:szCs w:val="24"/>
        </w:rPr>
        <w:t xml:space="preserve">viable </w:t>
      </w:r>
      <w:r w:rsidR="007548D9" w:rsidRPr="00391C31">
        <w:rPr>
          <w:rFonts w:ascii="Times New Roman" w:hAnsi="Times New Roman"/>
          <w:sz w:val="24"/>
          <w:szCs w:val="24"/>
        </w:rPr>
        <w:t>plans to either expand existing services or create new services to replace the</w:t>
      </w:r>
      <w:r w:rsidR="00E82C7F" w:rsidRPr="00391C31">
        <w:rPr>
          <w:rFonts w:ascii="Times New Roman" w:hAnsi="Times New Roman"/>
          <w:sz w:val="24"/>
          <w:szCs w:val="24"/>
        </w:rPr>
        <w:t xml:space="preserve"> essential</w:t>
      </w:r>
      <w:r w:rsidR="007548D9" w:rsidRPr="00391C31">
        <w:rPr>
          <w:rFonts w:ascii="Times New Roman" w:hAnsi="Times New Roman"/>
          <w:sz w:val="24"/>
          <w:szCs w:val="24"/>
        </w:rPr>
        <w:t xml:space="preserve"> panoply of services provided on-site at ADHC centers.</w:t>
      </w:r>
      <w:r w:rsidR="003C593B" w:rsidRPr="00391C31">
        <w:rPr>
          <w:rStyle w:val="FootnoteReference"/>
          <w:rFonts w:ascii="Times New Roman" w:hAnsi="Times New Roman"/>
          <w:sz w:val="24"/>
          <w:szCs w:val="24"/>
        </w:rPr>
        <w:footnoteReference w:id="17"/>
      </w:r>
      <w:r w:rsidR="003C593B" w:rsidRPr="00391C31">
        <w:rPr>
          <w:rFonts w:ascii="Times New Roman" w:hAnsi="Times New Roman"/>
          <w:sz w:val="24"/>
          <w:szCs w:val="24"/>
        </w:rPr>
        <w:t xml:space="preserve"> </w:t>
      </w:r>
      <w:r w:rsidR="00E82C7F" w:rsidRPr="00391C31">
        <w:rPr>
          <w:rFonts w:ascii="Times New Roman" w:hAnsi="Times New Roman"/>
          <w:sz w:val="24"/>
          <w:szCs w:val="24"/>
        </w:rPr>
        <w:t xml:space="preserve"> </w:t>
      </w:r>
    </w:p>
    <w:p w:rsidR="00F04D7C" w:rsidRPr="00391C31" w:rsidRDefault="00726D1D" w:rsidP="00391C31">
      <w:pPr>
        <w:autoSpaceDE w:val="0"/>
        <w:autoSpaceDN w:val="0"/>
        <w:adjustRightInd w:val="0"/>
        <w:spacing w:after="0" w:line="480" w:lineRule="exact"/>
        <w:ind w:firstLine="720"/>
        <w:rPr>
          <w:rFonts w:ascii="Times New Roman" w:hAnsi="Times New Roman"/>
          <w:sz w:val="24"/>
          <w:szCs w:val="24"/>
        </w:rPr>
      </w:pPr>
      <w:r>
        <w:rPr>
          <w:rFonts w:ascii="Times New Roman" w:hAnsi="Times New Roman"/>
          <w:noProof/>
          <w:sz w:val="24"/>
          <w:szCs w:val="24"/>
        </w:rPr>
        <w:pict>
          <v:shape id="_x0000_s1050" type="#_x0000_t202" style="position:absolute;left:0;text-align:left;margin-left:-45pt;margin-top:-.75pt;width:36pt;height:10in;z-index:2516828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ZgdQIAAPs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9A0B2D" w:rsidRPr="00391C31">
        <w:rPr>
          <w:rFonts w:ascii="Times New Roman" w:hAnsi="Times New Roman"/>
          <w:sz w:val="24"/>
          <w:szCs w:val="24"/>
        </w:rPr>
        <w:t xml:space="preserve">Rather than undertaking </w:t>
      </w:r>
      <w:r w:rsidR="00E70772" w:rsidRPr="00391C31">
        <w:rPr>
          <w:rFonts w:ascii="Times New Roman" w:hAnsi="Times New Roman"/>
          <w:sz w:val="24"/>
          <w:szCs w:val="24"/>
        </w:rPr>
        <w:t>concrete</w:t>
      </w:r>
      <w:r w:rsidR="009A0B2D" w:rsidRPr="00391C31">
        <w:rPr>
          <w:rFonts w:ascii="Times New Roman" w:hAnsi="Times New Roman"/>
          <w:sz w:val="24"/>
          <w:szCs w:val="24"/>
        </w:rPr>
        <w:t xml:space="preserve"> and extensive efforts to actually </w:t>
      </w:r>
      <w:r w:rsidR="000F0493" w:rsidRPr="00391C31">
        <w:rPr>
          <w:rFonts w:ascii="Times New Roman" w:hAnsi="Times New Roman"/>
          <w:sz w:val="24"/>
          <w:szCs w:val="24"/>
        </w:rPr>
        <w:t>ensure</w:t>
      </w:r>
      <w:r w:rsidR="009A0B2D" w:rsidRPr="00391C31">
        <w:rPr>
          <w:rFonts w:ascii="Times New Roman" w:hAnsi="Times New Roman"/>
          <w:sz w:val="24"/>
          <w:szCs w:val="24"/>
        </w:rPr>
        <w:t xml:space="preserve"> ADHC recipients </w:t>
      </w:r>
      <w:r w:rsidR="000F0493" w:rsidRPr="00391C31">
        <w:rPr>
          <w:rFonts w:ascii="Times New Roman" w:hAnsi="Times New Roman"/>
          <w:sz w:val="24"/>
          <w:szCs w:val="24"/>
        </w:rPr>
        <w:t xml:space="preserve">are not </w:t>
      </w:r>
      <w:r w:rsidR="009A0B2D" w:rsidRPr="00391C31">
        <w:rPr>
          <w:rFonts w:ascii="Times New Roman" w:hAnsi="Times New Roman"/>
          <w:sz w:val="24"/>
          <w:szCs w:val="24"/>
        </w:rPr>
        <w:t>imperiled with declining</w:t>
      </w:r>
      <w:r w:rsidR="004F07A3" w:rsidRPr="00391C31">
        <w:rPr>
          <w:rFonts w:ascii="Times New Roman" w:hAnsi="Times New Roman"/>
          <w:sz w:val="24"/>
          <w:szCs w:val="24"/>
        </w:rPr>
        <w:t xml:space="preserve"> physical and mental </w:t>
      </w:r>
      <w:r w:rsidR="009A0B2D" w:rsidRPr="00391C31">
        <w:rPr>
          <w:rFonts w:ascii="Times New Roman" w:hAnsi="Times New Roman"/>
          <w:sz w:val="24"/>
          <w:szCs w:val="24"/>
        </w:rPr>
        <w:t xml:space="preserve">health and institutionalization, Defendants instead attempt to shift their responsibilities under the ADA to </w:t>
      </w:r>
      <w:r w:rsidR="00D377ED" w:rsidRPr="00391C31">
        <w:rPr>
          <w:rFonts w:ascii="Times New Roman" w:hAnsi="Times New Roman"/>
          <w:sz w:val="24"/>
          <w:szCs w:val="24"/>
        </w:rPr>
        <w:t>other S</w:t>
      </w:r>
      <w:r w:rsidR="003035C9" w:rsidRPr="00391C31">
        <w:rPr>
          <w:rFonts w:ascii="Times New Roman" w:hAnsi="Times New Roman"/>
          <w:sz w:val="24"/>
          <w:szCs w:val="24"/>
        </w:rPr>
        <w:t>tate and local agencies, and, largely,</w:t>
      </w:r>
      <w:r w:rsidR="004F07A3" w:rsidRPr="00391C31">
        <w:rPr>
          <w:rFonts w:ascii="Times New Roman" w:hAnsi="Times New Roman"/>
          <w:sz w:val="24"/>
          <w:szCs w:val="24"/>
        </w:rPr>
        <w:t xml:space="preserve"> to</w:t>
      </w:r>
      <w:r w:rsidR="003035C9" w:rsidRPr="00391C31">
        <w:rPr>
          <w:rFonts w:ascii="Times New Roman" w:hAnsi="Times New Roman"/>
          <w:sz w:val="24"/>
          <w:szCs w:val="24"/>
        </w:rPr>
        <w:t xml:space="preserve"> </w:t>
      </w:r>
      <w:r w:rsidR="009A0B2D" w:rsidRPr="00391C31">
        <w:rPr>
          <w:rFonts w:ascii="Times New Roman" w:hAnsi="Times New Roman"/>
          <w:sz w:val="24"/>
          <w:szCs w:val="24"/>
        </w:rPr>
        <w:t>ADHC providers</w:t>
      </w:r>
      <w:r w:rsidR="002E52AC">
        <w:rPr>
          <w:rFonts w:ascii="Times New Roman" w:hAnsi="Times New Roman"/>
          <w:sz w:val="24"/>
          <w:szCs w:val="24"/>
        </w:rPr>
        <w:t xml:space="preserve">, even as </w:t>
      </w:r>
      <w:r w:rsidR="003C593B">
        <w:rPr>
          <w:rFonts w:ascii="Times New Roman" w:hAnsi="Times New Roman"/>
          <w:sz w:val="24"/>
          <w:szCs w:val="24"/>
        </w:rPr>
        <w:t>those providers</w:t>
      </w:r>
      <w:r w:rsidR="002E52AC">
        <w:rPr>
          <w:rFonts w:ascii="Times New Roman" w:hAnsi="Times New Roman"/>
          <w:sz w:val="24"/>
          <w:szCs w:val="24"/>
        </w:rPr>
        <w:t xml:space="preserve"> are on the verge of shutting their doors</w:t>
      </w:r>
      <w:r w:rsidR="003035C9" w:rsidRPr="00391C31">
        <w:rPr>
          <w:rFonts w:ascii="Times New Roman" w:hAnsi="Times New Roman"/>
          <w:sz w:val="24"/>
          <w:szCs w:val="24"/>
        </w:rPr>
        <w:t>.  The</w:t>
      </w:r>
      <w:r w:rsidR="00A74172" w:rsidRPr="00391C31">
        <w:rPr>
          <w:rFonts w:ascii="Times New Roman" w:hAnsi="Times New Roman"/>
          <w:sz w:val="24"/>
          <w:szCs w:val="24"/>
        </w:rPr>
        <w:t xml:space="preserve"> Defendants</w:t>
      </w:r>
      <w:r w:rsidR="003035C9" w:rsidRPr="00391C31">
        <w:rPr>
          <w:rFonts w:ascii="Times New Roman" w:hAnsi="Times New Roman"/>
          <w:sz w:val="24"/>
          <w:szCs w:val="24"/>
        </w:rPr>
        <w:t xml:space="preserve"> have </w:t>
      </w:r>
      <w:r w:rsidR="00A74172" w:rsidRPr="00391C31">
        <w:rPr>
          <w:rFonts w:ascii="Times New Roman" w:hAnsi="Times New Roman"/>
          <w:sz w:val="24"/>
          <w:szCs w:val="24"/>
        </w:rPr>
        <w:t xml:space="preserve">not provided </w:t>
      </w:r>
      <w:r w:rsidR="009A0B2D" w:rsidRPr="00391C31">
        <w:rPr>
          <w:rFonts w:ascii="Times New Roman" w:hAnsi="Times New Roman"/>
          <w:sz w:val="24"/>
          <w:szCs w:val="24"/>
        </w:rPr>
        <w:t>specific instructions</w:t>
      </w:r>
      <w:r w:rsidR="00FD2B4B">
        <w:rPr>
          <w:rFonts w:ascii="Times New Roman" w:hAnsi="Times New Roman"/>
          <w:sz w:val="24"/>
          <w:szCs w:val="24"/>
        </w:rPr>
        <w:t xml:space="preserve"> to ADHC providers</w:t>
      </w:r>
      <w:r w:rsidR="009A0B2D" w:rsidRPr="00391C31">
        <w:rPr>
          <w:rFonts w:ascii="Times New Roman" w:hAnsi="Times New Roman"/>
          <w:sz w:val="24"/>
          <w:szCs w:val="24"/>
        </w:rPr>
        <w:t xml:space="preserve"> regarding discharge planning, </w:t>
      </w:r>
      <w:r w:rsidR="00FD2B4B">
        <w:rPr>
          <w:rFonts w:ascii="Times New Roman" w:hAnsi="Times New Roman"/>
          <w:sz w:val="24"/>
          <w:szCs w:val="24"/>
        </w:rPr>
        <w:t xml:space="preserve">availability of </w:t>
      </w:r>
      <w:r w:rsidR="009A0B2D" w:rsidRPr="00391C31">
        <w:rPr>
          <w:rFonts w:ascii="Times New Roman" w:hAnsi="Times New Roman"/>
          <w:sz w:val="24"/>
          <w:szCs w:val="24"/>
        </w:rPr>
        <w:t xml:space="preserve">replacement services, timeliness, monitoring post-discharge, </w:t>
      </w:r>
      <w:r w:rsidR="00FD2B4B">
        <w:rPr>
          <w:rFonts w:ascii="Times New Roman" w:hAnsi="Times New Roman"/>
          <w:sz w:val="24"/>
          <w:szCs w:val="24"/>
        </w:rPr>
        <w:t>or</w:t>
      </w:r>
      <w:r w:rsidR="009A0B2D" w:rsidRPr="00391C31">
        <w:rPr>
          <w:rFonts w:ascii="Times New Roman" w:hAnsi="Times New Roman"/>
          <w:sz w:val="24"/>
          <w:szCs w:val="24"/>
        </w:rPr>
        <w:t xml:space="preserve"> funding</w:t>
      </w:r>
      <w:r w:rsidR="00FD2B4B">
        <w:rPr>
          <w:rFonts w:ascii="Times New Roman" w:hAnsi="Times New Roman"/>
          <w:sz w:val="24"/>
          <w:szCs w:val="24"/>
        </w:rPr>
        <w:t xml:space="preserve"> of the transition process</w:t>
      </w:r>
      <w:r w:rsidR="009A0B2D" w:rsidRPr="00391C31">
        <w:rPr>
          <w:rFonts w:ascii="Times New Roman" w:hAnsi="Times New Roman"/>
          <w:sz w:val="24"/>
          <w:szCs w:val="24"/>
        </w:rPr>
        <w:t>.</w:t>
      </w:r>
      <w:r w:rsidR="007548D9" w:rsidRPr="00391C31">
        <w:rPr>
          <w:rStyle w:val="FootnoteReference"/>
          <w:rFonts w:ascii="Times New Roman" w:hAnsi="Times New Roman"/>
          <w:sz w:val="24"/>
          <w:szCs w:val="24"/>
        </w:rPr>
        <w:footnoteReference w:id="18"/>
      </w:r>
      <w:r w:rsidR="009A0B2D" w:rsidRPr="00391C31">
        <w:rPr>
          <w:rFonts w:ascii="Times New Roman" w:hAnsi="Times New Roman"/>
          <w:sz w:val="24"/>
          <w:szCs w:val="24"/>
        </w:rPr>
        <w:t xml:space="preserve">  This Court previously found such an approach to meeting the State’s obligations under title II to be “cavalier.”  </w:t>
      </w:r>
      <w:r w:rsidR="009A0B2D" w:rsidRPr="00391C31">
        <w:rPr>
          <w:rFonts w:ascii="Times New Roman" w:hAnsi="Times New Roman"/>
          <w:i/>
          <w:color w:val="000000"/>
          <w:sz w:val="24"/>
          <w:szCs w:val="24"/>
        </w:rPr>
        <w:t>Brantley</w:t>
      </w:r>
      <w:r w:rsidR="009A0B2D" w:rsidRPr="00391C31">
        <w:rPr>
          <w:rFonts w:ascii="Times New Roman" w:hAnsi="Times New Roman"/>
          <w:color w:val="000000"/>
          <w:sz w:val="24"/>
          <w:szCs w:val="24"/>
        </w:rPr>
        <w:t>, 656 F. Supp. 2d at 1174</w:t>
      </w:r>
      <w:r w:rsidRPr="00391C31">
        <w:rPr>
          <w:rFonts w:ascii="Times New Roman" w:hAnsi="Times New Roman"/>
          <w:color w:val="000000"/>
          <w:sz w:val="24"/>
          <w:szCs w:val="24"/>
        </w:rPr>
        <w:fldChar w:fldCharType="begin"/>
      </w:r>
      <w:r w:rsidR="00A60A96" w:rsidRPr="00391C31">
        <w:rPr>
          <w:rFonts w:ascii="Times New Roman" w:hAnsi="Times New Roman"/>
          <w:sz w:val="24"/>
          <w:szCs w:val="24"/>
        </w:rPr>
        <w:instrText xml:space="preserve"> TA \s "Brantley v. Maxwell-Jolly, 656 F. Supp. 2d 1161 (N.D. Cal. 2009)" </w:instrText>
      </w:r>
      <w:r w:rsidRPr="00391C31">
        <w:rPr>
          <w:rFonts w:ascii="Times New Roman" w:hAnsi="Times New Roman"/>
          <w:color w:val="000000"/>
          <w:sz w:val="24"/>
          <w:szCs w:val="24"/>
        </w:rPr>
        <w:fldChar w:fldCharType="end"/>
      </w:r>
      <w:r w:rsidR="009A0B2D" w:rsidRPr="00391C31">
        <w:rPr>
          <w:rFonts w:ascii="Times New Roman" w:hAnsi="Times New Roman"/>
          <w:color w:val="000000"/>
          <w:sz w:val="24"/>
          <w:szCs w:val="24"/>
        </w:rPr>
        <w:t xml:space="preserve">.  </w:t>
      </w:r>
      <w:r w:rsidR="007548D9" w:rsidRPr="00391C31">
        <w:rPr>
          <w:rFonts w:ascii="Times New Roman" w:hAnsi="Times New Roman"/>
          <w:sz w:val="24"/>
          <w:szCs w:val="24"/>
        </w:rPr>
        <w:t>Indeed, D</w:t>
      </w:r>
      <w:r w:rsidR="00A243F2" w:rsidRPr="00391C31">
        <w:rPr>
          <w:rFonts w:ascii="Times New Roman" w:hAnsi="Times New Roman"/>
          <w:sz w:val="24"/>
          <w:szCs w:val="24"/>
        </w:rPr>
        <w:t xml:space="preserve">efendants “bear the burden of ensuring more than a ‘theoretical’ availability” of alternative services to meet needs outlined in Plaintiffs IPCs </w:t>
      </w:r>
      <w:r w:rsidR="004129A7" w:rsidRPr="00391C31">
        <w:rPr>
          <w:rFonts w:ascii="Times New Roman" w:hAnsi="Times New Roman"/>
          <w:sz w:val="24"/>
          <w:szCs w:val="24"/>
        </w:rPr>
        <w:t>in order to satisfy D</w:t>
      </w:r>
      <w:r w:rsidR="00A243F2" w:rsidRPr="00391C31">
        <w:rPr>
          <w:rFonts w:ascii="Times New Roman" w:hAnsi="Times New Roman"/>
          <w:sz w:val="24"/>
          <w:szCs w:val="24"/>
        </w:rPr>
        <w:t xml:space="preserve">efendants’ obligations under the </w:t>
      </w:r>
      <w:r w:rsidR="00BE4C0A" w:rsidRPr="00391C31">
        <w:rPr>
          <w:rFonts w:ascii="Times New Roman" w:hAnsi="Times New Roman"/>
          <w:sz w:val="24"/>
          <w:szCs w:val="24"/>
        </w:rPr>
        <w:t>ADA</w:t>
      </w:r>
      <w:r w:rsidR="00A243F2" w:rsidRPr="00391C31">
        <w:rPr>
          <w:rFonts w:ascii="Times New Roman" w:hAnsi="Times New Roman"/>
          <w:sz w:val="24"/>
          <w:szCs w:val="24"/>
        </w:rPr>
        <w:t xml:space="preserve">.  </w:t>
      </w:r>
      <w:r w:rsidR="007548D9" w:rsidRPr="00391C31">
        <w:rPr>
          <w:rFonts w:ascii="Times New Roman" w:hAnsi="Times New Roman"/>
          <w:i/>
          <w:sz w:val="24"/>
          <w:szCs w:val="24"/>
        </w:rPr>
        <w:t>Id</w:t>
      </w:r>
      <w:r w:rsidR="00BE4C0A" w:rsidRPr="00391C31">
        <w:rPr>
          <w:rFonts w:ascii="Times New Roman" w:hAnsi="Times New Roman"/>
          <w:sz w:val="24"/>
          <w:szCs w:val="24"/>
        </w:rPr>
        <w:t>;</w:t>
      </w:r>
      <w:r w:rsidR="00A243F2" w:rsidRPr="00391C31">
        <w:rPr>
          <w:rFonts w:ascii="Times New Roman" w:hAnsi="Times New Roman"/>
          <w:sz w:val="24"/>
          <w:szCs w:val="24"/>
        </w:rPr>
        <w:t xml:space="preserve"> </w:t>
      </w:r>
      <w:r w:rsidR="00BE4C0A" w:rsidRPr="00391C31">
        <w:rPr>
          <w:rFonts w:ascii="Times New Roman" w:hAnsi="Times New Roman"/>
          <w:i/>
          <w:color w:val="000000"/>
          <w:sz w:val="24"/>
          <w:szCs w:val="24"/>
        </w:rPr>
        <w:t>see also</w:t>
      </w:r>
      <w:r w:rsidR="00BE4C0A" w:rsidRPr="00391C31">
        <w:rPr>
          <w:rFonts w:ascii="Times New Roman" w:hAnsi="Times New Roman"/>
          <w:sz w:val="24"/>
          <w:szCs w:val="24"/>
        </w:rPr>
        <w:t xml:space="preserve"> </w:t>
      </w:r>
      <w:r w:rsidR="00BE4C0A" w:rsidRPr="00391C31">
        <w:rPr>
          <w:rFonts w:ascii="Times New Roman" w:hAnsi="Times New Roman"/>
          <w:i/>
          <w:sz w:val="24"/>
          <w:szCs w:val="24"/>
        </w:rPr>
        <w:t>Ball v. Rodgers</w:t>
      </w:r>
      <w:r w:rsidR="00BE4C0A" w:rsidRPr="00391C31">
        <w:rPr>
          <w:rFonts w:ascii="Times New Roman" w:hAnsi="Times New Roman"/>
          <w:sz w:val="24"/>
          <w:szCs w:val="24"/>
        </w:rPr>
        <w:t>, No. 00-cv-67, 2009 WL 1395423, at *5 (D. Ariz. April 24, 2009)</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"Ball v. Rogers, 2009 WL 13954235 (D. Ariz. April 24, 2009)" </w:instrText>
      </w:r>
      <w:r w:rsidRPr="00391C31">
        <w:rPr>
          <w:rFonts w:ascii="Times New Roman" w:hAnsi="Times New Roman"/>
          <w:sz w:val="24"/>
          <w:szCs w:val="24"/>
        </w:rPr>
        <w:fldChar w:fldCharType="end"/>
      </w:r>
      <w:r w:rsidR="00BE4C0A" w:rsidRPr="00391C31">
        <w:rPr>
          <w:rFonts w:ascii="Times New Roman" w:hAnsi="Times New Roman"/>
          <w:sz w:val="24"/>
          <w:szCs w:val="24"/>
        </w:rPr>
        <w:t xml:space="preserve"> (state defendants violated title II’s integration mandate because their “failure to provide adequate services to avoid unnecessary gaps in service and institutionalization was discriminatory.”) </w:t>
      </w:r>
    </w:p>
    <w:p w:rsidR="00733583" w:rsidRPr="00391C31" w:rsidRDefault="00726D1D" w:rsidP="00BD0704">
      <w:pPr>
        <w:pStyle w:val="SubHeading3"/>
        <w:outlineLvl w:val="3"/>
      </w:pPr>
      <w:r>
        <w:rPr>
          <w:noProof/>
        </w:rPr>
        <w:pict>
          <v:shape id="_x0000_s1075" type="#_x0000_t202" style="position:absolute;left:0;text-align:left;margin-left:-43.5pt;margin-top:-1.5pt;width:36pt;height:10in;z-index:2517043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z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" o:allowincell="f" stroked="f">
            <v:textbox style="mso-next-textbox:#_x0000_s1075" inset="0,0,0,0">
              <w:txbxContent>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8</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9</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10</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18</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19</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20</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28</w:t>
                  </w:r>
                </w:p>
                <w:p w:rsidR="00F76F7D" w:rsidRDefault="00F76F7D" w:rsidP="00F76F7D">
                  <w:pPr>
                    <w:spacing w:after="0" w:line="480" w:lineRule="exact"/>
                    <w:jc w:val="right"/>
                  </w:pPr>
                </w:p>
              </w:txbxContent>
            </v:textbox>
            <w10:wrap anchorx="margin" anchory="margin"/>
          </v:shape>
        </w:pict>
      </w:r>
      <w:bookmarkStart w:id="12" w:name="_Toc298266489"/>
      <w:r w:rsidR="003549DC" w:rsidRPr="00391C31">
        <w:t xml:space="preserve">The request that the implementation of AB 97 occur in a manner that minimizes disruptions in care that put </w:t>
      </w:r>
      <w:r w:rsidR="00F42088" w:rsidRPr="00391C31">
        <w:t>Plaintiffs</w:t>
      </w:r>
      <w:r w:rsidR="003549DC" w:rsidRPr="00391C31">
        <w:t xml:space="preserve"> </w:t>
      </w:r>
      <w:r w:rsidR="000F0493" w:rsidRPr="00391C31">
        <w:t xml:space="preserve">and others similarly situated </w:t>
      </w:r>
      <w:r w:rsidR="003549DC" w:rsidRPr="00391C31">
        <w:t xml:space="preserve">at risk of entry into costly institutional settings is reasonable and does not </w:t>
      </w:r>
      <w:r w:rsidR="00C70270">
        <w:t>fundamentally alter Defendants’</w:t>
      </w:r>
      <w:r w:rsidR="00DA2917">
        <w:t xml:space="preserve"> overall program of services</w:t>
      </w:r>
      <w:bookmarkEnd w:id="12"/>
      <w:r w:rsidR="003549DC" w:rsidRPr="00391C31">
        <w:t xml:space="preserve">   </w:t>
      </w:r>
    </w:p>
    <w:p w:rsidR="00E70772" w:rsidRPr="00391C31" w:rsidRDefault="00480DC6" w:rsidP="00391C31">
      <w:pPr>
        <w:autoSpaceDE w:val="0"/>
        <w:autoSpaceDN w:val="0"/>
        <w:adjustRightInd w:val="0"/>
        <w:spacing w:after="0" w:line="480" w:lineRule="exact"/>
        <w:ind w:firstLine="720"/>
        <w:rPr>
          <w:rFonts w:ascii="Times New Roman" w:hAnsi="Times New Roman"/>
          <w:sz w:val="24"/>
          <w:szCs w:val="24"/>
        </w:rPr>
      </w:pPr>
      <w:r w:rsidRPr="00391C31">
        <w:rPr>
          <w:rFonts w:ascii="Times New Roman" w:hAnsi="Times New Roman"/>
          <w:sz w:val="24"/>
          <w:szCs w:val="24"/>
        </w:rPr>
        <w:t>It is entirely reasonable</w:t>
      </w:r>
      <w:r w:rsidR="00017FEE">
        <w:rPr>
          <w:rFonts w:ascii="Times New Roman" w:hAnsi="Times New Roman"/>
          <w:sz w:val="24"/>
          <w:szCs w:val="24"/>
        </w:rPr>
        <w:t>, and not a fundamental alteration</w:t>
      </w:r>
      <w:r w:rsidR="00FD2B4B">
        <w:rPr>
          <w:rFonts w:ascii="Times New Roman" w:hAnsi="Times New Roman"/>
          <w:sz w:val="24"/>
          <w:szCs w:val="24"/>
        </w:rPr>
        <w:t xml:space="preserve"> of the Defendants’ programs</w:t>
      </w:r>
      <w:r w:rsidR="00017FEE">
        <w:rPr>
          <w:rFonts w:ascii="Times New Roman" w:hAnsi="Times New Roman"/>
          <w:sz w:val="24"/>
          <w:szCs w:val="24"/>
        </w:rPr>
        <w:t>,</w:t>
      </w:r>
      <w:r w:rsidRPr="00391C31">
        <w:rPr>
          <w:rFonts w:ascii="Times New Roman" w:hAnsi="Times New Roman"/>
          <w:sz w:val="24"/>
          <w:szCs w:val="24"/>
        </w:rPr>
        <w:t xml:space="preserve"> for Plaintiffs to request that the State, which is undertaking a dramatic elimination of a critical program for</w:t>
      </w:r>
      <w:r w:rsidR="00A74172" w:rsidRPr="00391C31">
        <w:rPr>
          <w:rFonts w:ascii="Times New Roman" w:hAnsi="Times New Roman"/>
          <w:sz w:val="24"/>
          <w:szCs w:val="24"/>
        </w:rPr>
        <w:t xml:space="preserve"> one of</w:t>
      </w:r>
      <w:r w:rsidRPr="00391C31">
        <w:rPr>
          <w:rFonts w:ascii="Times New Roman" w:hAnsi="Times New Roman"/>
          <w:sz w:val="24"/>
          <w:szCs w:val="24"/>
        </w:rPr>
        <w:t xml:space="preserve"> California’s most vulnerable population</w:t>
      </w:r>
      <w:r w:rsidR="00E7284F">
        <w:rPr>
          <w:rFonts w:ascii="Times New Roman" w:hAnsi="Times New Roman"/>
          <w:sz w:val="24"/>
          <w:szCs w:val="24"/>
        </w:rPr>
        <w:t>s</w:t>
      </w:r>
      <w:r w:rsidRPr="00391C31">
        <w:rPr>
          <w:rFonts w:ascii="Times New Roman" w:hAnsi="Times New Roman"/>
          <w:sz w:val="24"/>
          <w:szCs w:val="24"/>
        </w:rPr>
        <w:t>, ensure that the service alteration does not place individuals at risk of institutionalization</w:t>
      </w:r>
      <w:r w:rsidR="00E7284F">
        <w:rPr>
          <w:rFonts w:ascii="Times New Roman" w:hAnsi="Times New Roman"/>
          <w:sz w:val="24"/>
          <w:szCs w:val="24"/>
        </w:rPr>
        <w:t xml:space="preserve"> in violation of the ADA</w:t>
      </w:r>
      <w:r w:rsidRPr="00391C31">
        <w:rPr>
          <w:rFonts w:ascii="Times New Roman" w:hAnsi="Times New Roman"/>
          <w:sz w:val="24"/>
          <w:szCs w:val="24"/>
        </w:rPr>
        <w:t xml:space="preserve">.  </w:t>
      </w:r>
    </w:p>
    <w:p w:rsidR="00733583" w:rsidRPr="00391C31" w:rsidRDefault="00726D1D" w:rsidP="00391C31">
      <w:pPr>
        <w:spacing w:after="0" w:line="480" w:lineRule="exact"/>
        <w:ind w:firstLine="720"/>
        <w:rPr>
          <w:rFonts w:ascii="Times New Roman" w:hAnsi="Times New Roman"/>
          <w:sz w:val="24"/>
          <w:szCs w:val="24"/>
        </w:rPr>
      </w:pPr>
      <w:r>
        <w:rPr>
          <w:rFonts w:ascii="Times New Roman" w:hAnsi="Times New Roman"/>
          <w:noProof/>
          <w:sz w:val="24"/>
          <w:szCs w:val="24"/>
        </w:rPr>
        <w:pict>
          <v:shape id="_x0000_s1052" type="#_x0000_t202" style="position:absolute;left:0;text-align:left;margin-left:-45pt;margin-top:0;width:36pt;height:10in;z-index:2516848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017FEE">
        <w:rPr>
          <w:rFonts w:ascii="Times New Roman" w:hAnsi="Times New Roman"/>
          <w:sz w:val="24"/>
          <w:szCs w:val="24"/>
        </w:rPr>
        <w:t>H</w:t>
      </w:r>
      <w:r w:rsidR="00E70772" w:rsidRPr="00391C31">
        <w:rPr>
          <w:rFonts w:ascii="Times New Roman" w:hAnsi="Times New Roman"/>
          <w:sz w:val="24"/>
          <w:szCs w:val="24"/>
        </w:rPr>
        <w:t>astily</w:t>
      </w:r>
      <w:r w:rsidR="00480DC6" w:rsidRPr="00391C31">
        <w:rPr>
          <w:rFonts w:ascii="Times New Roman" w:hAnsi="Times New Roman"/>
          <w:sz w:val="24"/>
          <w:szCs w:val="24"/>
        </w:rPr>
        <w:t xml:space="preserve"> t</w:t>
      </w:r>
      <w:r w:rsidR="00733583" w:rsidRPr="00391C31">
        <w:rPr>
          <w:rFonts w:ascii="Times New Roman" w:hAnsi="Times New Roman"/>
          <w:sz w:val="24"/>
          <w:szCs w:val="24"/>
        </w:rPr>
        <w:t>erminating ADHC</w:t>
      </w:r>
      <w:r w:rsidR="00480DC6" w:rsidRPr="00391C31">
        <w:rPr>
          <w:rFonts w:ascii="Times New Roman" w:hAnsi="Times New Roman"/>
          <w:sz w:val="24"/>
          <w:szCs w:val="24"/>
        </w:rPr>
        <w:t xml:space="preserve"> services</w:t>
      </w:r>
      <w:r w:rsidR="00733583" w:rsidRPr="00391C31">
        <w:rPr>
          <w:rFonts w:ascii="Times New Roman" w:hAnsi="Times New Roman"/>
          <w:sz w:val="24"/>
          <w:szCs w:val="24"/>
        </w:rPr>
        <w:t xml:space="preserve"> without </w:t>
      </w:r>
      <w:r w:rsidR="00480DC6" w:rsidRPr="00391C31">
        <w:rPr>
          <w:rFonts w:ascii="Times New Roman" w:hAnsi="Times New Roman"/>
          <w:sz w:val="24"/>
          <w:szCs w:val="24"/>
        </w:rPr>
        <w:t xml:space="preserve">ensuring </w:t>
      </w:r>
      <w:r w:rsidR="00733583" w:rsidRPr="00391C31">
        <w:rPr>
          <w:rFonts w:ascii="Times New Roman" w:hAnsi="Times New Roman"/>
          <w:sz w:val="24"/>
          <w:szCs w:val="24"/>
        </w:rPr>
        <w:t xml:space="preserve">that sufficient alternative services are provided will cost the State more money, despite </w:t>
      </w:r>
      <w:r w:rsidR="004129A7" w:rsidRPr="00391C31">
        <w:rPr>
          <w:rFonts w:ascii="Times New Roman" w:hAnsi="Times New Roman"/>
          <w:sz w:val="24"/>
          <w:szCs w:val="24"/>
        </w:rPr>
        <w:t>AB 97’s purpose to address the S</w:t>
      </w:r>
      <w:r w:rsidR="00733583" w:rsidRPr="00391C31">
        <w:rPr>
          <w:rFonts w:ascii="Times New Roman" w:hAnsi="Times New Roman"/>
          <w:sz w:val="24"/>
          <w:szCs w:val="24"/>
        </w:rPr>
        <w:t xml:space="preserve">tate’s budget deficit.  </w:t>
      </w:r>
      <w:r w:rsidR="00BA2492" w:rsidRPr="00391C31">
        <w:rPr>
          <w:rFonts w:ascii="Times New Roman" w:hAnsi="Times New Roman"/>
          <w:sz w:val="24"/>
          <w:szCs w:val="24"/>
        </w:rPr>
        <w:t>Defendants ask this Court to rely solely</w:t>
      </w:r>
      <w:r w:rsidR="00733583" w:rsidRPr="00391C31">
        <w:rPr>
          <w:rFonts w:ascii="Times New Roman" w:hAnsi="Times New Roman"/>
          <w:sz w:val="24"/>
          <w:szCs w:val="24"/>
        </w:rPr>
        <w:t xml:space="preserve"> on the Legislature’s belief that dis</w:t>
      </w:r>
      <w:r w:rsidR="004129A7" w:rsidRPr="00391C31">
        <w:rPr>
          <w:rFonts w:ascii="Times New Roman" w:hAnsi="Times New Roman"/>
          <w:sz w:val="24"/>
          <w:szCs w:val="24"/>
        </w:rPr>
        <w:t>continuing ADHC would save the S</w:t>
      </w:r>
      <w:r w:rsidR="00733583" w:rsidRPr="00391C31">
        <w:rPr>
          <w:rFonts w:ascii="Times New Roman" w:hAnsi="Times New Roman"/>
          <w:sz w:val="24"/>
          <w:szCs w:val="24"/>
        </w:rPr>
        <w:t>tate money</w:t>
      </w:r>
      <w:r w:rsidR="00BA2492" w:rsidRPr="00391C31">
        <w:rPr>
          <w:rFonts w:ascii="Times New Roman" w:hAnsi="Times New Roman"/>
          <w:sz w:val="24"/>
          <w:szCs w:val="24"/>
        </w:rPr>
        <w:t xml:space="preserve">, and entirely </w:t>
      </w:r>
      <w:r w:rsidR="002E52AC">
        <w:rPr>
          <w:rFonts w:ascii="Times New Roman" w:hAnsi="Times New Roman"/>
          <w:sz w:val="24"/>
          <w:szCs w:val="24"/>
        </w:rPr>
        <w:t>disregard</w:t>
      </w:r>
      <w:r w:rsidR="008E178F" w:rsidRPr="00391C31">
        <w:rPr>
          <w:rFonts w:ascii="Times New Roman" w:hAnsi="Times New Roman"/>
          <w:sz w:val="24"/>
          <w:szCs w:val="24"/>
        </w:rPr>
        <w:t xml:space="preserve"> evidence</w:t>
      </w:r>
      <w:r w:rsidR="00BA2492" w:rsidRPr="00391C31">
        <w:rPr>
          <w:rFonts w:ascii="Times New Roman" w:hAnsi="Times New Roman"/>
          <w:sz w:val="24"/>
          <w:szCs w:val="24"/>
        </w:rPr>
        <w:t xml:space="preserve"> that the elimination of ADHC services would cost the State $51 million more than it saves in the first year alone</w:t>
      </w:r>
      <w:r w:rsidR="006C7B9B" w:rsidRPr="00391C31">
        <w:rPr>
          <w:rFonts w:ascii="Times New Roman" w:hAnsi="Times New Roman"/>
          <w:sz w:val="24"/>
          <w:szCs w:val="24"/>
        </w:rPr>
        <w:t>, due to increased hospitalizations and placements in nursing facilities</w:t>
      </w:r>
      <w:r w:rsidR="00BA2492" w:rsidRPr="00391C31">
        <w:rPr>
          <w:rFonts w:ascii="Times New Roman" w:hAnsi="Times New Roman"/>
          <w:sz w:val="24"/>
          <w:szCs w:val="24"/>
        </w:rPr>
        <w:t xml:space="preserve">. </w:t>
      </w:r>
      <w:r w:rsidR="006C7B9B" w:rsidRPr="00391C31">
        <w:rPr>
          <w:rFonts w:ascii="Times New Roman" w:hAnsi="Times New Roman"/>
          <w:sz w:val="24"/>
          <w:szCs w:val="24"/>
        </w:rPr>
        <w:t xml:space="preserve"> </w:t>
      </w:r>
      <w:r w:rsidR="00BA2492" w:rsidRPr="00391C31">
        <w:rPr>
          <w:rFonts w:ascii="Times New Roman" w:hAnsi="Times New Roman"/>
          <w:sz w:val="24"/>
          <w:szCs w:val="24"/>
        </w:rPr>
        <w:t>(</w:t>
      </w:r>
      <w:r w:rsidR="00BA2492" w:rsidRPr="00391C31">
        <w:rPr>
          <w:rFonts w:ascii="Times New Roman" w:hAnsi="Times New Roman"/>
          <w:i/>
          <w:sz w:val="24"/>
          <w:szCs w:val="24"/>
        </w:rPr>
        <w:t>See</w:t>
      </w:r>
      <w:r w:rsidR="00BA2492" w:rsidRPr="00391C31">
        <w:rPr>
          <w:rFonts w:ascii="Times New Roman" w:hAnsi="Times New Roman"/>
          <w:sz w:val="24"/>
          <w:szCs w:val="24"/>
        </w:rPr>
        <w:t xml:space="preserve"> Defs.’ Br. at 8; Ex. B to Auerbach Decl.,</w:t>
      </w:r>
      <w:r w:rsidR="008E178F" w:rsidRPr="00391C31">
        <w:rPr>
          <w:rFonts w:ascii="Times New Roman" w:hAnsi="Times New Roman"/>
          <w:sz w:val="24"/>
          <w:szCs w:val="24"/>
        </w:rPr>
        <w:t xml:space="preserve"> The Lewin Group, “Projected Economic Impact of Eliminating California’s Medi-Cal Adult Day Health Care Program” (“Lewin Study”),</w:t>
      </w:r>
      <w:r w:rsidR="00BA2492" w:rsidRPr="00391C31">
        <w:rPr>
          <w:rFonts w:ascii="Times New Roman" w:hAnsi="Times New Roman"/>
          <w:sz w:val="24"/>
          <w:szCs w:val="24"/>
        </w:rPr>
        <w:t xml:space="preserve"> at 1.)</w:t>
      </w:r>
      <w:r w:rsidR="00733583" w:rsidRPr="00391C31">
        <w:rPr>
          <w:rFonts w:ascii="Times New Roman" w:hAnsi="Times New Roman"/>
          <w:sz w:val="24"/>
          <w:szCs w:val="24"/>
        </w:rPr>
        <w:t xml:space="preserve">  </w:t>
      </w:r>
      <w:r w:rsidR="00A36640" w:rsidRPr="00391C31">
        <w:rPr>
          <w:rFonts w:ascii="Times New Roman" w:hAnsi="Times New Roman"/>
          <w:sz w:val="24"/>
          <w:szCs w:val="24"/>
        </w:rPr>
        <w:t xml:space="preserve">And Defendants have not offered any analysis of the expense involved with </w:t>
      </w:r>
      <w:r w:rsidR="00FD2B4B">
        <w:rPr>
          <w:rFonts w:ascii="Times New Roman" w:hAnsi="Times New Roman"/>
          <w:sz w:val="24"/>
          <w:szCs w:val="24"/>
        </w:rPr>
        <w:t xml:space="preserve">former ADHC participants’ </w:t>
      </w:r>
      <w:r w:rsidR="00A36640" w:rsidRPr="00391C31">
        <w:rPr>
          <w:rFonts w:ascii="Times New Roman" w:hAnsi="Times New Roman"/>
          <w:sz w:val="24"/>
          <w:szCs w:val="24"/>
        </w:rPr>
        <w:t xml:space="preserve">increased utilization of alternative </w:t>
      </w:r>
      <w:r w:rsidR="00B551C9" w:rsidRPr="00685365">
        <w:rPr>
          <w:rFonts w:ascii="Times New Roman" w:hAnsi="Times New Roman"/>
          <w:sz w:val="24"/>
          <w:szCs w:val="24"/>
        </w:rPr>
        <w:t>home and community-based</w:t>
      </w:r>
      <w:r w:rsidR="00A36640" w:rsidRPr="00685365">
        <w:rPr>
          <w:rFonts w:ascii="Times New Roman" w:hAnsi="Times New Roman"/>
          <w:sz w:val="24"/>
          <w:szCs w:val="24"/>
        </w:rPr>
        <w:t xml:space="preserve"> services</w:t>
      </w:r>
      <w:r w:rsidR="00A36640" w:rsidRPr="00391C31">
        <w:rPr>
          <w:rFonts w:ascii="Times New Roman" w:hAnsi="Times New Roman"/>
          <w:sz w:val="24"/>
          <w:szCs w:val="24"/>
        </w:rPr>
        <w:t xml:space="preserve">, if any such services are in fact available.  </w:t>
      </w:r>
      <w:r w:rsidR="00A36640" w:rsidRPr="00FD2B4B">
        <w:rPr>
          <w:rFonts w:ascii="Times New Roman" w:hAnsi="Times New Roman"/>
          <w:sz w:val="24"/>
          <w:szCs w:val="24"/>
        </w:rPr>
        <w:t>(</w:t>
      </w:r>
      <w:r w:rsidR="00C12251" w:rsidRPr="00FD2B4B">
        <w:rPr>
          <w:rFonts w:ascii="Times New Roman" w:hAnsi="Times New Roman"/>
          <w:i/>
          <w:sz w:val="24"/>
          <w:szCs w:val="24"/>
        </w:rPr>
        <w:t>See</w:t>
      </w:r>
      <w:r w:rsidR="00A36640" w:rsidRPr="00FD2B4B">
        <w:rPr>
          <w:rFonts w:ascii="Times New Roman" w:hAnsi="Times New Roman"/>
          <w:sz w:val="24"/>
          <w:szCs w:val="24"/>
        </w:rPr>
        <w:t xml:space="preserve"> </w:t>
      </w:r>
      <w:r w:rsidR="00685365" w:rsidRPr="00FD2B4B">
        <w:rPr>
          <w:rFonts w:ascii="Times New Roman" w:hAnsi="Times New Roman"/>
          <w:sz w:val="24"/>
          <w:szCs w:val="24"/>
        </w:rPr>
        <w:t>Decl. of Leslie Hendrickson, PhD</w:t>
      </w:r>
      <w:r w:rsidR="00CD3546">
        <w:rPr>
          <w:rFonts w:ascii="Times New Roman" w:hAnsi="Times New Roman"/>
          <w:sz w:val="24"/>
          <w:szCs w:val="24"/>
        </w:rPr>
        <w:t>, ECF No. 287,</w:t>
      </w:r>
      <w:r w:rsidR="00685365" w:rsidRPr="00FD2B4B">
        <w:rPr>
          <w:rFonts w:ascii="Times New Roman" w:hAnsi="Times New Roman"/>
          <w:sz w:val="24"/>
          <w:szCs w:val="24"/>
        </w:rPr>
        <w:t xml:space="preserve"> (“Hendrickson Decl.”)</w:t>
      </w:r>
      <w:r w:rsidR="00A36640" w:rsidRPr="00FD2B4B">
        <w:rPr>
          <w:rFonts w:ascii="Times New Roman" w:hAnsi="Times New Roman"/>
          <w:sz w:val="24"/>
          <w:szCs w:val="24"/>
        </w:rPr>
        <w:t xml:space="preserve"> ¶ 40.)</w:t>
      </w:r>
    </w:p>
    <w:p w:rsidR="009E7AB8" w:rsidRPr="00391C31" w:rsidRDefault="00726D1D" w:rsidP="00391C31">
      <w:pPr>
        <w:autoSpaceDE w:val="0"/>
        <w:autoSpaceDN w:val="0"/>
        <w:adjustRightInd w:val="0"/>
        <w:spacing w:after="0" w:line="480" w:lineRule="exact"/>
        <w:ind w:firstLine="720"/>
        <w:rPr>
          <w:rFonts w:ascii="Times New Roman" w:hAnsi="Times New Roman"/>
          <w:sz w:val="24"/>
          <w:szCs w:val="24"/>
        </w:rPr>
      </w:pPr>
      <w:r>
        <w:rPr>
          <w:rFonts w:ascii="Times New Roman" w:hAnsi="Times New Roman"/>
          <w:noProof/>
          <w:sz w:val="24"/>
          <w:szCs w:val="24"/>
        </w:rPr>
        <w:pict>
          <v:shape id="_x0000_s1070" type="#_x0000_t202" style="position:absolute;left:0;text-align:left;margin-left:-44.25pt;margin-top:-2.25pt;width:36pt;height:10in;z-index:2517002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J1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" o:allowincell="f" stroked="f">
            <v:textbox inset="0,0,0,0">
              <w:txbxContent>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685365">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685365">
                  <w:pPr>
                    <w:spacing w:after="0" w:line="480" w:lineRule="exact"/>
                    <w:jc w:val="right"/>
                  </w:pPr>
                </w:p>
              </w:txbxContent>
            </v:textbox>
            <w10:wrap anchorx="margin" anchory="margin"/>
          </v:shape>
        </w:pict>
      </w:r>
      <w:r w:rsidR="00FD2B4B">
        <w:rPr>
          <w:rFonts w:ascii="Times New Roman" w:hAnsi="Times New Roman"/>
          <w:sz w:val="24"/>
          <w:szCs w:val="24"/>
        </w:rPr>
        <w:t>Instead, D</w:t>
      </w:r>
      <w:r w:rsidR="00017FEE">
        <w:rPr>
          <w:rFonts w:ascii="Times New Roman" w:hAnsi="Times New Roman"/>
          <w:sz w:val="24"/>
          <w:szCs w:val="24"/>
        </w:rPr>
        <w:t>efendants’ fundamental alteration argument rests primarily upon the unsupported and incorrect assertion that federal financial participation would necessarily be unavailable to the State for continuing ADHC services in the short term.</w:t>
      </w:r>
      <w:r w:rsidR="009E7AB8" w:rsidRPr="00391C31">
        <w:rPr>
          <w:rFonts w:ascii="Times New Roman" w:hAnsi="Times New Roman"/>
          <w:sz w:val="24"/>
          <w:szCs w:val="24"/>
        </w:rPr>
        <w:t xml:space="preserve">  (</w:t>
      </w:r>
      <w:r w:rsidR="009E7AB8" w:rsidRPr="00391C31">
        <w:rPr>
          <w:rFonts w:ascii="Times New Roman" w:hAnsi="Times New Roman"/>
          <w:i/>
          <w:sz w:val="24"/>
          <w:szCs w:val="24"/>
        </w:rPr>
        <w:t>See</w:t>
      </w:r>
      <w:r w:rsidR="009E7AB8" w:rsidRPr="00391C31">
        <w:rPr>
          <w:rFonts w:ascii="Times New Roman" w:hAnsi="Times New Roman"/>
          <w:sz w:val="24"/>
          <w:szCs w:val="24"/>
        </w:rPr>
        <w:t xml:space="preserve"> Defs.’ Br. at 13, 17-18).  Nothing in federal Medicaid law prohibits the State from requesting</w:t>
      </w:r>
      <w:r w:rsidR="00A74172" w:rsidRPr="00391C31">
        <w:rPr>
          <w:rFonts w:ascii="Times New Roman" w:hAnsi="Times New Roman"/>
          <w:sz w:val="24"/>
          <w:szCs w:val="24"/>
        </w:rPr>
        <w:t xml:space="preserve">, through another State Plan Amendment to </w:t>
      </w:r>
      <w:r w:rsidR="009E7AB8" w:rsidRPr="00391C31">
        <w:rPr>
          <w:rFonts w:ascii="Times New Roman" w:hAnsi="Times New Roman"/>
          <w:sz w:val="24"/>
          <w:szCs w:val="24"/>
        </w:rPr>
        <w:t>CMS</w:t>
      </w:r>
      <w:r w:rsidR="00FD2B4B">
        <w:rPr>
          <w:rFonts w:ascii="Times New Roman" w:hAnsi="Times New Roman"/>
          <w:sz w:val="24"/>
          <w:szCs w:val="24"/>
        </w:rPr>
        <w:t>,</w:t>
      </w:r>
      <w:r w:rsidR="00A74172" w:rsidRPr="00391C31">
        <w:rPr>
          <w:rFonts w:ascii="Times New Roman" w:hAnsi="Times New Roman"/>
          <w:sz w:val="24"/>
          <w:szCs w:val="24"/>
        </w:rPr>
        <w:t xml:space="preserve"> to</w:t>
      </w:r>
      <w:r w:rsidR="009E7AB8" w:rsidRPr="00391C31">
        <w:rPr>
          <w:rFonts w:ascii="Times New Roman" w:hAnsi="Times New Roman"/>
          <w:sz w:val="24"/>
          <w:szCs w:val="24"/>
        </w:rPr>
        <w:t xml:space="preserve"> alter or</w:t>
      </w:r>
      <w:r w:rsidR="00A74172" w:rsidRPr="00391C31">
        <w:rPr>
          <w:rFonts w:ascii="Times New Roman" w:hAnsi="Times New Roman"/>
          <w:sz w:val="24"/>
          <w:szCs w:val="24"/>
        </w:rPr>
        <w:t xml:space="preserve"> restore the ADHC service</w:t>
      </w:r>
      <w:r w:rsidR="00017FEE">
        <w:rPr>
          <w:rFonts w:ascii="Times New Roman" w:hAnsi="Times New Roman"/>
          <w:sz w:val="24"/>
          <w:szCs w:val="24"/>
        </w:rPr>
        <w:t xml:space="preserve"> as a Medi-Cal benefit</w:t>
      </w:r>
      <w:r w:rsidR="00A74172" w:rsidRPr="00391C31">
        <w:rPr>
          <w:rFonts w:ascii="Times New Roman" w:hAnsi="Times New Roman"/>
          <w:sz w:val="24"/>
          <w:szCs w:val="24"/>
        </w:rPr>
        <w:t>, or</w:t>
      </w:r>
      <w:r w:rsidR="009E7AB8" w:rsidRPr="00391C31">
        <w:rPr>
          <w:rFonts w:ascii="Times New Roman" w:hAnsi="Times New Roman"/>
          <w:sz w:val="24"/>
          <w:szCs w:val="24"/>
        </w:rPr>
        <w:t xml:space="preserve"> delay the effective date of the State’s approved State Plan Amendment removing ADHC as a covered service.</w:t>
      </w:r>
      <w:r w:rsidR="009E7AB8" w:rsidRPr="00391C31">
        <w:rPr>
          <w:rStyle w:val="FootnoteReference"/>
          <w:rFonts w:ascii="Times New Roman" w:hAnsi="Times New Roman"/>
          <w:sz w:val="24"/>
          <w:szCs w:val="24"/>
        </w:rPr>
        <w:footnoteReference w:id="19"/>
      </w:r>
      <w:r w:rsidR="009E7AB8" w:rsidRPr="00391C31">
        <w:rPr>
          <w:rFonts w:ascii="Times New Roman" w:hAnsi="Times New Roman"/>
          <w:sz w:val="24"/>
          <w:szCs w:val="24"/>
        </w:rPr>
        <w:t xml:space="preserve">  </w:t>
      </w:r>
      <w:r w:rsidR="00017FEE">
        <w:rPr>
          <w:rFonts w:ascii="Times New Roman" w:hAnsi="Times New Roman"/>
          <w:sz w:val="24"/>
          <w:szCs w:val="24"/>
        </w:rPr>
        <w:t xml:space="preserve">In fact, CMS has already expressed its willingness to consider such an amendment.  </w:t>
      </w:r>
      <w:r w:rsidR="00F834C7" w:rsidRPr="00FD2B4B">
        <w:rPr>
          <w:rFonts w:ascii="Times New Roman" w:hAnsi="Times New Roman"/>
          <w:sz w:val="24"/>
          <w:szCs w:val="24"/>
        </w:rPr>
        <w:t>(</w:t>
      </w:r>
      <w:r w:rsidR="00F834C7" w:rsidRPr="00DE1F67">
        <w:rPr>
          <w:rFonts w:ascii="Times New Roman" w:hAnsi="Times New Roman"/>
          <w:i/>
          <w:sz w:val="24"/>
          <w:szCs w:val="24"/>
        </w:rPr>
        <w:t>See</w:t>
      </w:r>
      <w:r w:rsidR="00F834C7" w:rsidRPr="00DE1F67">
        <w:rPr>
          <w:rFonts w:ascii="Times New Roman" w:hAnsi="Times New Roman"/>
          <w:sz w:val="24"/>
          <w:szCs w:val="24"/>
        </w:rPr>
        <w:t xml:space="preserve"> Ex. </w:t>
      </w:r>
      <w:r w:rsidR="00BD0704" w:rsidRPr="00DE1F67">
        <w:rPr>
          <w:rFonts w:ascii="Times New Roman" w:hAnsi="Times New Roman"/>
          <w:sz w:val="24"/>
          <w:szCs w:val="24"/>
        </w:rPr>
        <w:t>D</w:t>
      </w:r>
      <w:r w:rsidR="00F834C7" w:rsidRPr="00DE1F67">
        <w:rPr>
          <w:rFonts w:ascii="Times New Roman" w:hAnsi="Times New Roman"/>
          <w:sz w:val="24"/>
          <w:szCs w:val="24"/>
        </w:rPr>
        <w:t xml:space="preserve"> to </w:t>
      </w:r>
      <w:r w:rsidR="00FD2B4B" w:rsidRPr="00DE1F67">
        <w:rPr>
          <w:rFonts w:ascii="Times New Roman" w:hAnsi="Times New Roman"/>
          <w:sz w:val="24"/>
          <w:szCs w:val="24"/>
        </w:rPr>
        <w:t>Gershon</w:t>
      </w:r>
      <w:r w:rsidR="00432302">
        <w:rPr>
          <w:rFonts w:ascii="Times New Roman" w:hAnsi="Times New Roman"/>
          <w:sz w:val="24"/>
          <w:szCs w:val="24"/>
        </w:rPr>
        <w:t xml:space="preserve"> Decl.</w:t>
      </w:r>
      <w:r w:rsidR="00C70270" w:rsidRPr="00DE1F67">
        <w:rPr>
          <w:rFonts w:ascii="Times New Roman" w:hAnsi="Times New Roman"/>
          <w:sz w:val="24"/>
          <w:szCs w:val="24"/>
        </w:rPr>
        <w:t>,</w:t>
      </w:r>
      <w:r w:rsidR="00FD2B4B" w:rsidRPr="00DE1F67">
        <w:rPr>
          <w:rFonts w:ascii="Times New Roman" w:hAnsi="Times New Roman"/>
          <w:sz w:val="24"/>
          <w:szCs w:val="24"/>
        </w:rPr>
        <w:t xml:space="preserve"> </w:t>
      </w:r>
      <w:r w:rsidR="00432302">
        <w:rPr>
          <w:rFonts w:ascii="Times New Roman" w:hAnsi="Times New Roman"/>
          <w:sz w:val="24"/>
          <w:szCs w:val="24"/>
        </w:rPr>
        <w:t>“</w:t>
      </w:r>
      <w:r w:rsidR="00FD2B4B" w:rsidRPr="00DE1F67">
        <w:rPr>
          <w:rFonts w:ascii="Times New Roman" w:hAnsi="Times New Roman"/>
          <w:sz w:val="24"/>
          <w:szCs w:val="24"/>
        </w:rPr>
        <w:t>Jul. 12, 2011 Letter from CMS  to Elissa Gershon.</w:t>
      </w:r>
      <w:r w:rsidR="00432302">
        <w:rPr>
          <w:rFonts w:ascii="Times New Roman" w:hAnsi="Times New Roman"/>
          <w:sz w:val="24"/>
          <w:szCs w:val="24"/>
        </w:rPr>
        <w:t>”</w:t>
      </w:r>
      <w:r w:rsidR="00BD0704" w:rsidRPr="00DE1F67">
        <w:rPr>
          <w:rFonts w:ascii="Times New Roman" w:hAnsi="Times New Roman"/>
          <w:sz w:val="24"/>
          <w:szCs w:val="24"/>
        </w:rPr>
        <w:t>)</w:t>
      </w:r>
      <w:r w:rsidR="00FD2B4B">
        <w:rPr>
          <w:rFonts w:ascii="Times New Roman" w:hAnsi="Times New Roman"/>
          <w:sz w:val="24"/>
          <w:szCs w:val="24"/>
        </w:rPr>
        <w:t xml:space="preserve"> </w:t>
      </w:r>
      <w:r w:rsidR="009E7AB8" w:rsidRPr="00391C31">
        <w:rPr>
          <w:rFonts w:ascii="Times New Roman" w:hAnsi="Times New Roman"/>
          <w:sz w:val="24"/>
          <w:szCs w:val="24"/>
        </w:rPr>
        <w:t xml:space="preserve"> </w:t>
      </w:r>
      <w:r w:rsidR="009E7AB8" w:rsidRPr="00017FEE">
        <w:rPr>
          <w:rFonts w:ascii="Times New Roman" w:hAnsi="Times New Roman"/>
          <w:sz w:val="24"/>
          <w:szCs w:val="24"/>
        </w:rPr>
        <w:t xml:space="preserve">And CMS has indicated in numerous communications that it will work with states to assist them in meeting their independent obligations under title II of the ADA and </w:t>
      </w:r>
      <w:r w:rsidR="009E7AB8" w:rsidRPr="00017FEE">
        <w:rPr>
          <w:rFonts w:ascii="Times New Roman" w:hAnsi="Times New Roman"/>
          <w:i/>
          <w:sz w:val="24"/>
          <w:szCs w:val="24"/>
        </w:rPr>
        <w:t>Olmstead</w:t>
      </w:r>
      <w:r w:rsidR="009E7AB8" w:rsidRPr="00017FEE">
        <w:rPr>
          <w:rFonts w:ascii="Times New Roman" w:hAnsi="Times New Roman"/>
          <w:sz w:val="24"/>
          <w:szCs w:val="24"/>
        </w:rPr>
        <w:t>.</w:t>
      </w:r>
      <w:r w:rsidR="009E7AB8" w:rsidRPr="00017FEE">
        <w:rPr>
          <w:rStyle w:val="FootnoteReference"/>
          <w:rFonts w:ascii="Times New Roman" w:hAnsi="Times New Roman"/>
          <w:sz w:val="24"/>
          <w:szCs w:val="24"/>
        </w:rPr>
        <w:footnoteReference w:id="20"/>
      </w:r>
      <w:r w:rsidR="009E7AB8" w:rsidRPr="00391C31">
        <w:rPr>
          <w:rFonts w:ascii="Times New Roman" w:hAnsi="Times New Roman"/>
          <w:sz w:val="24"/>
          <w:szCs w:val="24"/>
        </w:rPr>
        <w:t xml:space="preserve">  Other Courts have held that requiring a state to seek to alter or amend services reimbursable by CMS would not be a fundamental alteration.  </w:t>
      </w:r>
      <w:r w:rsidR="009E7AB8" w:rsidRPr="00391C31">
        <w:rPr>
          <w:rFonts w:ascii="Times New Roman" w:hAnsi="Times New Roman"/>
          <w:i/>
          <w:sz w:val="24"/>
          <w:szCs w:val="24"/>
        </w:rPr>
        <w:t>See, e.g.  Radaszewski ex rel. Radazewski v. Maram</w:t>
      </w:r>
      <w:r w:rsidR="009E7AB8" w:rsidRPr="00391C31">
        <w:rPr>
          <w:rFonts w:ascii="Times New Roman" w:hAnsi="Times New Roman"/>
          <w:sz w:val="24"/>
          <w:szCs w:val="24"/>
        </w:rPr>
        <w:t>, 383 F.3d 599, 611 (7th Cir. 2004)</w:t>
      </w:r>
      <w:r w:rsidRPr="00391C31">
        <w:rPr>
          <w:rFonts w:ascii="Times New Roman" w:hAnsi="Times New Roman"/>
          <w:sz w:val="24"/>
          <w:szCs w:val="24"/>
        </w:rPr>
        <w:fldChar w:fldCharType="begin"/>
      </w:r>
      <w:r w:rsidR="009E7AB8" w:rsidRPr="00391C31">
        <w:rPr>
          <w:rFonts w:ascii="Times New Roman" w:hAnsi="Times New Roman"/>
          <w:sz w:val="24"/>
          <w:szCs w:val="24"/>
        </w:rPr>
        <w:instrText xml:space="preserve"> TA \l "</w:instrText>
      </w:r>
      <w:r w:rsidR="009E7AB8" w:rsidRPr="00391C31">
        <w:rPr>
          <w:rFonts w:ascii="Times New Roman" w:hAnsi="Times New Roman"/>
          <w:i/>
          <w:sz w:val="24"/>
          <w:szCs w:val="24"/>
        </w:rPr>
        <w:instrText>Radaszewski ex rel. Radazewski v. Maram</w:instrText>
      </w:r>
      <w:r w:rsidR="009E7AB8" w:rsidRPr="00391C31">
        <w:rPr>
          <w:rFonts w:ascii="Times New Roman" w:hAnsi="Times New Roman"/>
          <w:sz w:val="24"/>
          <w:szCs w:val="24"/>
        </w:rPr>
        <w:instrText xml:space="preserve">, 383 F.3d 599 (7th Cir. 2004)" \s "Radaszewski ex rel. Radazewski v. Maram, 383 F.3d 599 (7th Cir. 2004)" \c 1 </w:instrText>
      </w:r>
      <w:r w:rsidRPr="00391C31">
        <w:rPr>
          <w:rFonts w:ascii="Times New Roman" w:hAnsi="Times New Roman"/>
          <w:sz w:val="24"/>
          <w:szCs w:val="24"/>
        </w:rPr>
        <w:fldChar w:fldCharType="end"/>
      </w:r>
      <w:r w:rsidR="009E7AB8" w:rsidRPr="00391C31">
        <w:rPr>
          <w:rFonts w:ascii="Times New Roman" w:hAnsi="Times New Roman"/>
          <w:sz w:val="24"/>
          <w:szCs w:val="24"/>
        </w:rPr>
        <w:t xml:space="preserve"> (requiring the state to modify the services provided via its waiver program </w:t>
      </w:r>
      <w:r w:rsidR="001D692E">
        <w:rPr>
          <w:rFonts w:ascii="Times New Roman" w:hAnsi="Times New Roman"/>
          <w:sz w:val="24"/>
          <w:szCs w:val="24"/>
        </w:rPr>
        <w:t>need</w:t>
      </w:r>
      <w:r w:rsidR="009E7AB8" w:rsidRPr="00391C31">
        <w:rPr>
          <w:rFonts w:ascii="Times New Roman" w:hAnsi="Times New Roman"/>
          <w:sz w:val="24"/>
          <w:szCs w:val="24"/>
        </w:rPr>
        <w:t xml:space="preserve"> not </w:t>
      </w:r>
      <w:r w:rsidR="001D692E">
        <w:rPr>
          <w:rFonts w:ascii="Times New Roman" w:hAnsi="Times New Roman"/>
          <w:sz w:val="24"/>
          <w:szCs w:val="24"/>
        </w:rPr>
        <w:t xml:space="preserve">be </w:t>
      </w:r>
      <w:r w:rsidR="009E7AB8" w:rsidRPr="00391C31">
        <w:rPr>
          <w:rFonts w:ascii="Times New Roman" w:hAnsi="Times New Roman"/>
          <w:sz w:val="24"/>
          <w:szCs w:val="24"/>
        </w:rPr>
        <w:t xml:space="preserve">a fundamental alteration); </w:t>
      </w:r>
      <w:r w:rsidR="009E7AB8" w:rsidRPr="00391C31">
        <w:rPr>
          <w:rFonts w:ascii="Times New Roman" w:hAnsi="Times New Roman"/>
          <w:i/>
          <w:sz w:val="24"/>
          <w:szCs w:val="24"/>
        </w:rPr>
        <w:t>Grooms v. Maram</w:t>
      </w:r>
      <w:r w:rsidR="009E7AB8" w:rsidRPr="00391C31">
        <w:rPr>
          <w:rFonts w:ascii="Times New Roman" w:hAnsi="Times New Roman"/>
          <w:sz w:val="24"/>
          <w:szCs w:val="24"/>
        </w:rPr>
        <w:t>, 563 F. Supp. 2d 840, 857 (N.D. Ill. 2008)</w:t>
      </w:r>
      <w:r w:rsidRPr="00391C31">
        <w:rPr>
          <w:rFonts w:ascii="Times New Roman" w:hAnsi="Times New Roman"/>
          <w:sz w:val="24"/>
          <w:szCs w:val="24"/>
        </w:rPr>
        <w:fldChar w:fldCharType="begin"/>
      </w:r>
      <w:r w:rsidR="009E7AB8" w:rsidRPr="00391C31">
        <w:rPr>
          <w:rFonts w:ascii="Times New Roman" w:hAnsi="Times New Roman"/>
          <w:sz w:val="24"/>
          <w:szCs w:val="24"/>
        </w:rPr>
        <w:instrText xml:space="preserve"> TA \l "</w:instrText>
      </w:r>
      <w:r w:rsidR="009E7AB8" w:rsidRPr="00391C31">
        <w:rPr>
          <w:rFonts w:ascii="Times New Roman" w:hAnsi="Times New Roman"/>
          <w:i/>
          <w:sz w:val="24"/>
          <w:szCs w:val="24"/>
        </w:rPr>
        <w:instrText>Grooms v. Maram</w:instrText>
      </w:r>
      <w:r w:rsidR="009E7AB8" w:rsidRPr="00391C31">
        <w:rPr>
          <w:rFonts w:ascii="Times New Roman" w:hAnsi="Times New Roman"/>
          <w:sz w:val="24"/>
          <w:szCs w:val="24"/>
        </w:rPr>
        <w:instrText xml:space="preserve">, 563 F. Supp. 2d 840 (N.D. Ill. 2008)" \s "Grooms v. Maram, 563 F. Supp. 2d 840 (N.D. Ill. 2008)" \c 1 </w:instrText>
      </w:r>
      <w:r w:rsidRPr="00391C31">
        <w:rPr>
          <w:rFonts w:ascii="Times New Roman" w:hAnsi="Times New Roman"/>
          <w:sz w:val="24"/>
          <w:szCs w:val="24"/>
        </w:rPr>
        <w:fldChar w:fldCharType="end"/>
      </w:r>
      <w:r w:rsidR="009E7AB8" w:rsidRPr="00391C31">
        <w:rPr>
          <w:rFonts w:ascii="Times New Roman" w:hAnsi="Times New Roman"/>
          <w:sz w:val="24"/>
          <w:szCs w:val="24"/>
        </w:rPr>
        <w:t xml:space="preserve"> (requiring that the state </w:t>
      </w:r>
      <w:r w:rsidR="00017FEE">
        <w:rPr>
          <w:rFonts w:ascii="Times New Roman" w:hAnsi="Times New Roman"/>
          <w:sz w:val="24"/>
          <w:szCs w:val="24"/>
        </w:rPr>
        <w:t xml:space="preserve"> a</w:t>
      </w:r>
      <w:r w:rsidR="009E7AB8" w:rsidRPr="00391C31">
        <w:rPr>
          <w:rFonts w:ascii="Times New Roman" w:hAnsi="Times New Roman"/>
          <w:sz w:val="24"/>
          <w:szCs w:val="24"/>
        </w:rPr>
        <w:t xml:space="preserve">mend its waiver application in order to continue to provide the level of services plaintiff required to remain living in the community would not be a fundamental alteration).  </w:t>
      </w:r>
    </w:p>
    <w:p w:rsidR="00733583" w:rsidRPr="00391C31" w:rsidRDefault="00726D1D" w:rsidP="00391C31">
      <w:pPr>
        <w:spacing w:after="0" w:line="480" w:lineRule="exact"/>
        <w:ind w:firstLine="720"/>
        <w:rPr>
          <w:rFonts w:ascii="Times New Roman" w:hAnsi="Times New Roman"/>
          <w:sz w:val="24"/>
          <w:szCs w:val="24"/>
        </w:rPr>
      </w:pPr>
      <w:r>
        <w:rPr>
          <w:rFonts w:ascii="Times New Roman" w:hAnsi="Times New Roman"/>
          <w:noProof/>
          <w:sz w:val="24"/>
          <w:szCs w:val="24"/>
        </w:rPr>
        <w:pict>
          <v:shape id="_x0000_s1053" type="#_x0000_t202" style="position:absolute;left:0;text-align:left;margin-left:-44.25pt;margin-top:-1.5pt;width:36pt;height:10in;z-index:2516858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717D93" w:rsidRPr="00391C31">
        <w:rPr>
          <w:rFonts w:ascii="Times New Roman" w:hAnsi="Times New Roman"/>
          <w:sz w:val="24"/>
          <w:szCs w:val="24"/>
        </w:rPr>
        <w:t>T</w:t>
      </w:r>
      <w:r w:rsidR="00733583" w:rsidRPr="00391C31">
        <w:rPr>
          <w:rFonts w:ascii="Times New Roman" w:hAnsi="Times New Roman"/>
          <w:sz w:val="24"/>
          <w:szCs w:val="24"/>
        </w:rPr>
        <w:t xml:space="preserve">hat the State is experiencing a budget deficit does not exculpate it from complying with the </w:t>
      </w:r>
      <w:r w:rsidR="00733583" w:rsidRPr="00391C31">
        <w:rPr>
          <w:rFonts w:ascii="Times New Roman" w:hAnsi="Times New Roman"/>
          <w:i/>
          <w:sz w:val="24"/>
          <w:szCs w:val="24"/>
        </w:rPr>
        <w:t>Olmstead</w:t>
      </w:r>
      <w:r w:rsidR="00733583" w:rsidRPr="00391C31">
        <w:rPr>
          <w:rFonts w:ascii="Times New Roman" w:hAnsi="Times New Roman"/>
          <w:sz w:val="24"/>
          <w:szCs w:val="24"/>
        </w:rPr>
        <w:t xml:space="preserve"> integration mandate.  </w:t>
      </w:r>
      <w:r w:rsidR="00733583" w:rsidRPr="00391C31">
        <w:rPr>
          <w:rFonts w:ascii="Times New Roman" w:hAnsi="Times New Roman"/>
          <w:i/>
          <w:iCs/>
          <w:sz w:val="24"/>
          <w:szCs w:val="24"/>
        </w:rPr>
        <w:t>Fisher</w:t>
      </w:r>
      <w:r w:rsidR="00733583" w:rsidRPr="00391C31">
        <w:rPr>
          <w:rFonts w:ascii="Times New Roman" w:hAnsi="Times New Roman"/>
          <w:sz w:val="24"/>
          <w:szCs w:val="24"/>
        </w:rPr>
        <w:t xml:space="preserve">, 335 F.3d </w:t>
      </w:r>
      <w:r w:rsidR="004F07A3" w:rsidRPr="00391C31">
        <w:rPr>
          <w:rFonts w:ascii="Times New Roman" w:hAnsi="Times New Roman"/>
          <w:sz w:val="24"/>
          <w:szCs w:val="24"/>
        </w:rPr>
        <w:t>at 1183</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"Fisher v. Oklahoma Health Care Auth, 335 F.3d 1175 (10th Cir. 2003)"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(“that [a state] has a fiscal problem, by itself, does not lead to an automatic conclusion” that providi</w:t>
      </w:r>
      <w:r w:rsidR="004129A7" w:rsidRPr="00391C31">
        <w:rPr>
          <w:rFonts w:ascii="Times New Roman" w:hAnsi="Times New Roman"/>
          <w:sz w:val="24"/>
          <w:szCs w:val="24"/>
        </w:rPr>
        <w:t>ng the community services that p</w:t>
      </w:r>
      <w:r w:rsidR="00733583" w:rsidRPr="00391C31">
        <w:rPr>
          <w:rFonts w:ascii="Times New Roman" w:hAnsi="Times New Roman"/>
          <w:sz w:val="24"/>
          <w:szCs w:val="24"/>
        </w:rPr>
        <w:t>laintiffs seek would be a fundamental alteration)</w:t>
      </w:r>
      <w:r w:rsidR="001D692E">
        <w:rPr>
          <w:rFonts w:ascii="Times New Roman" w:hAnsi="Times New Roman"/>
          <w:sz w:val="24"/>
          <w:szCs w:val="24"/>
        </w:rPr>
        <w:t>.</w:t>
      </w:r>
      <w:r w:rsidR="00733583" w:rsidRPr="00391C31">
        <w:rPr>
          <w:rFonts w:ascii="Times New Roman" w:hAnsi="Times New Roman"/>
          <w:sz w:val="24"/>
          <w:szCs w:val="24"/>
        </w:rPr>
        <w:t xml:space="preserve">  Further, “[i]f every alteration in a program or service that required the outlay of funds were tantamount to a fundamental alteration, the ADA’s integration mandate would be hollow indeed.”  </w:t>
      </w:r>
      <w:r w:rsidR="00733583" w:rsidRPr="00391C31">
        <w:rPr>
          <w:rFonts w:ascii="Times New Roman" w:hAnsi="Times New Roman"/>
          <w:i/>
          <w:iCs/>
          <w:sz w:val="24"/>
          <w:szCs w:val="24"/>
        </w:rPr>
        <w:t>Fisher</w:t>
      </w:r>
      <w:r w:rsidR="00733583" w:rsidRPr="00391C31">
        <w:rPr>
          <w:rFonts w:ascii="Times New Roman" w:hAnsi="Times New Roman"/>
          <w:sz w:val="24"/>
          <w:szCs w:val="24"/>
        </w:rPr>
        <w:t>, 335 F.3d at 1183</w:t>
      </w:r>
      <w:r w:rsidR="003F7EE1" w:rsidRPr="00391C31">
        <w:rPr>
          <w:rFonts w:ascii="Times New Roman" w:hAnsi="Times New Roman"/>
          <w:sz w:val="24"/>
          <w:szCs w:val="24"/>
        </w:rPr>
        <w:t>;</w:t>
      </w:r>
      <w:r w:rsidR="000048E7" w:rsidRPr="00391C31">
        <w:rPr>
          <w:rFonts w:ascii="Times New Roman" w:hAnsi="Times New Roman"/>
          <w:sz w:val="24"/>
          <w:szCs w:val="24"/>
        </w:rPr>
        <w:t xml:space="preserve"> </w:t>
      </w:r>
      <w:r w:rsidR="003F7EE1" w:rsidRPr="00391C31">
        <w:rPr>
          <w:rFonts w:ascii="Times New Roman" w:hAnsi="Times New Roman"/>
          <w:i/>
          <w:iCs/>
          <w:sz w:val="24"/>
          <w:szCs w:val="24"/>
        </w:rPr>
        <w:t>s</w:t>
      </w:r>
      <w:r w:rsidR="00733583" w:rsidRPr="00391C31">
        <w:rPr>
          <w:rFonts w:ascii="Times New Roman" w:hAnsi="Times New Roman"/>
          <w:i/>
          <w:iCs/>
          <w:sz w:val="24"/>
          <w:szCs w:val="24"/>
        </w:rPr>
        <w:t>ee also Pennsylvania Protection and Advoc</w:t>
      </w:r>
      <w:r w:rsidR="000F0493" w:rsidRPr="00391C31">
        <w:rPr>
          <w:rFonts w:ascii="Times New Roman" w:hAnsi="Times New Roman"/>
          <w:i/>
          <w:iCs/>
          <w:sz w:val="24"/>
          <w:szCs w:val="24"/>
        </w:rPr>
        <w:t>acy, Inc. v. Pennsylvania Dept. o</w:t>
      </w:r>
      <w:r w:rsidR="00733583" w:rsidRPr="00391C31">
        <w:rPr>
          <w:rFonts w:ascii="Times New Roman" w:hAnsi="Times New Roman"/>
          <w:i/>
          <w:iCs/>
          <w:sz w:val="24"/>
          <w:szCs w:val="24"/>
        </w:rPr>
        <w:t>f Pub</w:t>
      </w:r>
      <w:r w:rsidR="000F0493" w:rsidRPr="00391C31">
        <w:rPr>
          <w:rFonts w:ascii="Times New Roman" w:hAnsi="Times New Roman"/>
          <w:i/>
          <w:iCs/>
          <w:sz w:val="24"/>
          <w:szCs w:val="24"/>
        </w:rPr>
        <w:t>.</w:t>
      </w:r>
      <w:r w:rsidR="00733583" w:rsidRPr="00391C31">
        <w:rPr>
          <w:rFonts w:ascii="Times New Roman" w:hAnsi="Times New Roman"/>
          <w:i/>
          <w:iCs/>
          <w:sz w:val="24"/>
          <w:szCs w:val="24"/>
        </w:rPr>
        <w:t xml:space="preserve"> Welfare</w:t>
      </w:r>
      <w:r w:rsidR="00733583" w:rsidRPr="00391C31">
        <w:rPr>
          <w:rFonts w:ascii="Times New Roman" w:hAnsi="Times New Roman"/>
          <w:sz w:val="24"/>
          <w:szCs w:val="24"/>
        </w:rPr>
        <w:t>, 402 F.3d 374, 380 (3d Cir. 2005)</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\l "</w:instrText>
      </w:r>
      <w:r w:rsidR="00A60A96" w:rsidRPr="00391C31">
        <w:rPr>
          <w:rFonts w:ascii="Times New Roman" w:hAnsi="Times New Roman"/>
          <w:i/>
          <w:iCs/>
          <w:sz w:val="24"/>
          <w:szCs w:val="24"/>
        </w:rPr>
        <w:instrText>Pennsylvania Protection and Advocacy, Inc. v. Pennsylvania Dept. of Pub. Welfare</w:instrText>
      </w:r>
      <w:r w:rsidR="00A60A96" w:rsidRPr="00391C31">
        <w:rPr>
          <w:rFonts w:ascii="Times New Roman" w:hAnsi="Times New Roman"/>
          <w:sz w:val="24"/>
          <w:szCs w:val="24"/>
        </w:rPr>
        <w:instrText xml:space="preserve">, 402 F.3d 374 (3d Cir. 2005)" \s "Pennsylvania Protection and Advocacy, Inc. v. Pennsylvania Dept. of Pub. Welfare, 402 F.3d 374 (3d Cir. 2005)" \c 1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Congress was aware that integration “will sometimes involve substantial short-term burdens, both financial and administrative,” but the long-term effects of integration “will benefit society as a whole.”  </w:t>
      </w:r>
      <w:r w:rsidR="00733583" w:rsidRPr="00391C31">
        <w:rPr>
          <w:rFonts w:ascii="Times New Roman" w:hAnsi="Times New Roman"/>
          <w:i/>
          <w:iCs/>
          <w:sz w:val="24"/>
          <w:szCs w:val="24"/>
        </w:rPr>
        <w:t>Fisher</w:t>
      </w:r>
      <w:r w:rsidR="00733583" w:rsidRPr="00391C31">
        <w:rPr>
          <w:rFonts w:ascii="Times New Roman" w:hAnsi="Times New Roman"/>
          <w:sz w:val="24"/>
          <w:szCs w:val="24"/>
        </w:rPr>
        <w:t>, 335 F.3d at 1183</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"Fisher v. Oklahoma Health Care Auth, 335 F.3d 1175 (10th Cir. 2003)"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r w:rsidR="00733583" w:rsidRPr="00391C31">
        <w:rPr>
          <w:rFonts w:ascii="Times New Roman" w:hAnsi="Times New Roman"/>
          <w:i/>
          <w:sz w:val="24"/>
          <w:szCs w:val="24"/>
        </w:rPr>
        <w:t>citing</w:t>
      </w:r>
      <w:r w:rsidR="00733583" w:rsidRPr="00391C31">
        <w:rPr>
          <w:rFonts w:ascii="Times New Roman" w:hAnsi="Times New Roman"/>
          <w:sz w:val="24"/>
          <w:szCs w:val="24"/>
        </w:rPr>
        <w:t>, H.R. Rep. No. 101-485, pt.3, at 50</w:t>
      </w:r>
      <w:r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\l "</w:instrText>
      </w:r>
      <w:r w:rsidR="006C552F" w:rsidRPr="00391C31">
        <w:rPr>
          <w:rFonts w:ascii="Times New Roman" w:hAnsi="Times New Roman"/>
          <w:sz w:val="24"/>
          <w:szCs w:val="24"/>
        </w:rPr>
        <w:instrText>H.R. Rep. No. 101-485</w:instrText>
      </w:r>
      <w:r w:rsidR="00A60A96" w:rsidRPr="00391C31">
        <w:rPr>
          <w:rFonts w:ascii="Times New Roman" w:hAnsi="Times New Roman"/>
          <w:sz w:val="24"/>
          <w:szCs w:val="24"/>
        </w:rPr>
        <w:instrText xml:space="preserve">" \s "H.R. Rep. No. 101-485" \c 3 </w:instrText>
      </w:r>
      <w:r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r w:rsidR="00733583" w:rsidRPr="00391C31">
        <w:rPr>
          <w:rFonts w:ascii="Times New Roman" w:hAnsi="Times New Roman"/>
          <w:i/>
          <w:sz w:val="24"/>
          <w:szCs w:val="24"/>
        </w:rPr>
        <w:t>reprinted</w:t>
      </w:r>
      <w:r w:rsidR="00733583" w:rsidRPr="00391C31">
        <w:rPr>
          <w:rFonts w:ascii="Times New Roman" w:hAnsi="Times New Roman"/>
          <w:sz w:val="24"/>
          <w:szCs w:val="24"/>
        </w:rPr>
        <w:t xml:space="preserve"> in</w:t>
      </w:r>
      <w:r w:rsidR="006C7B9B" w:rsidRPr="00391C31">
        <w:rPr>
          <w:rFonts w:ascii="Times New Roman" w:hAnsi="Times New Roman"/>
          <w:sz w:val="24"/>
          <w:szCs w:val="24"/>
        </w:rPr>
        <w:t xml:space="preserve"> 1990 U.S.C.C.A.N. 445,773.   Thus, Plaintiffs requested modification to Defendants’ planned elimination of the ADHC program is reasonable and will not fundamentally alter the Defendants’ programs.</w:t>
      </w:r>
    </w:p>
    <w:p w:rsidR="00717D93" w:rsidRPr="00391C31" w:rsidRDefault="00726D1D" w:rsidP="00391C31">
      <w:pPr>
        <w:spacing w:after="0" w:line="480" w:lineRule="exact"/>
        <w:ind w:firstLine="720"/>
        <w:rPr>
          <w:rFonts w:ascii="Times New Roman" w:hAnsi="Times New Roman"/>
          <w:sz w:val="24"/>
          <w:szCs w:val="24"/>
        </w:rPr>
      </w:pPr>
      <w:r>
        <w:rPr>
          <w:rFonts w:ascii="Times New Roman" w:hAnsi="Times New Roman"/>
          <w:noProof/>
          <w:sz w:val="24"/>
          <w:szCs w:val="24"/>
        </w:rPr>
        <w:pict>
          <v:shape id="_x0000_s1076" type="#_x0000_t202" style="position:absolute;left:0;text-align:left;margin-left:-44.25pt;margin-top:.75pt;width:36pt;height:10in;z-index:2517053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" o:allowincell="f" stroked="f">
            <v:textbox style="mso-next-textbox:#_x0000_s1076" inset="0,0,0,0">
              <w:txbxContent>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8</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9</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10</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18</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19</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20</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21</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22</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23</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24</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25</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26</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27</w:t>
                  </w:r>
                </w:p>
                <w:p w:rsidR="00F76F7D" w:rsidRDefault="00F76F7D" w:rsidP="00F76F7D">
                  <w:pPr>
                    <w:spacing w:after="0" w:line="480" w:lineRule="exact"/>
                    <w:jc w:val="right"/>
                    <w:rPr>
                      <w:rFonts w:ascii="Times New Roman" w:hAnsi="Times New Roman"/>
                      <w:sz w:val="24"/>
                      <w:szCs w:val="24"/>
                    </w:rPr>
                  </w:pPr>
                  <w:r>
                    <w:rPr>
                      <w:rFonts w:ascii="Times New Roman" w:hAnsi="Times New Roman"/>
                      <w:sz w:val="24"/>
                      <w:szCs w:val="24"/>
                    </w:rPr>
                    <w:t>28</w:t>
                  </w:r>
                </w:p>
                <w:p w:rsidR="00F76F7D" w:rsidRDefault="00F76F7D" w:rsidP="00F76F7D">
                  <w:pPr>
                    <w:spacing w:after="0" w:line="480" w:lineRule="exact"/>
                    <w:jc w:val="right"/>
                  </w:pPr>
                </w:p>
              </w:txbxContent>
            </v:textbox>
            <w10:wrap anchorx="margin" anchory="margin"/>
          </v:shape>
        </w:pict>
      </w:r>
      <w:r w:rsidR="00717D93" w:rsidRPr="00391C31">
        <w:rPr>
          <w:rFonts w:ascii="Times New Roman" w:hAnsi="Times New Roman"/>
          <w:sz w:val="24"/>
          <w:szCs w:val="24"/>
        </w:rPr>
        <w:t>In sum, Plaintiffs have established that they are likely to succeed on the merits of their ADA and Rehabilitation Act claims.</w:t>
      </w:r>
    </w:p>
    <w:p w:rsidR="00E24429" w:rsidRPr="00391C31" w:rsidRDefault="00733583" w:rsidP="00335E73">
      <w:pPr>
        <w:pStyle w:val="SubHeading2"/>
        <w:outlineLvl w:val="2"/>
      </w:pPr>
      <w:bookmarkStart w:id="13" w:name="_Toc266438959"/>
      <w:bookmarkStart w:id="14" w:name="_Toc298266490"/>
      <w:r w:rsidRPr="00391C31">
        <w:t xml:space="preserve">Plaintiffs Will Suffer Irreparable Harm </w:t>
      </w:r>
      <w:bookmarkEnd w:id="13"/>
      <w:r w:rsidR="00677F8B" w:rsidRPr="00391C31">
        <w:t>Absent a Preliminary Injunction</w:t>
      </w:r>
      <w:bookmarkEnd w:id="14"/>
    </w:p>
    <w:p w:rsidR="00733583" w:rsidRPr="00391C31" w:rsidRDefault="00BA2492" w:rsidP="00391C31">
      <w:pPr>
        <w:spacing w:after="0" w:line="480" w:lineRule="exact"/>
        <w:ind w:firstLine="720"/>
        <w:rPr>
          <w:rFonts w:ascii="Times New Roman" w:hAnsi="Times New Roman"/>
          <w:b/>
          <w:sz w:val="24"/>
          <w:szCs w:val="24"/>
        </w:rPr>
      </w:pPr>
      <w:r w:rsidRPr="00391C31">
        <w:rPr>
          <w:rFonts w:ascii="Times New Roman" w:hAnsi="Times New Roman"/>
          <w:sz w:val="24"/>
          <w:szCs w:val="24"/>
        </w:rPr>
        <w:t>As discussed above, t</w:t>
      </w:r>
      <w:r w:rsidR="00733583" w:rsidRPr="00391C31">
        <w:rPr>
          <w:rFonts w:ascii="Times New Roman" w:hAnsi="Times New Roman"/>
          <w:sz w:val="24"/>
          <w:szCs w:val="24"/>
        </w:rPr>
        <w:t xml:space="preserve">he elimination of ADHC services under AB 97 and </w:t>
      </w:r>
      <w:r w:rsidRPr="00391C31">
        <w:rPr>
          <w:rFonts w:ascii="Times New Roman" w:hAnsi="Times New Roman"/>
          <w:sz w:val="24"/>
          <w:szCs w:val="24"/>
        </w:rPr>
        <w:t>Defendants’</w:t>
      </w:r>
      <w:r w:rsidR="00733583" w:rsidRPr="00391C31">
        <w:rPr>
          <w:rFonts w:ascii="Times New Roman" w:hAnsi="Times New Roman"/>
          <w:sz w:val="24"/>
          <w:szCs w:val="24"/>
        </w:rPr>
        <w:t xml:space="preserve"> ill-conceived </w:t>
      </w:r>
      <w:r w:rsidR="00A74172" w:rsidRPr="00391C31">
        <w:rPr>
          <w:rFonts w:ascii="Times New Roman" w:hAnsi="Times New Roman"/>
          <w:sz w:val="24"/>
          <w:szCs w:val="24"/>
        </w:rPr>
        <w:t xml:space="preserve">and poorly described </w:t>
      </w:r>
      <w:r w:rsidR="00733583" w:rsidRPr="00391C31">
        <w:rPr>
          <w:rFonts w:ascii="Times New Roman" w:hAnsi="Times New Roman"/>
          <w:sz w:val="24"/>
          <w:szCs w:val="24"/>
        </w:rPr>
        <w:t xml:space="preserve">short term transition plan put </w:t>
      </w:r>
      <w:r w:rsidR="004129A7" w:rsidRPr="00391C31">
        <w:rPr>
          <w:rFonts w:ascii="Times New Roman" w:hAnsi="Times New Roman"/>
          <w:sz w:val="24"/>
          <w:szCs w:val="24"/>
        </w:rPr>
        <w:t>P</w:t>
      </w:r>
      <w:r w:rsidR="00733583" w:rsidRPr="00391C31">
        <w:rPr>
          <w:rFonts w:ascii="Times New Roman" w:hAnsi="Times New Roman"/>
          <w:sz w:val="24"/>
          <w:szCs w:val="24"/>
        </w:rPr>
        <w:t xml:space="preserve">laintiffs at </w:t>
      </w:r>
      <w:r w:rsidR="004F07A3" w:rsidRPr="00391C31">
        <w:rPr>
          <w:rFonts w:ascii="Times New Roman" w:hAnsi="Times New Roman"/>
          <w:sz w:val="24"/>
          <w:szCs w:val="24"/>
        </w:rPr>
        <w:t>serious</w:t>
      </w:r>
      <w:r w:rsidR="00733583" w:rsidRPr="00391C31">
        <w:rPr>
          <w:rFonts w:ascii="Times New Roman" w:hAnsi="Times New Roman"/>
          <w:sz w:val="24"/>
          <w:szCs w:val="24"/>
        </w:rPr>
        <w:t xml:space="preserve"> risk of unnecessary institutionalization</w:t>
      </w:r>
      <w:r w:rsidR="00773F92">
        <w:rPr>
          <w:rFonts w:ascii="Times New Roman" w:hAnsi="Times New Roman"/>
          <w:sz w:val="24"/>
          <w:szCs w:val="24"/>
        </w:rPr>
        <w:t>,</w:t>
      </w:r>
      <w:r w:rsidR="00733583" w:rsidRPr="00391C31">
        <w:rPr>
          <w:rFonts w:ascii="Times New Roman" w:hAnsi="Times New Roman"/>
          <w:sz w:val="24"/>
          <w:szCs w:val="24"/>
        </w:rPr>
        <w:t xml:space="preserve"> constituting irreparable harm.  In enjoining prior </w:t>
      </w:r>
      <w:r w:rsidR="00366B87" w:rsidRPr="00391C31">
        <w:rPr>
          <w:rFonts w:ascii="Times New Roman" w:hAnsi="Times New Roman"/>
          <w:sz w:val="24"/>
          <w:szCs w:val="24"/>
        </w:rPr>
        <w:t>reductions in available</w:t>
      </w:r>
      <w:r w:rsidR="00733583" w:rsidRPr="00391C31">
        <w:rPr>
          <w:rFonts w:ascii="Times New Roman" w:hAnsi="Times New Roman"/>
          <w:sz w:val="24"/>
          <w:szCs w:val="24"/>
        </w:rPr>
        <w:t xml:space="preserve"> ADHC</w:t>
      </w:r>
      <w:r w:rsidR="00366B87" w:rsidRPr="00391C31">
        <w:rPr>
          <w:rFonts w:ascii="Times New Roman" w:hAnsi="Times New Roman"/>
          <w:sz w:val="24"/>
          <w:szCs w:val="24"/>
        </w:rPr>
        <w:t xml:space="preserve"> services</w:t>
      </w:r>
      <w:r w:rsidR="00733583" w:rsidRPr="00391C31">
        <w:rPr>
          <w:rFonts w:ascii="Times New Roman" w:hAnsi="Times New Roman"/>
          <w:sz w:val="24"/>
          <w:szCs w:val="24"/>
        </w:rPr>
        <w:t xml:space="preserve">, this Court held that “the reduction or elimination of public medical benefits is sufficient to establish irreparable harm to those likely to be affected by the program cuts.” </w:t>
      </w:r>
      <w:r w:rsidR="00366B87" w:rsidRPr="00391C31">
        <w:rPr>
          <w:rFonts w:ascii="Times New Roman" w:hAnsi="Times New Roman"/>
          <w:sz w:val="24"/>
          <w:szCs w:val="24"/>
        </w:rPr>
        <w:t xml:space="preserve"> </w:t>
      </w:r>
      <w:r w:rsidR="00733583" w:rsidRPr="00391C31">
        <w:rPr>
          <w:rFonts w:ascii="Times New Roman" w:hAnsi="Times New Roman"/>
          <w:i/>
          <w:iCs/>
          <w:sz w:val="24"/>
          <w:szCs w:val="24"/>
        </w:rPr>
        <w:t xml:space="preserve">Cota, </w:t>
      </w:r>
      <w:r w:rsidR="00F77D8A" w:rsidRPr="00391C31">
        <w:rPr>
          <w:rFonts w:ascii="Times New Roman" w:hAnsi="Times New Roman"/>
          <w:sz w:val="24"/>
          <w:szCs w:val="24"/>
        </w:rPr>
        <w:t>68</w:t>
      </w:r>
      <w:r w:rsidR="00733583" w:rsidRPr="00391C31">
        <w:rPr>
          <w:rFonts w:ascii="Times New Roman" w:hAnsi="Times New Roman"/>
          <w:sz w:val="24"/>
          <w:szCs w:val="24"/>
        </w:rPr>
        <w:t xml:space="preserve">8 F. Supp. 2d </w:t>
      </w:r>
      <w:r w:rsidR="00F77D8A" w:rsidRPr="00391C31">
        <w:rPr>
          <w:rFonts w:ascii="Times New Roman" w:hAnsi="Times New Roman"/>
          <w:sz w:val="24"/>
          <w:szCs w:val="24"/>
        </w:rPr>
        <w:t xml:space="preserve">at </w:t>
      </w:r>
      <w:r w:rsidR="00733583" w:rsidRPr="00391C31">
        <w:rPr>
          <w:rFonts w:ascii="Times New Roman" w:hAnsi="Times New Roman"/>
          <w:sz w:val="24"/>
          <w:szCs w:val="24"/>
        </w:rPr>
        <w:t>997</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"Cota v. Maxwell-Jolly, 688 F. Supp. 2d 980 (N.D. Cal. 2010)" </w:instrText>
      </w:r>
      <w:r w:rsidR="00726D1D"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r w:rsidR="00733583" w:rsidRPr="00391C31">
        <w:rPr>
          <w:rFonts w:ascii="Times New Roman" w:hAnsi="Times New Roman"/>
          <w:i/>
          <w:iCs/>
          <w:sz w:val="24"/>
          <w:szCs w:val="24"/>
        </w:rPr>
        <w:t xml:space="preserve">Brantley, </w:t>
      </w:r>
      <w:r w:rsidR="00733583" w:rsidRPr="00391C31">
        <w:rPr>
          <w:rFonts w:ascii="Times New Roman" w:hAnsi="Times New Roman"/>
          <w:sz w:val="24"/>
          <w:szCs w:val="24"/>
        </w:rPr>
        <w:t xml:space="preserve">656 F. Supp. 2d </w:t>
      </w:r>
      <w:r w:rsidR="00F77D8A" w:rsidRPr="00391C31">
        <w:rPr>
          <w:rFonts w:ascii="Times New Roman" w:hAnsi="Times New Roman"/>
          <w:sz w:val="24"/>
          <w:szCs w:val="24"/>
        </w:rPr>
        <w:t xml:space="preserve">at </w:t>
      </w:r>
      <w:r w:rsidR="00733583" w:rsidRPr="00391C31">
        <w:rPr>
          <w:rFonts w:ascii="Times New Roman" w:hAnsi="Times New Roman"/>
          <w:sz w:val="24"/>
          <w:szCs w:val="24"/>
        </w:rPr>
        <w:t>1176</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r w:rsidR="00733583" w:rsidRPr="00391C31">
        <w:rPr>
          <w:rFonts w:ascii="Times New Roman" w:hAnsi="Times New Roman"/>
          <w:i/>
          <w:iCs/>
          <w:sz w:val="24"/>
          <w:szCs w:val="24"/>
        </w:rPr>
        <w:t>see also, Beno v. Shalala</w:t>
      </w:r>
      <w:r w:rsidR="00733583" w:rsidRPr="00391C31">
        <w:rPr>
          <w:rFonts w:ascii="Times New Roman" w:hAnsi="Times New Roman"/>
          <w:sz w:val="24"/>
          <w:szCs w:val="24"/>
        </w:rPr>
        <w:t>, 30 F. 3d 1057, 1063-64, n. 10 (</w:t>
      </w:r>
      <w:r w:rsidR="004129A7" w:rsidRPr="00391C31">
        <w:rPr>
          <w:rFonts w:ascii="Times New Roman" w:hAnsi="Times New Roman"/>
          <w:sz w:val="24"/>
          <w:szCs w:val="24"/>
        </w:rPr>
        <w:t>9th Cir. 1994)</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\l "</w:instrText>
      </w:r>
      <w:r w:rsidR="00A60A96" w:rsidRPr="00391C31">
        <w:rPr>
          <w:rFonts w:ascii="Times New Roman" w:hAnsi="Times New Roman"/>
          <w:i/>
          <w:iCs/>
          <w:sz w:val="24"/>
          <w:szCs w:val="24"/>
        </w:rPr>
        <w:instrText>Beno v. Shalala</w:instrText>
      </w:r>
      <w:r w:rsidR="00A60A96" w:rsidRPr="00391C31">
        <w:rPr>
          <w:rFonts w:ascii="Times New Roman" w:hAnsi="Times New Roman"/>
          <w:sz w:val="24"/>
          <w:szCs w:val="24"/>
        </w:rPr>
        <w:instrText xml:space="preserve">, 30 F. 3d 1057 (9th Cir. 1994)" \s "Beno v. Shalala, 30 </w:instrText>
      </w:r>
      <w:r w:rsidR="006C552F" w:rsidRPr="00391C31">
        <w:rPr>
          <w:rFonts w:ascii="Times New Roman" w:hAnsi="Times New Roman"/>
          <w:sz w:val="24"/>
          <w:szCs w:val="24"/>
        </w:rPr>
        <w:instrText>F. 3d 1057 (9th Cir. 1994)" \c 1</w:instrText>
      </w:r>
      <w:r w:rsidR="00A60A96" w:rsidRPr="00391C31">
        <w:rPr>
          <w:rFonts w:ascii="Times New Roman" w:hAnsi="Times New Roman"/>
          <w:sz w:val="24"/>
          <w:szCs w:val="24"/>
        </w:rPr>
        <w:instrText xml:space="preserve"> </w:instrText>
      </w:r>
      <w:r w:rsidR="00726D1D" w:rsidRPr="00391C31">
        <w:rPr>
          <w:rFonts w:ascii="Times New Roman" w:hAnsi="Times New Roman"/>
          <w:sz w:val="24"/>
          <w:szCs w:val="24"/>
        </w:rPr>
        <w:fldChar w:fldCharType="end"/>
      </w:r>
      <w:r w:rsidR="004129A7" w:rsidRPr="00391C31">
        <w:rPr>
          <w:rFonts w:ascii="Times New Roman" w:hAnsi="Times New Roman"/>
          <w:sz w:val="24"/>
          <w:szCs w:val="24"/>
        </w:rPr>
        <w:t>.  Further, this C</w:t>
      </w:r>
      <w:r w:rsidR="00733583" w:rsidRPr="00391C31">
        <w:rPr>
          <w:rFonts w:ascii="Times New Roman" w:hAnsi="Times New Roman"/>
          <w:sz w:val="24"/>
          <w:szCs w:val="24"/>
        </w:rPr>
        <w:t xml:space="preserve">ourt found that “[e]ach of the Plaintiffs [threatened with reduction of ADHC services] suffers from debilitating physical and/or mental conditions for which the availability of ADHC services is critical to ensuring that their tenuous physical and mental conditions remain stable, enabling them to remain in the community.” </w:t>
      </w:r>
      <w:r w:rsidR="00733583" w:rsidRPr="00391C31">
        <w:rPr>
          <w:rFonts w:ascii="Times New Roman" w:hAnsi="Times New Roman"/>
          <w:i/>
          <w:iCs/>
          <w:sz w:val="24"/>
          <w:szCs w:val="24"/>
        </w:rPr>
        <w:t>Brantley</w:t>
      </w:r>
      <w:r w:rsidR="00733583" w:rsidRPr="00391C31">
        <w:rPr>
          <w:rFonts w:ascii="Times New Roman" w:hAnsi="Times New Roman"/>
          <w:sz w:val="24"/>
          <w:szCs w:val="24"/>
        </w:rPr>
        <w:t>, 656 F. Supp. 2d 1176</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"Brantley v. Maxwell-Jolly, 656 F. Supp. 2d 1161 (N.D. Cal. 2009)" </w:instrText>
      </w:r>
      <w:r w:rsidR="00726D1D" w:rsidRPr="00391C31">
        <w:rPr>
          <w:rFonts w:ascii="Times New Roman" w:hAnsi="Times New Roman"/>
          <w:sz w:val="24"/>
          <w:szCs w:val="24"/>
        </w:rPr>
        <w:fldChar w:fldCharType="end"/>
      </w:r>
      <w:r w:rsidR="00773F92">
        <w:rPr>
          <w:rFonts w:ascii="Times New Roman" w:hAnsi="Times New Roman"/>
          <w:sz w:val="24"/>
          <w:szCs w:val="24"/>
        </w:rPr>
        <w:t xml:space="preserve">. This </w:t>
      </w:r>
      <w:r w:rsidR="00733583" w:rsidRPr="00391C31">
        <w:rPr>
          <w:rFonts w:ascii="Times New Roman" w:hAnsi="Times New Roman"/>
          <w:sz w:val="24"/>
          <w:szCs w:val="24"/>
        </w:rPr>
        <w:t xml:space="preserve">Court </w:t>
      </w:r>
      <w:r w:rsidR="00773F92">
        <w:rPr>
          <w:rFonts w:ascii="Times New Roman" w:hAnsi="Times New Roman"/>
          <w:sz w:val="24"/>
          <w:szCs w:val="24"/>
        </w:rPr>
        <w:t xml:space="preserve">granted the Plaintiffs’ requested injunction, reasoning </w:t>
      </w:r>
      <w:r w:rsidR="00733583" w:rsidRPr="00391C31">
        <w:rPr>
          <w:rFonts w:ascii="Times New Roman" w:hAnsi="Times New Roman"/>
          <w:sz w:val="24"/>
          <w:szCs w:val="24"/>
        </w:rPr>
        <w:t xml:space="preserve">that,“[g]iven the tenuousness and complexities of their conditions, an interruption in their care, even if temporary, will have serious consequences for Plaintiffs.” </w:t>
      </w:r>
      <w:r w:rsidR="00733583" w:rsidRPr="00391C31">
        <w:rPr>
          <w:rFonts w:ascii="Times New Roman" w:hAnsi="Times New Roman"/>
          <w:i/>
          <w:iCs/>
          <w:sz w:val="24"/>
          <w:szCs w:val="24"/>
        </w:rPr>
        <w:t>Id</w:t>
      </w:r>
      <w:r w:rsidRPr="00391C31">
        <w:rPr>
          <w:rFonts w:ascii="Times New Roman" w:hAnsi="Times New Roman"/>
          <w:iCs/>
          <w:sz w:val="24"/>
          <w:szCs w:val="24"/>
        </w:rPr>
        <w:t xml:space="preserve">; </w:t>
      </w:r>
      <w:r w:rsidRPr="00391C31">
        <w:rPr>
          <w:rFonts w:ascii="Times New Roman" w:hAnsi="Times New Roman"/>
          <w:i/>
          <w:iCs/>
          <w:sz w:val="24"/>
          <w:szCs w:val="24"/>
        </w:rPr>
        <w:t>s</w:t>
      </w:r>
      <w:r w:rsidRPr="00391C31">
        <w:rPr>
          <w:rFonts w:ascii="Times New Roman" w:hAnsi="Times New Roman"/>
          <w:i/>
          <w:sz w:val="24"/>
          <w:szCs w:val="24"/>
        </w:rPr>
        <w:t>ee also</w:t>
      </w:r>
      <w:r w:rsidRPr="00391C31">
        <w:rPr>
          <w:rFonts w:ascii="Times New Roman" w:hAnsi="Times New Roman"/>
          <w:b/>
          <w:sz w:val="24"/>
          <w:szCs w:val="24"/>
        </w:rPr>
        <w:t xml:space="preserve"> </w:t>
      </w:r>
      <w:r w:rsidR="00733583" w:rsidRPr="00391C31">
        <w:rPr>
          <w:rFonts w:ascii="Times New Roman" w:hAnsi="Times New Roman"/>
          <w:i/>
          <w:sz w:val="24"/>
          <w:szCs w:val="24"/>
        </w:rPr>
        <w:t>V.L. v. Wagner</w:t>
      </w:r>
      <w:r w:rsidR="00733583" w:rsidRPr="00391C31">
        <w:rPr>
          <w:rFonts w:ascii="Times New Roman" w:hAnsi="Times New Roman"/>
          <w:sz w:val="24"/>
          <w:szCs w:val="24"/>
        </w:rPr>
        <w:t>, 669 F. Supp. at 1112</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"V.L. v. Wagner, 669 F. Supp. 2d 1106 (N.D. Cal. 2009)" </w:instrText>
      </w:r>
      <w:r w:rsidR="00726D1D" w:rsidRPr="00391C31">
        <w:rPr>
          <w:rFonts w:ascii="Times New Roman" w:hAnsi="Times New Roman"/>
          <w:sz w:val="24"/>
          <w:szCs w:val="24"/>
        </w:rPr>
        <w:fldChar w:fldCharType="end"/>
      </w:r>
      <w:r w:rsidR="00733583" w:rsidRPr="00391C31">
        <w:rPr>
          <w:rFonts w:ascii="Times New Roman" w:hAnsi="Times New Roman"/>
          <w:sz w:val="24"/>
          <w:szCs w:val="24"/>
        </w:rPr>
        <w:t xml:space="preserve">.  </w:t>
      </w:r>
    </w:p>
    <w:p w:rsidR="00733583" w:rsidRPr="00391C31" w:rsidRDefault="00733583" w:rsidP="0039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sidRPr="00391C31">
        <w:rPr>
          <w:rFonts w:ascii="Times New Roman" w:hAnsi="Times New Roman"/>
          <w:sz w:val="24"/>
          <w:szCs w:val="24"/>
        </w:rPr>
        <w:tab/>
        <w:t xml:space="preserve">Courts have routinely recognized that the harm associated with institutionalization – even on a short term basis – is severe. </w:t>
      </w:r>
      <w:r w:rsidR="003F7EE1" w:rsidRPr="00391C31">
        <w:rPr>
          <w:rFonts w:ascii="Times New Roman" w:hAnsi="Times New Roman"/>
          <w:sz w:val="24"/>
          <w:szCs w:val="24"/>
        </w:rPr>
        <w:t xml:space="preserve"> </w:t>
      </w:r>
      <w:r w:rsidR="00C12251" w:rsidRPr="00391C31">
        <w:rPr>
          <w:rFonts w:ascii="Times New Roman" w:hAnsi="Times New Roman"/>
          <w:i/>
          <w:sz w:val="24"/>
          <w:szCs w:val="24"/>
        </w:rPr>
        <w:t>See</w:t>
      </w:r>
      <w:r w:rsidR="00A74172" w:rsidRPr="00391C31">
        <w:rPr>
          <w:rFonts w:ascii="Times New Roman" w:hAnsi="Times New Roman"/>
          <w:i/>
          <w:sz w:val="24"/>
          <w:szCs w:val="24"/>
        </w:rPr>
        <w:t xml:space="preserve"> </w:t>
      </w:r>
      <w:r w:rsidRPr="00391C31">
        <w:rPr>
          <w:rFonts w:ascii="Times New Roman" w:hAnsi="Times New Roman"/>
          <w:i/>
          <w:iCs/>
          <w:sz w:val="24"/>
          <w:szCs w:val="24"/>
        </w:rPr>
        <w:t>Long v. Benson</w:t>
      </w:r>
      <w:r w:rsidRPr="00391C31">
        <w:rPr>
          <w:rFonts w:ascii="Times New Roman" w:hAnsi="Times New Roman"/>
          <w:sz w:val="24"/>
          <w:szCs w:val="24"/>
        </w:rPr>
        <w:t>, No. 08cv26, 2008 WL 4571903, at *2 (N.D. Fla. Oct. 14, 2008)</w:t>
      </w:r>
      <w:r w:rsidR="00726D1D"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\l "</w:instrText>
      </w:r>
      <w:r w:rsidR="00657407" w:rsidRPr="00391C31">
        <w:rPr>
          <w:rFonts w:ascii="Times New Roman" w:hAnsi="Times New Roman"/>
          <w:i/>
          <w:iCs/>
          <w:sz w:val="24"/>
          <w:szCs w:val="24"/>
        </w:rPr>
        <w:instrText>Long v. Benson</w:instrText>
      </w:r>
      <w:r w:rsidR="00657407" w:rsidRPr="00391C31">
        <w:rPr>
          <w:rFonts w:ascii="Times New Roman" w:hAnsi="Times New Roman"/>
          <w:sz w:val="24"/>
          <w:szCs w:val="24"/>
        </w:rPr>
        <w:instrText>, No. 08cv26, 2008 WL 4571903</w:instrText>
      </w:r>
      <w:r w:rsidR="006C552F" w:rsidRPr="00391C31">
        <w:rPr>
          <w:rFonts w:ascii="Times New Roman" w:hAnsi="Times New Roman"/>
          <w:sz w:val="24"/>
          <w:szCs w:val="24"/>
        </w:rPr>
        <w:instrText xml:space="preserve"> </w:instrText>
      </w:r>
      <w:r w:rsidR="00657407" w:rsidRPr="00391C31">
        <w:rPr>
          <w:rFonts w:ascii="Times New Roman" w:hAnsi="Times New Roman"/>
          <w:sz w:val="24"/>
          <w:szCs w:val="24"/>
        </w:rPr>
        <w:instrText xml:space="preserve">(N.D. Fla. Oct. 14, 2008)" \s "Long v. Benson, No. 08cv26, 2008 WL 4571903 (N.D. Fla. Oct. 14, 2008)" \c 1 </w:instrText>
      </w:r>
      <w:r w:rsidR="00726D1D" w:rsidRPr="00391C31">
        <w:rPr>
          <w:rFonts w:ascii="Times New Roman" w:hAnsi="Times New Roman"/>
          <w:sz w:val="24"/>
          <w:szCs w:val="24"/>
        </w:rPr>
        <w:fldChar w:fldCharType="end"/>
      </w:r>
      <w:r w:rsidR="001D692E">
        <w:rPr>
          <w:rFonts w:ascii="Times New Roman" w:hAnsi="Times New Roman"/>
          <w:sz w:val="24"/>
          <w:szCs w:val="24"/>
        </w:rPr>
        <w:t xml:space="preserve"> (unpublished)</w:t>
      </w:r>
      <w:r w:rsidRPr="00391C31">
        <w:rPr>
          <w:rFonts w:ascii="Times New Roman" w:hAnsi="Times New Roman"/>
          <w:sz w:val="24"/>
          <w:szCs w:val="24"/>
        </w:rPr>
        <w:t xml:space="preserve"> </w:t>
      </w:r>
      <w:r w:rsidR="003F7EE1" w:rsidRPr="00391C31">
        <w:rPr>
          <w:rFonts w:ascii="Times New Roman" w:hAnsi="Times New Roman"/>
          <w:sz w:val="24"/>
          <w:szCs w:val="24"/>
        </w:rPr>
        <w:t>(</w:t>
      </w:r>
      <w:r w:rsidRPr="00391C31">
        <w:rPr>
          <w:rFonts w:ascii="Times New Roman" w:hAnsi="Times New Roman"/>
          <w:sz w:val="24"/>
          <w:szCs w:val="24"/>
        </w:rPr>
        <w:t>grant</w:t>
      </w:r>
      <w:r w:rsidR="003F7EE1" w:rsidRPr="00391C31">
        <w:rPr>
          <w:rFonts w:ascii="Times New Roman" w:hAnsi="Times New Roman"/>
          <w:sz w:val="24"/>
          <w:szCs w:val="24"/>
        </w:rPr>
        <w:t>ing</w:t>
      </w:r>
      <w:r w:rsidRPr="00391C31">
        <w:rPr>
          <w:rFonts w:ascii="Times New Roman" w:hAnsi="Times New Roman"/>
          <w:sz w:val="24"/>
          <w:szCs w:val="24"/>
        </w:rPr>
        <w:t xml:space="preserve"> a preliminary injunction </w:t>
      </w:r>
      <w:r w:rsidR="00B00C8F" w:rsidRPr="00391C31">
        <w:rPr>
          <w:rFonts w:ascii="Times New Roman" w:hAnsi="Times New Roman"/>
          <w:sz w:val="24"/>
          <w:szCs w:val="24"/>
        </w:rPr>
        <w:t xml:space="preserve">based in part on the reasoning that </w:t>
      </w:r>
      <w:r w:rsidRPr="00391C31">
        <w:rPr>
          <w:rFonts w:ascii="Times New Roman" w:hAnsi="Times New Roman"/>
          <w:sz w:val="24"/>
          <w:szCs w:val="24"/>
        </w:rPr>
        <w:t>forcing the individual to leave his community placement and enter a nursing home “will inflict an enormous psychological blow</w:t>
      </w:r>
      <w:r w:rsidR="003F7EE1" w:rsidRPr="00391C31">
        <w:rPr>
          <w:rFonts w:ascii="Times New Roman" w:hAnsi="Times New Roman"/>
          <w:sz w:val="24"/>
          <w:szCs w:val="24"/>
        </w:rPr>
        <w:t xml:space="preserve">” </w:t>
      </w:r>
      <w:r w:rsidR="00A60A96" w:rsidRPr="00391C31">
        <w:rPr>
          <w:rFonts w:ascii="Times New Roman" w:hAnsi="Times New Roman"/>
          <w:sz w:val="24"/>
          <w:szCs w:val="24"/>
        </w:rPr>
        <w:t>a</w:t>
      </w:r>
      <w:r w:rsidR="003F7EE1" w:rsidRPr="00391C31">
        <w:rPr>
          <w:rFonts w:ascii="Times New Roman" w:hAnsi="Times New Roman"/>
          <w:sz w:val="24"/>
          <w:szCs w:val="24"/>
        </w:rPr>
        <w:t>nd that</w:t>
      </w:r>
      <w:r w:rsidR="000048E7" w:rsidRPr="00391C31">
        <w:rPr>
          <w:rFonts w:ascii="Times New Roman" w:hAnsi="Times New Roman"/>
          <w:sz w:val="24"/>
          <w:szCs w:val="24"/>
        </w:rPr>
        <w:t xml:space="preserve"> </w:t>
      </w:r>
      <w:r w:rsidR="003F7EE1" w:rsidRPr="00391C31">
        <w:rPr>
          <w:rFonts w:ascii="Times New Roman" w:hAnsi="Times New Roman"/>
          <w:sz w:val="24"/>
          <w:szCs w:val="24"/>
        </w:rPr>
        <w:t>“</w:t>
      </w:r>
      <w:r w:rsidRPr="00391C31">
        <w:rPr>
          <w:rFonts w:ascii="Times New Roman" w:hAnsi="Times New Roman"/>
          <w:i/>
          <w:sz w:val="24"/>
          <w:szCs w:val="24"/>
        </w:rPr>
        <w:t>each day</w:t>
      </w:r>
      <w:r w:rsidRPr="00391C31">
        <w:rPr>
          <w:rFonts w:ascii="Times New Roman" w:hAnsi="Times New Roman"/>
          <w:sz w:val="24"/>
          <w:szCs w:val="24"/>
        </w:rPr>
        <w:t xml:space="preserve"> he is required to live in the nursing home will be an irreparable harm.”</w:t>
      </w:r>
      <w:r w:rsidR="003F7EE1" w:rsidRPr="00391C31">
        <w:rPr>
          <w:rFonts w:ascii="Times New Roman" w:hAnsi="Times New Roman"/>
          <w:sz w:val="24"/>
          <w:szCs w:val="24"/>
        </w:rPr>
        <w:t>)</w:t>
      </w:r>
      <w:r w:rsidR="00A74172" w:rsidRPr="00391C31">
        <w:rPr>
          <w:rFonts w:ascii="Times New Roman" w:hAnsi="Times New Roman"/>
          <w:sz w:val="24"/>
          <w:szCs w:val="24"/>
        </w:rPr>
        <w:t xml:space="preserve"> (emphasis added)</w:t>
      </w:r>
      <w:r w:rsidR="003F7EE1" w:rsidRPr="00391C31">
        <w:rPr>
          <w:rFonts w:ascii="Times New Roman" w:hAnsi="Times New Roman"/>
          <w:sz w:val="24"/>
          <w:szCs w:val="24"/>
        </w:rPr>
        <w:t>;</w:t>
      </w:r>
      <w:r w:rsidRPr="00391C31">
        <w:rPr>
          <w:rFonts w:ascii="Times New Roman" w:hAnsi="Times New Roman"/>
          <w:sz w:val="24"/>
          <w:szCs w:val="24"/>
        </w:rPr>
        <w:t xml:space="preserve"> </w:t>
      </w:r>
      <w:r w:rsidRPr="00391C31">
        <w:rPr>
          <w:rFonts w:ascii="Times New Roman" w:hAnsi="Times New Roman"/>
          <w:i/>
          <w:iCs/>
          <w:sz w:val="24"/>
          <w:szCs w:val="24"/>
        </w:rPr>
        <w:t>Marlo M.</w:t>
      </w:r>
      <w:r w:rsidRPr="00391C31">
        <w:rPr>
          <w:rFonts w:ascii="Times New Roman" w:hAnsi="Times New Roman"/>
          <w:sz w:val="24"/>
          <w:szCs w:val="24"/>
        </w:rPr>
        <w:t>, 679 F. Supp. 2d at 638</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\s "Marlo M. v. Cansler, 679 F. Supp. 2d 635 (E.D.N.C. 2010)" </w:instrText>
      </w:r>
      <w:r w:rsidR="00726D1D" w:rsidRPr="00391C31">
        <w:rPr>
          <w:rFonts w:ascii="Times New Roman" w:hAnsi="Times New Roman"/>
          <w:sz w:val="24"/>
          <w:szCs w:val="24"/>
        </w:rPr>
        <w:fldChar w:fldCharType="end"/>
      </w:r>
      <w:r w:rsidR="003F7EE1" w:rsidRPr="00391C31">
        <w:rPr>
          <w:rFonts w:ascii="Times New Roman" w:hAnsi="Times New Roman"/>
          <w:sz w:val="24"/>
          <w:szCs w:val="24"/>
        </w:rPr>
        <w:t xml:space="preserve"> (</w:t>
      </w:r>
      <w:r w:rsidRPr="00391C31">
        <w:rPr>
          <w:rFonts w:ascii="Times New Roman" w:hAnsi="Times New Roman"/>
          <w:sz w:val="24"/>
          <w:szCs w:val="24"/>
        </w:rPr>
        <w:t>grant</w:t>
      </w:r>
      <w:r w:rsidR="003F7EE1" w:rsidRPr="00391C31">
        <w:rPr>
          <w:rFonts w:ascii="Times New Roman" w:hAnsi="Times New Roman"/>
          <w:sz w:val="24"/>
          <w:szCs w:val="24"/>
        </w:rPr>
        <w:t>ing</w:t>
      </w:r>
      <w:r w:rsidRPr="00391C31">
        <w:rPr>
          <w:rFonts w:ascii="Times New Roman" w:hAnsi="Times New Roman"/>
          <w:sz w:val="24"/>
          <w:szCs w:val="24"/>
        </w:rPr>
        <w:t xml:space="preserve"> a preliminary injunction </w:t>
      </w:r>
      <w:r w:rsidR="00B00C8F" w:rsidRPr="00391C31">
        <w:rPr>
          <w:rFonts w:ascii="Times New Roman" w:hAnsi="Times New Roman"/>
          <w:sz w:val="24"/>
          <w:szCs w:val="24"/>
        </w:rPr>
        <w:t>where plaintiffs established that they</w:t>
      </w:r>
      <w:r w:rsidRPr="00391C31">
        <w:rPr>
          <w:rFonts w:ascii="Times New Roman" w:hAnsi="Times New Roman"/>
          <w:sz w:val="24"/>
          <w:szCs w:val="24"/>
        </w:rPr>
        <w:t xml:space="preserve"> would “suffer regressive consequences if moved [to a nursing home], </w:t>
      </w:r>
      <w:r w:rsidRPr="00391C31">
        <w:rPr>
          <w:rFonts w:ascii="Times New Roman" w:hAnsi="Times New Roman"/>
          <w:i/>
          <w:sz w:val="24"/>
          <w:szCs w:val="24"/>
        </w:rPr>
        <w:t>even temporarily</w:t>
      </w:r>
      <w:r w:rsidRPr="00391C31">
        <w:rPr>
          <w:rFonts w:ascii="Times New Roman" w:hAnsi="Times New Roman"/>
          <w:sz w:val="24"/>
          <w:szCs w:val="24"/>
        </w:rPr>
        <w:t>.”</w:t>
      </w:r>
      <w:r w:rsidR="00931415" w:rsidRPr="00391C31">
        <w:rPr>
          <w:rFonts w:ascii="Times New Roman" w:hAnsi="Times New Roman"/>
          <w:sz w:val="24"/>
          <w:szCs w:val="24"/>
        </w:rPr>
        <w:t>)</w:t>
      </w:r>
      <w:r w:rsidRPr="00391C31">
        <w:rPr>
          <w:rFonts w:ascii="Times New Roman" w:hAnsi="Times New Roman"/>
          <w:sz w:val="24"/>
          <w:szCs w:val="24"/>
        </w:rPr>
        <w:t xml:space="preserve"> (emphasis added)</w:t>
      </w:r>
      <w:r w:rsidR="00931415" w:rsidRPr="00391C31">
        <w:rPr>
          <w:rFonts w:ascii="Times New Roman" w:hAnsi="Times New Roman"/>
          <w:sz w:val="24"/>
          <w:szCs w:val="24"/>
        </w:rPr>
        <w:t>;</w:t>
      </w:r>
      <w:r w:rsidR="000048E7" w:rsidRPr="00391C31">
        <w:rPr>
          <w:rFonts w:ascii="Times New Roman" w:hAnsi="Times New Roman"/>
          <w:sz w:val="24"/>
          <w:szCs w:val="24"/>
        </w:rPr>
        <w:t xml:space="preserve"> </w:t>
      </w:r>
      <w:r w:rsidRPr="00391C31">
        <w:rPr>
          <w:rFonts w:ascii="Times New Roman" w:hAnsi="Times New Roman"/>
          <w:i/>
          <w:iCs/>
          <w:sz w:val="24"/>
          <w:szCs w:val="24"/>
        </w:rPr>
        <w:t>Crabtree v. Goetz</w:t>
      </w:r>
      <w:r w:rsidRPr="00391C31">
        <w:rPr>
          <w:rFonts w:ascii="Times New Roman" w:hAnsi="Times New Roman"/>
          <w:sz w:val="24"/>
          <w:szCs w:val="24"/>
        </w:rPr>
        <w:t>, No. 08-0939, 2008 WL 5330506</w:t>
      </w:r>
      <w:r w:rsidR="00A74172" w:rsidRPr="00391C31">
        <w:rPr>
          <w:rFonts w:ascii="Times New Roman" w:hAnsi="Times New Roman"/>
          <w:sz w:val="24"/>
          <w:szCs w:val="24"/>
        </w:rPr>
        <w:t>, at</w:t>
      </w:r>
      <w:r w:rsidRPr="00391C31">
        <w:rPr>
          <w:rFonts w:ascii="Times New Roman" w:hAnsi="Times New Roman"/>
          <w:sz w:val="24"/>
          <w:szCs w:val="24"/>
        </w:rPr>
        <w:t xml:space="preserve"> *25 (M.D. Tenn. Dec. 19, 2008)</w:t>
      </w:r>
      <w:r w:rsidR="00726D1D" w:rsidRPr="00391C31">
        <w:rPr>
          <w:rFonts w:ascii="Times New Roman" w:hAnsi="Times New Roman"/>
          <w:sz w:val="24"/>
          <w:szCs w:val="24"/>
        </w:rPr>
        <w:fldChar w:fldCharType="begin"/>
      </w:r>
      <w:r w:rsidR="00A60A96" w:rsidRPr="00391C31">
        <w:rPr>
          <w:rFonts w:ascii="Times New Roman" w:hAnsi="Times New Roman"/>
          <w:sz w:val="24"/>
          <w:szCs w:val="24"/>
        </w:rPr>
        <w:instrText xml:space="preserve"> TA \l "</w:instrText>
      </w:r>
      <w:r w:rsidR="00A60A96" w:rsidRPr="00391C31">
        <w:rPr>
          <w:rFonts w:ascii="Times New Roman" w:hAnsi="Times New Roman"/>
          <w:i/>
          <w:iCs/>
          <w:sz w:val="24"/>
          <w:szCs w:val="24"/>
        </w:rPr>
        <w:instrText>Crabtree v. Goetz</w:instrText>
      </w:r>
      <w:r w:rsidR="00A60A96" w:rsidRPr="00391C31">
        <w:rPr>
          <w:rFonts w:ascii="Times New Roman" w:hAnsi="Times New Roman"/>
          <w:sz w:val="24"/>
          <w:szCs w:val="24"/>
        </w:rPr>
        <w:instrText xml:space="preserve">, No. 08-0939, 2008 WL 5330506 (M.D. Tenn. Dec. 19, 2008)" \s "Crabtree v. Goetz, No. 08-0939, 2008 WL 5330506 (M.D. Tenn. Dec. 19, 2008)" \c 1 </w:instrText>
      </w:r>
      <w:r w:rsidR="00726D1D" w:rsidRPr="00391C31">
        <w:rPr>
          <w:rFonts w:ascii="Times New Roman" w:hAnsi="Times New Roman"/>
          <w:sz w:val="24"/>
          <w:szCs w:val="24"/>
        </w:rPr>
        <w:fldChar w:fldCharType="end"/>
      </w:r>
      <w:r w:rsidRPr="00391C31">
        <w:rPr>
          <w:rFonts w:ascii="Times New Roman" w:hAnsi="Times New Roman"/>
          <w:sz w:val="24"/>
          <w:szCs w:val="24"/>
        </w:rPr>
        <w:t xml:space="preserve"> (unpublished)</w:t>
      </w:r>
      <w:r w:rsidR="000048E7" w:rsidRPr="00391C31">
        <w:rPr>
          <w:rFonts w:ascii="Times New Roman" w:hAnsi="Times New Roman"/>
          <w:sz w:val="24"/>
          <w:szCs w:val="24"/>
        </w:rPr>
        <w:t xml:space="preserve"> </w:t>
      </w:r>
      <w:r w:rsidR="00931415" w:rsidRPr="00391C31">
        <w:rPr>
          <w:rFonts w:ascii="Times New Roman" w:hAnsi="Times New Roman"/>
          <w:sz w:val="24"/>
          <w:szCs w:val="24"/>
        </w:rPr>
        <w:t>(</w:t>
      </w:r>
      <w:r w:rsidRPr="00391C31">
        <w:rPr>
          <w:rFonts w:ascii="Times New Roman" w:hAnsi="Times New Roman"/>
          <w:sz w:val="24"/>
          <w:szCs w:val="24"/>
        </w:rPr>
        <w:t>grant</w:t>
      </w:r>
      <w:r w:rsidR="00931415" w:rsidRPr="00391C31">
        <w:rPr>
          <w:rFonts w:ascii="Times New Roman" w:hAnsi="Times New Roman"/>
          <w:sz w:val="24"/>
          <w:szCs w:val="24"/>
        </w:rPr>
        <w:t>ing</w:t>
      </w:r>
      <w:r w:rsidRPr="00391C31">
        <w:rPr>
          <w:rFonts w:ascii="Times New Roman" w:hAnsi="Times New Roman"/>
          <w:sz w:val="24"/>
          <w:szCs w:val="24"/>
        </w:rPr>
        <w:t xml:space="preserve"> a preliminary injunction enjoining state defendants from </w:t>
      </w:r>
      <w:r w:rsidR="00A74172" w:rsidRPr="00391C31">
        <w:rPr>
          <w:rFonts w:ascii="Times New Roman" w:hAnsi="Times New Roman"/>
          <w:sz w:val="24"/>
          <w:szCs w:val="24"/>
        </w:rPr>
        <w:t xml:space="preserve">reducing available </w:t>
      </w:r>
      <w:r w:rsidRPr="00391C31">
        <w:rPr>
          <w:rFonts w:ascii="Times New Roman" w:hAnsi="Times New Roman"/>
          <w:sz w:val="24"/>
          <w:szCs w:val="24"/>
        </w:rPr>
        <w:t>home health care services</w:t>
      </w:r>
      <w:r w:rsidR="00931415" w:rsidRPr="00391C31">
        <w:rPr>
          <w:rFonts w:ascii="Times New Roman" w:hAnsi="Times New Roman"/>
          <w:sz w:val="24"/>
          <w:szCs w:val="24"/>
        </w:rPr>
        <w:t xml:space="preserve"> and </w:t>
      </w:r>
      <w:r w:rsidRPr="00391C31">
        <w:rPr>
          <w:rFonts w:ascii="Times New Roman" w:hAnsi="Times New Roman"/>
          <w:sz w:val="24"/>
          <w:szCs w:val="24"/>
        </w:rPr>
        <w:t>explain</w:t>
      </w:r>
      <w:r w:rsidR="00931415" w:rsidRPr="00391C31">
        <w:rPr>
          <w:rFonts w:ascii="Times New Roman" w:hAnsi="Times New Roman"/>
          <w:sz w:val="24"/>
          <w:szCs w:val="24"/>
        </w:rPr>
        <w:t>ing</w:t>
      </w:r>
      <w:r w:rsidRPr="00391C31">
        <w:rPr>
          <w:rFonts w:ascii="Times New Roman" w:hAnsi="Times New Roman"/>
          <w:sz w:val="24"/>
          <w:szCs w:val="24"/>
        </w:rPr>
        <w:t xml:space="preserve"> that institutionalization “would be detrimental to [plaintiffs’] care, causing, </w:t>
      </w:r>
      <w:r w:rsidRPr="00391C31">
        <w:rPr>
          <w:rFonts w:ascii="Times New Roman" w:hAnsi="Times New Roman"/>
          <w:i/>
          <w:sz w:val="24"/>
          <w:szCs w:val="24"/>
        </w:rPr>
        <w:t>inter alia</w:t>
      </w:r>
      <w:r w:rsidRPr="00391C31">
        <w:rPr>
          <w:rFonts w:ascii="Times New Roman" w:hAnsi="Times New Roman"/>
          <w:sz w:val="24"/>
          <w:szCs w:val="24"/>
        </w:rPr>
        <w:t>, mental depression, and for some Plaintiffs, a shorter life expectancy or death.”</w:t>
      </w:r>
      <w:r w:rsidR="00931415" w:rsidRPr="00391C31">
        <w:rPr>
          <w:rFonts w:ascii="Times New Roman" w:hAnsi="Times New Roman"/>
          <w:sz w:val="24"/>
          <w:szCs w:val="24"/>
        </w:rPr>
        <w:t>);</w:t>
      </w:r>
      <w:r w:rsidRPr="00391C31">
        <w:rPr>
          <w:rFonts w:ascii="Times New Roman" w:hAnsi="Times New Roman"/>
          <w:sz w:val="24"/>
          <w:szCs w:val="24"/>
        </w:rPr>
        <w:t xml:space="preserve">  </w:t>
      </w:r>
      <w:r w:rsidR="00C12251" w:rsidRPr="00391C31">
        <w:rPr>
          <w:rFonts w:ascii="Times New Roman" w:hAnsi="Times New Roman"/>
          <w:i/>
          <w:iCs/>
          <w:sz w:val="24"/>
          <w:szCs w:val="24"/>
        </w:rPr>
        <w:t>Haddad v. Arnold</w:t>
      </w:r>
      <w:r w:rsidR="00C12251" w:rsidRPr="00391C31">
        <w:rPr>
          <w:rFonts w:ascii="Times New Roman" w:hAnsi="Times New Roman"/>
          <w:sz w:val="24"/>
          <w:szCs w:val="24"/>
        </w:rPr>
        <w:t xml:space="preserve">, No. 3:10-00414, </w:t>
      </w:r>
      <w:r w:rsidR="00C12251" w:rsidRPr="00391C31">
        <w:rPr>
          <w:rFonts w:ascii="Times New Roman" w:hAnsi="Times New Roman"/>
          <w:color w:val="000000"/>
          <w:sz w:val="24"/>
          <w:szCs w:val="24"/>
          <w:u w:val="single"/>
        </w:rPr>
        <w:softHyphen/>
      </w:r>
      <w:r w:rsidR="00C12251" w:rsidRPr="00391C31">
        <w:rPr>
          <w:rFonts w:ascii="Times New Roman" w:hAnsi="Times New Roman"/>
          <w:color w:val="000000"/>
          <w:sz w:val="24"/>
          <w:szCs w:val="24"/>
        </w:rPr>
        <w:t>2010 WL 6650335,</w:t>
      </w:r>
      <w:r w:rsidR="00F04D7C" w:rsidRPr="00391C31">
        <w:rPr>
          <w:rFonts w:ascii="Times New Roman" w:hAnsi="Times New Roman"/>
          <w:color w:val="000000"/>
          <w:sz w:val="24"/>
          <w:szCs w:val="24"/>
        </w:rPr>
        <w:t xml:space="preserve"> at</w:t>
      </w:r>
      <w:r w:rsidR="00C12251" w:rsidRPr="00391C31">
        <w:rPr>
          <w:rFonts w:ascii="Times New Roman" w:hAnsi="Times New Roman"/>
          <w:color w:val="000000"/>
          <w:sz w:val="24"/>
          <w:szCs w:val="24"/>
        </w:rPr>
        <w:t xml:space="preserve"> *17</w:t>
      </w:r>
      <w:r w:rsidR="00C12251" w:rsidRPr="00391C31">
        <w:rPr>
          <w:rFonts w:ascii="Times New Roman" w:hAnsi="Times New Roman"/>
          <w:sz w:val="24"/>
          <w:szCs w:val="24"/>
        </w:rPr>
        <w:t xml:space="preserve"> (M.D. Fla. July 9, 2010)</w:t>
      </w:r>
      <w:r w:rsidR="001D692E">
        <w:rPr>
          <w:rFonts w:ascii="Times New Roman" w:hAnsi="Times New Roman"/>
          <w:sz w:val="24"/>
          <w:szCs w:val="24"/>
        </w:rPr>
        <w:t xml:space="preserve"> </w:t>
      </w:r>
      <w:r w:rsidR="00726D1D"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\s "Haddad v. Arnold, No. 3:10-00414, 2010 WL 6650335 (M.D. Fla. July 9, 2010)" </w:instrText>
      </w:r>
      <w:r w:rsidR="00726D1D" w:rsidRPr="00391C31">
        <w:rPr>
          <w:rFonts w:ascii="Times New Roman" w:hAnsi="Times New Roman"/>
          <w:sz w:val="24"/>
          <w:szCs w:val="24"/>
        </w:rPr>
        <w:fldChar w:fldCharType="end"/>
      </w:r>
      <w:r w:rsidR="00C12251" w:rsidRPr="00391C31">
        <w:rPr>
          <w:rFonts w:ascii="Times New Roman" w:hAnsi="Times New Roman"/>
          <w:sz w:val="24"/>
          <w:szCs w:val="24"/>
        </w:rPr>
        <w:t xml:space="preserve"> (granting preliminary injunction after finding that the plaintiff will suffer irreparable injury if forced to enter a nursing home.) </w:t>
      </w:r>
    </w:p>
    <w:p w:rsidR="00733583" w:rsidRPr="00391C31" w:rsidRDefault="00726D1D" w:rsidP="00335E73">
      <w:pPr>
        <w:pStyle w:val="SubHeading2"/>
        <w:outlineLvl w:val="2"/>
      </w:pPr>
      <w:bookmarkStart w:id="15" w:name="_Toc266438960"/>
      <w:r>
        <w:rPr>
          <w:noProof/>
        </w:rPr>
        <w:pict>
          <v:shape id="_x0000_s1055" type="#_x0000_t202" style="position:absolute;left:0;text-align:left;margin-left:-44.25pt;margin-top:.75pt;width:36pt;height:10in;z-index:2516879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bookmarkStart w:id="16" w:name="_Toc298266491"/>
      <w:r w:rsidR="00733583" w:rsidRPr="00391C31">
        <w:t xml:space="preserve">The Balance of Hardships </w:t>
      </w:r>
      <w:r w:rsidR="00CE32BD" w:rsidRPr="00391C31">
        <w:t xml:space="preserve">Weighs </w:t>
      </w:r>
      <w:r w:rsidR="00773F92">
        <w:t>H</w:t>
      </w:r>
      <w:r w:rsidR="00CE32BD" w:rsidRPr="00391C31">
        <w:t>eavily</w:t>
      </w:r>
      <w:r w:rsidR="00733583" w:rsidRPr="00391C31">
        <w:t xml:space="preserve"> in Plaintiffs’ Favor</w:t>
      </w:r>
      <w:bookmarkEnd w:id="15"/>
      <w:r w:rsidR="00717D93" w:rsidRPr="00391C31">
        <w:t xml:space="preserve"> and</w:t>
      </w:r>
      <w:r w:rsidR="006B78D8" w:rsidRPr="00391C31">
        <w:t xml:space="preserve"> Granting Plaintiffs’ Request for a Preliminary Injunction </w:t>
      </w:r>
      <w:r w:rsidR="00717D93" w:rsidRPr="00391C31">
        <w:t>is in the Public Interest</w:t>
      </w:r>
      <w:bookmarkEnd w:id="16"/>
    </w:p>
    <w:p w:rsidR="000112F5" w:rsidRPr="00391C31" w:rsidRDefault="00E808B0" w:rsidP="0039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sidRPr="00391C31">
        <w:rPr>
          <w:rFonts w:ascii="Times New Roman" w:hAnsi="Times New Roman"/>
          <w:sz w:val="24"/>
          <w:szCs w:val="24"/>
        </w:rPr>
        <w:tab/>
        <w:t xml:space="preserve">The final </w:t>
      </w:r>
      <w:r w:rsidR="003D1B07" w:rsidRPr="00391C31">
        <w:rPr>
          <w:rFonts w:ascii="Times New Roman" w:hAnsi="Times New Roman"/>
          <w:sz w:val="24"/>
          <w:szCs w:val="24"/>
        </w:rPr>
        <w:t xml:space="preserve">two factors to be considered </w:t>
      </w:r>
      <w:r w:rsidRPr="00391C31">
        <w:rPr>
          <w:rFonts w:ascii="Times New Roman" w:hAnsi="Times New Roman"/>
          <w:sz w:val="24"/>
          <w:szCs w:val="24"/>
        </w:rPr>
        <w:t>on a mot</w:t>
      </w:r>
      <w:r w:rsidR="003D1B07" w:rsidRPr="00391C31">
        <w:rPr>
          <w:rFonts w:ascii="Times New Roman" w:hAnsi="Times New Roman"/>
          <w:sz w:val="24"/>
          <w:szCs w:val="24"/>
        </w:rPr>
        <w:t xml:space="preserve">ion for preliminary injunction – </w:t>
      </w:r>
      <w:r w:rsidRPr="00391C31">
        <w:rPr>
          <w:rFonts w:ascii="Times New Roman" w:hAnsi="Times New Roman"/>
          <w:sz w:val="24"/>
          <w:szCs w:val="24"/>
        </w:rPr>
        <w:t>the</w:t>
      </w:r>
      <w:r w:rsidR="003D1B07" w:rsidRPr="00391C31">
        <w:rPr>
          <w:rFonts w:ascii="Times New Roman" w:hAnsi="Times New Roman"/>
          <w:sz w:val="24"/>
          <w:szCs w:val="24"/>
        </w:rPr>
        <w:t xml:space="preserve"> </w:t>
      </w:r>
      <w:r w:rsidRPr="00391C31">
        <w:rPr>
          <w:rFonts w:ascii="Times New Roman" w:hAnsi="Times New Roman"/>
          <w:sz w:val="24"/>
          <w:szCs w:val="24"/>
        </w:rPr>
        <w:t>balance of har</w:t>
      </w:r>
      <w:r w:rsidR="003D1B07" w:rsidRPr="00391C31">
        <w:rPr>
          <w:rFonts w:ascii="Times New Roman" w:hAnsi="Times New Roman"/>
          <w:sz w:val="24"/>
          <w:szCs w:val="24"/>
        </w:rPr>
        <w:t>dships and the public interest – may be viewed together</w:t>
      </w:r>
      <w:r w:rsidRPr="00391C31">
        <w:rPr>
          <w:rFonts w:ascii="Times New Roman" w:hAnsi="Times New Roman"/>
          <w:sz w:val="24"/>
          <w:szCs w:val="24"/>
        </w:rPr>
        <w:t>.</w:t>
      </w:r>
      <w:r w:rsidR="003D1B07" w:rsidRPr="00391C31">
        <w:rPr>
          <w:rFonts w:ascii="Times New Roman" w:hAnsi="Times New Roman"/>
          <w:sz w:val="24"/>
          <w:szCs w:val="24"/>
        </w:rPr>
        <w:t xml:space="preserve">  </w:t>
      </w:r>
      <w:r w:rsidR="003D1B07" w:rsidRPr="00391C31">
        <w:rPr>
          <w:rFonts w:ascii="Times New Roman" w:hAnsi="Times New Roman"/>
          <w:i/>
          <w:sz w:val="24"/>
          <w:szCs w:val="24"/>
        </w:rPr>
        <w:t>Brantley</w:t>
      </w:r>
      <w:r w:rsidR="003D1B07" w:rsidRPr="00391C31">
        <w:rPr>
          <w:rFonts w:ascii="Times New Roman" w:hAnsi="Times New Roman"/>
          <w:sz w:val="24"/>
          <w:szCs w:val="24"/>
        </w:rPr>
        <w:t>, 656 F. Supp. 2d at 1177 (citing</w:t>
      </w:r>
      <w:r w:rsidRPr="00391C31">
        <w:rPr>
          <w:rFonts w:ascii="Times New Roman" w:hAnsi="Times New Roman"/>
          <w:i/>
          <w:iCs/>
          <w:sz w:val="24"/>
          <w:szCs w:val="24"/>
        </w:rPr>
        <w:t xml:space="preserve"> </w:t>
      </w:r>
      <w:r w:rsidR="003D1B07" w:rsidRPr="00391C31">
        <w:rPr>
          <w:rFonts w:ascii="Times New Roman" w:hAnsi="Times New Roman"/>
          <w:i/>
          <w:sz w:val="24"/>
          <w:szCs w:val="24"/>
        </w:rPr>
        <w:t>Independent Living Ctr. Of S. Cal., Inc. v. Maxwell-Jolly</w:t>
      </w:r>
      <w:r w:rsidR="003D1B07" w:rsidRPr="00391C31">
        <w:rPr>
          <w:rFonts w:ascii="Times New Roman" w:hAnsi="Times New Roman"/>
          <w:sz w:val="24"/>
          <w:szCs w:val="24"/>
        </w:rPr>
        <w:t>, 572 F.3d 644, 657-58 (9th Cir. 2009)</w:t>
      </w:r>
      <w:r w:rsidR="00726D1D"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\l "</w:instrText>
      </w:r>
      <w:r w:rsidR="00657407" w:rsidRPr="00391C31">
        <w:rPr>
          <w:rFonts w:ascii="Times New Roman" w:hAnsi="Times New Roman"/>
          <w:i/>
          <w:sz w:val="24"/>
          <w:szCs w:val="24"/>
        </w:rPr>
        <w:instrText>Independent Living Ctr. Of S. Cal., Inc. v. Maxwell-Jolly</w:instrText>
      </w:r>
      <w:r w:rsidR="00657407" w:rsidRPr="00391C31">
        <w:rPr>
          <w:rFonts w:ascii="Times New Roman" w:hAnsi="Times New Roman"/>
          <w:sz w:val="24"/>
          <w:szCs w:val="24"/>
        </w:rPr>
        <w:instrText xml:space="preserve">, 572 F.3d 644 (9th Cir. 2009)" \s "Independent Living Ctr. Of S. Cal., Inc. v. Maxwell-Jolly, 572 F.3d 644 (9th Cir. 2009)" \c 1 </w:instrText>
      </w:r>
      <w:r w:rsidR="00726D1D" w:rsidRPr="00391C31">
        <w:rPr>
          <w:rFonts w:ascii="Times New Roman" w:hAnsi="Times New Roman"/>
          <w:sz w:val="24"/>
          <w:szCs w:val="24"/>
        </w:rPr>
        <w:fldChar w:fldCharType="end"/>
      </w:r>
      <w:r w:rsidR="003D1B07" w:rsidRPr="00391C31">
        <w:rPr>
          <w:rFonts w:ascii="Times New Roman" w:hAnsi="Times New Roman"/>
          <w:sz w:val="24"/>
          <w:szCs w:val="24"/>
        </w:rPr>
        <w:t xml:space="preserve">, </w:t>
      </w:r>
      <w:r w:rsidR="003D1B07" w:rsidRPr="00391C31">
        <w:rPr>
          <w:rFonts w:ascii="Times New Roman" w:hAnsi="Times New Roman"/>
          <w:i/>
          <w:sz w:val="24"/>
          <w:szCs w:val="24"/>
        </w:rPr>
        <w:t xml:space="preserve">cert granted on other </w:t>
      </w:r>
      <w:r w:rsidR="003F7EE1" w:rsidRPr="00391C31">
        <w:rPr>
          <w:rFonts w:ascii="Times New Roman" w:hAnsi="Times New Roman"/>
          <w:i/>
          <w:sz w:val="24"/>
          <w:szCs w:val="24"/>
        </w:rPr>
        <w:t>grounds</w:t>
      </w:r>
      <w:r w:rsidR="003D1B07" w:rsidRPr="00391C31">
        <w:rPr>
          <w:rFonts w:ascii="Times New Roman" w:hAnsi="Times New Roman"/>
          <w:sz w:val="24"/>
          <w:szCs w:val="24"/>
        </w:rPr>
        <w:t xml:space="preserve">, </w:t>
      </w:r>
      <w:r w:rsidR="003D1B07" w:rsidRPr="00391C31">
        <w:rPr>
          <w:rFonts w:ascii="Times New Roman" w:hAnsi="Times New Roman"/>
          <w:i/>
          <w:sz w:val="24"/>
          <w:szCs w:val="24"/>
        </w:rPr>
        <w:t>Douglas v. Independent Living Ctr. Of S. Cal., Inc.</w:t>
      </w:r>
      <w:r w:rsidR="003D1B07" w:rsidRPr="00391C31">
        <w:rPr>
          <w:rFonts w:ascii="Times New Roman" w:hAnsi="Times New Roman"/>
          <w:sz w:val="24"/>
          <w:szCs w:val="24"/>
        </w:rPr>
        <w:t xml:space="preserve">, Nos. 09-958, 09-1158, 10-283 (Jan. 18, 2011).  </w:t>
      </w:r>
      <w:r w:rsidR="00717D93" w:rsidRPr="00391C31">
        <w:rPr>
          <w:rFonts w:ascii="Times New Roman" w:hAnsi="Times New Roman"/>
          <w:sz w:val="24"/>
          <w:szCs w:val="24"/>
        </w:rPr>
        <w:t xml:space="preserve">As this Court has recognized, </w:t>
      </w:r>
      <w:r w:rsidR="006B78D8" w:rsidRPr="00391C31">
        <w:rPr>
          <w:rFonts w:ascii="Times New Roman" w:hAnsi="Times New Roman"/>
          <w:sz w:val="24"/>
          <w:szCs w:val="24"/>
        </w:rPr>
        <w:t>“</w:t>
      </w:r>
      <w:r w:rsidR="00717D93" w:rsidRPr="00391C31">
        <w:rPr>
          <w:rFonts w:ascii="Times New Roman" w:hAnsi="Times New Roman"/>
          <w:sz w:val="24"/>
          <w:szCs w:val="24"/>
        </w:rPr>
        <w:t>where the issue concerns the proposed reduction in medical benefits to indigents due to budgetary concerns, the Ninth Circuit has recognized that both the balance of hardships and public interest favor plaintiffs.</w:t>
      </w:r>
      <w:r w:rsidR="006B78D8" w:rsidRPr="00391C31">
        <w:rPr>
          <w:rFonts w:ascii="Times New Roman" w:hAnsi="Times New Roman"/>
          <w:sz w:val="24"/>
          <w:szCs w:val="24"/>
        </w:rPr>
        <w:t>”</w:t>
      </w:r>
      <w:r w:rsidR="00717D93" w:rsidRPr="00391C31">
        <w:rPr>
          <w:rFonts w:ascii="Times New Roman" w:hAnsi="Times New Roman"/>
          <w:sz w:val="24"/>
          <w:szCs w:val="24"/>
        </w:rPr>
        <w:t xml:space="preserve">  </w:t>
      </w:r>
      <w:r w:rsidR="00717D93" w:rsidRPr="00391C31">
        <w:rPr>
          <w:rFonts w:ascii="Times New Roman" w:hAnsi="Times New Roman"/>
          <w:i/>
          <w:sz w:val="24"/>
          <w:szCs w:val="24"/>
        </w:rPr>
        <w:t>Brantley</w:t>
      </w:r>
      <w:r w:rsidR="00717D93" w:rsidRPr="00391C31">
        <w:rPr>
          <w:rFonts w:ascii="Times New Roman" w:hAnsi="Times New Roman"/>
          <w:sz w:val="24"/>
          <w:szCs w:val="24"/>
        </w:rPr>
        <w:t>, 656 F. Supp. 2d at 1177 (citing</w:t>
      </w:r>
      <w:r w:rsidR="003D1B07" w:rsidRPr="00391C31">
        <w:rPr>
          <w:rFonts w:ascii="Times New Roman" w:hAnsi="Times New Roman"/>
          <w:sz w:val="24"/>
          <w:szCs w:val="24"/>
        </w:rPr>
        <w:t xml:space="preserve"> </w:t>
      </w:r>
      <w:r w:rsidR="003D1B07" w:rsidRPr="00391C31">
        <w:rPr>
          <w:rFonts w:ascii="Times New Roman" w:hAnsi="Times New Roman"/>
          <w:i/>
          <w:sz w:val="24"/>
          <w:szCs w:val="24"/>
        </w:rPr>
        <w:t xml:space="preserve">Independent Living Ctr. Of S. Cal., Inc., </w:t>
      </w:r>
      <w:r w:rsidR="003D1B07" w:rsidRPr="00391C31">
        <w:rPr>
          <w:rFonts w:ascii="Times New Roman" w:hAnsi="Times New Roman"/>
          <w:sz w:val="24"/>
          <w:szCs w:val="24"/>
        </w:rPr>
        <w:t>572 F. 3d at 657-58</w:t>
      </w:r>
      <w:r w:rsidR="00726D1D"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\s "Independent Living Ctr. Of S. Cal., Inc. v. Maxwell-Jolly, 572 F.3d 644 (9th Cir. 2009)" </w:instrText>
      </w:r>
      <w:r w:rsidR="00726D1D" w:rsidRPr="00391C31">
        <w:rPr>
          <w:rFonts w:ascii="Times New Roman" w:hAnsi="Times New Roman"/>
          <w:sz w:val="24"/>
          <w:szCs w:val="24"/>
        </w:rPr>
        <w:fldChar w:fldCharType="end"/>
      </w:r>
      <w:r w:rsidR="003D1B07" w:rsidRPr="00391C31">
        <w:rPr>
          <w:rFonts w:ascii="Times New Roman" w:hAnsi="Times New Roman"/>
          <w:sz w:val="24"/>
          <w:szCs w:val="24"/>
        </w:rPr>
        <w:t>)</w:t>
      </w:r>
      <w:r w:rsidR="006B78D8" w:rsidRPr="00391C31">
        <w:rPr>
          <w:rFonts w:ascii="Times New Roman" w:hAnsi="Times New Roman"/>
          <w:sz w:val="24"/>
          <w:szCs w:val="24"/>
        </w:rPr>
        <w:t>.</w:t>
      </w:r>
      <w:r w:rsidR="00717D93" w:rsidRPr="00391C31">
        <w:rPr>
          <w:rFonts w:ascii="Times New Roman" w:hAnsi="Times New Roman"/>
          <w:sz w:val="24"/>
          <w:szCs w:val="24"/>
        </w:rPr>
        <w:t xml:space="preserve"> </w:t>
      </w:r>
      <w:r w:rsidR="00F77D8A" w:rsidRPr="00391C31">
        <w:rPr>
          <w:rFonts w:ascii="Times New Roman" w:hAnsi="Times New Roman"/>
          <w:sz w:val="24"/>
          <w:szCs w:val="24"/>
        </w:rPr>
        <w:t xml:space="preserve"> </w:t>
      </w:r>
    </w:p>
    <w:p w:rsidR="00717D93" w:rsidRPr="00391C31" w:rsidRDefault="000112F5" w:rsidP="0039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sidRPr="00391C31">
        <w:rPr>
          <w:rFonts w:ascii="Times New Roman" w:hAnsi="Times New Roman"/>
          <w:sz w:val="24"/>
          <w:szCs w:val="24"/>
        </w:rPr>
        <w:tab/>
        <w:t>Further, because the additional costs of providing institutional care is so high – estimated at $51 million – any financial hardships that Defendants may incur will likely be offset by the cost savings that accrue from avoiding unnecessary institutionalizations.  (</w:t>
      </w:r>
      <w:r w:rsidRPr="00391C31">
        <w:rPr>
          <w:rFonts w:ascii="Times New Roman" w:hAnsi="Times New Roman"/>
          <w:i/>
          <w:sz w:val="24"/>
          <w:szCs w:val="24"/>
        </w:rPr>
        <w:t>See</w:t>
      </w:r>
      <w:r w:rsidRPr="00391C31">
        <w:rPr>
          <w:rFonts w:ascii="Times New Roman" w:hAnsi="Times New Roman"/>
          <w:sz w:val="24"/>
          <w:szCs w:val="24"/>
        </w:rPr>
        <w:t xml:space="preserve"> </w:t>
      </w:r>
      <w:r w:rsidR="0066544C" w:rsidRPr="00391C31">
        <w:rPr>
          <w:rFonts w:ascii="Times New Roman" w:hAnsi="Times New Roman"/>
          <w:sz w:val="24"/>
          <w:szCs w:val="24"/>
        </w:rPr>
        <w:t>Lewin Study</w:t>
      </w:r>
      <w:r w:rsidRPr="00391C31">
        <w:rPr>
          <w:rFonts w:ascii="Times New Roman" w:hAnsi="Times New Roman"/>
          <w:sz w:val="24"/>
          <w:szCs w:val="24"/>
        </w:rPr>
        <w:t xml:space="preserve"> at 5.)  This</w:t>
      </w:r>
      <w:r w:rsidR="00F77D8A" w:rsidRPr="00391C31">
        <w:rPr>
          <w:rFonts w:ascii="Times New Roman" w:hAnsi="Times New Roman"/>
          <w:sz w:val="24"/>
          <w:szCs w:val="24"/>
        </w:rPr>
        <w:t xml:space="preserve"> Court has recognized that that “financial considerations attributable to [a] state's </w:t>
      </w:r>
      <w:r w:rsidR="00F63151">
        <w:rPr>
          <w:rFonts w:ascii="Times New Roman" w:hAnsi="Times New Roman"/>
          <w:sz w:val="24"/>
          <w:szCs w:val="24"/>
        </w:rPr>
        <w:t>‘</w:t>
      </w:r>
      <w:r w:rsidR="00F77D8A" w:rsidRPr="00391C31">
        <w:rPr>
          <w:rFonts w:ascii="Times New Roman" w:hAnsi="Times New Roman"/>
          <w:sz w:val="24"/>
          <w:szCs w:val="24"/>
        </w:rPr>
        <w:t>fiscal crisis</w:t>
      </w:r>
      <w:r w:rsidR="00F63151">
        <w:rPr>
          <w:rFonts w:ascii="Times New Roman" w:hAnsi="Times New Roman"/>
          <w:sz w:val="24"/>
          <w:szCs w:val="24"/>
        </w:rPr>
        <w:t>’ are outweighed by the ‘</w:t>
      </w:r>
      <w:r w:rsidR="00F77D8A" w:rsidRPr="00391C31">
        <w:rPr>
          <w:rFonts w:ascii="Times New Roman" w:hAnsi="Times New Roman"/>
          <w:sz w:val="24"/>
          <w:szCs w:val="24"/>
        </w:rPr>
        <w:t>robust public interest in safeguarding access to healthcare for those eligible for Medicaid, w</w:t>
      </w:r>
      <w:r w:rsidR="00F63151">
        <w:rPr>
          <w:rFonts w:ascii="Times New Roman" w:hAnsi="Times New Roman"/>
          <w:sz w:val="24"/>
          <w:szCs w:val="24"/>
        </w:rPr>
        <w:t xml:space="preserve">hom Congress has recognized as </w:t>
      </w:r>
      <w:r w:rsidR="00F77D8A" w:rsidRPr="00391C31">
        <w:rPr>
          <w:rFonts w:ascii="Times New Roman" w:hAnsi="Times New Roman"/>
          <w:sz w:val="24"/>
          <w:szCs w:val="24"/>
        </w:rPr>
        <w:t xml:space="preserve">the most needy in the country.’” </w:t>
      </w:r>
      <w:r w:rsidR="00F77D8A" w:rsidRPr="00391C31">
        <w:rPr>
          <w:rFonts w:ascii="Times New Roman" w:hAnsi="Times New Roman"/>
          <w:i/>
          <w:sz w:val="24"/>
          <w:szCs w:val="24"/>
        </w:rPr>
        <w:t>Cota</w:t>
      </w:r>
      <w:r w:rsidR="00F77D8A" w:rsidRPr="00391C31">
        <w:rPr>
          <w:rFonts w:ascii="Times New Roman" w:hAnsi="Times New Roman"/>
          <w:sz w:val="24"/>
          <w:szCs w:val="24"/>
        </w:rPr>
        <w:t>, 688 F. Supp. 2d at 999</w:t>
      </w:r>
      <w:r w:rsidR="00726D1D"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\s "Cota v. Maxwell-Jolly, 688 F. Supp. 2d 980 (N.D. Cal. 2010)" </w:instrText>
      </w:r>
      <w:r w:rsidR="00726D1D" w:rsidRPr="00391C31">
        <w:rPr>
          <w:rFonts w:ascii="Times New Roman" w:hAnsi="Times New Roman"/>
          <w:sz w:val="24"/>
          <w:szCs w:val="24"/>
        </w:rPr>
        <w:fldChar w:fldCharType="end"/>
      </w:r>
      <w:r w:rsidR="00F77D8A" w:rsidRPr="00391C31">
        <w:rPr>
          <w:rFonts w:ascii="Times New Roman" w:hAnsi="Times New Roman"/>
          <w:sz w:val="24"/>
          <w:szCs w:val="24"/>
        </w:rPr>
        <w:t xml:space="preserve"> (</w:t>
      </w:r>
      <w:r w:rsidR="00F77D8A" w:rsidRPr="00391C31">
        <w:rPr>
          <w:rFonts w:ascii="Times New Roman" w:hAnsi="Times New Roman"/>
          <w:i/>
          <w:sz w:val="24"/>
          <w:szCs w:val="24"/>
        </w:rPr>
        <w:t>citing Independent Living Ctr.</w:t>
      </w:r>
      <w:r w:rsidR="00F77D8A" w:rsidRPr="00391C31">
        <w:rPr>
          <w:rFonts w:ascii="Times New Roman" w:hAnsi="Times New Roman"/>
          <w:sz w:val="24"/>
          <w:szCs w:val="24"/>
        </w:rPr>
        <w:t>, 572 F. 3d at 657-58</w:t>
      </w:r>
      <w:r w:rsidR="00726D1D"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\s "Independent Living Ctr. Of S. Cal., Inc. v. Maxwell-Jolly, 572 F.3d 644 (9th Cir. 2009)" </w:instrText>
      </w:r>
      <w:r w:rsidR="00726D1D" w:rsidRPr="00391C31">
        <w:rPr>
          <w:rFonts w:ascii="Times New Roman" w:hAnsi="Times New Roman"/>
          <w:sz w:val="24"/>
          <w:szCs w:val="24"/>
        </w:rPr>
        <w:fldChar w:fldCharType="end"/>
      </w:r>
      <w:r w:rsidR="00F77D8A" w:rsidRPr="00391C31">
        <w:rPr>
          <w:rFonts w:ascii="Times New Roman" w:hAnsi="Times New Roman"/>
          <w:sz w:val="24"/>
          <w:szCs w:val="24"/>
        </w:rPr>
        <w:t>)</w:t>
      </w:r>
      <w:r w:rsidR="00F63151">
        <w:rPr>
          <w:rFonts w:ascii="Times New Roman" w:hAnsi="Times New Roman"/>
          <w:sz w:val="24"/>
          <w:szCs w:val="24"/>
        </w:rPr>
        <w:t xml:space="preserve"> (internal citations omitted)</w:t>
      </w:r>
      <w:r w:rsidR="00F77D8A" w:rsidRPr="00391C31">
        <w:rPr>
          <w:rFonts w:ascii="Times New Roman" w:hAnsi="Times New Roman"/>
          <w:sz w:val="24"/>
          <w:szCs w:val="24"/>
        </w:rPr>
        <w:t xml:space="preserve">; </w:t>
      </w:r>
      <w:r w:rsidR="00F77D8A" w:rsidRPr="00391C31">
        <w:rPr>
          <w:rFonts w:ascii="Times New Roman" w:hAnsi="Times New Roman"/>
          <w:i/>
          <w:sz w:val="24"/>
          <w:szCs w:val="24"/>
        </w:rPr>
        <w:t xml:space="preserve">see also V.L., </w:t>
      </w:r>
      <w:r w:rsidR="00F77D8A" w:rsidRPr="00391C31">
        <w:rPr>
          <w:rFonts w:ascii="Times New Roman" w:hAnsi="Times New Roman"/>
          <w:bCs/>
          <w:sz w:val="24"/>
          <w:szCs w:val="24"/>
        </w:rPr>
        <w:t>669 F. Supp. 2d at 1122</w:t>
      </w:r>
      <w:r w:rsidR="00726D1D" w:rsidRPr="00391C31">
        <w:rPr>
          <w:rFonts w:ascii="Times New Roman" w:hAnsi="Times New Roman"/>
          <w:bCs/>
          <w:sz w:val="24"/>
          <w:szCs w:val="24"/>
        </w:rPr>
        <w:fldChar w:fldCharType="begin"/>
      </w:r>
      <w:r w:rsidR="00657407" w:rsidRPr="00391C31">
        <w:rPr>
          <w:rFonts w:ascii="Times New Roman" w:hAnsi="Times New Roman"/>
          <w:sz w:val="24"/>
          <w:szCs w:val="24"/>
        </w:rPr>
        <w:instrText xml:space="preserve"> TA \s "V.L. v. Wagner, 669 F. Supp. 2d 1106 (N.D. Cal. 2009)" </w:instrText>
      </w:r>
      <w:r w:rsidR="00726D1D" w:rsidRPr="00391C31">
        <w:rPr>
          <w:rFonts w:ascii="Times New Roman" w:hAnsi="Times New Roman"/>
          <w:bCs/>
          <w:sz w:val="24"/>
          <w:szCs w:val="24"/>
        </w:rPr>
        <w:fldChar w:fldCharType="end"/>
      </w:r>
      <w:r w:rsidR="00F77D8A" w:rsidRPr="00391C31">
        <w:rPr>
          <w:rFonts w:ascii="Times New Roman" w:hAnsi="Times New Roman"/>
          <w:bCs/>
          <w:sz w:val="24"/>
          <w:szCs w:val="24"/>
        </w:rPr>
        <w:t xml:space="preserve"> (</w:t>
      </w:r>
      <w:r w:rsidR="00F77D8A" w:rsidRPr="00391C31">
        <w:rPr>
          <w:rFonts w:ascii="Times New Roman" w:hAnsi="Times New Roman"/>
          <w:sz w:val="24"/>
          <w:szCs w:val="24"/>
        </w:rPr>
        <w:t>determining that the risk of institutionalization and inability to access necessary medical care harm to the beneficiaries facing reductions in IHSS hours outweighs the Defendants’ budget considerations</w:t>
      </w:r>
      <w:r w:rsidRPr="00391C31">
        <w:rPr>
          <w:rFonts w:ascii="Times New Roman" w:hAnsi="Times New Roman"/>
          <w:sz w:val="24"/>
          <w:szCs w:val="24"/>
        </w:rPr>
        <w:t>)</w:t>
      </w:r>
      <w:r w:rsidR="003D1B07" w:rsidRPr="00391C31">
        <w:rPr>
          <w:rFonts w:ascii="Times New Roman" w:hAnsi="Times New Roman"/>
          <w:sz w:val="24"/>
          <w:szCs w:val="24"/>
        </w:rPr>
        <w:t>.</w:t>
      </w:r>
    </w:p>
    <w:p w:rsidR="00911046" w:rsidRDefault="00726D1D" w:rsidP="0039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rPr>
          <w:rFonts w:ascii="Times New Roman" w:hAnsi="Times New Roman"/>
          <w:sz w:val="24"/>
          <w:szCs w:val="24"/>
        </w:rPr>
      </w:pPr>
      <w:r>
        <w:rPr>
          <w:rFonts w:ascii="Times New Roman" w:hAnsi="Times New Roman"/>
          <w:noProof/>
          <w:sz w:val="24"/>
          <w:szCs w:val="24"/>
        </w:rPr>
        <w:pict>
          <v:shape id="_x0000_s1057" type="#_x0000_t202" style="position:absolute;margin-left:-43.5pt;margin-top:1.5pt;width:36pt;height:10in;z-index:2516899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" o:allowincell="f" stroked="f">
            <v:textbox inset="0,0,0,0">
              <w:txbxContent>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8B6B8C">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8B6B8C">
                  <w:pPr>
                    <w:spacing w:after="0" w:line="480" w:lineRule="exact"/>
                    <w:jc w:val="right"/>
                  </w:pPr>
                </w:p>
              </w:txbxContent>
            </v:textbox>
            <w10:wrap anchorx="margin" anchory="margin"/>
          </v:shape>
        </w:pict>
      </w:r>
      <w:r w:rsidR="00F77D8A" w:rsidRPr="00391C31">
        <w:rPr>
          <w:rFonts w:ascii="Times New Roman" w:hAnsi="Times New Roman"/>
          <w:sz w:val="24"/>
          <w:szCs w:val="24"/>
        </w:rPr>
        <w:tab/>
      </w:r>
      <w:r w:rsidR="000112F5" w:rsidRPr="00391C31">
        <w:rPr>
          <w:rFonts w:ascii="Times New Roman" w:hAnsi="Times New Roman"/>
          <w:sz w:val="24"/>
          <w:szCs w:val="24"/>
        </w:rPr>
        <w:t>Lastly, t</w:t>
      </w:r>
      <w:r w:rsidR="00733583" w:rsidRPr="00391C31">
        <w:rPr>
          <w:rFonts w:ascii="Times New Roman" w:hAnsi="Times New Roman"/>
          <w:sz w:val="24"/>
          <w:szCs w:val="24"/>
        </w:rPr>
        <w:t>here is a public interest in eliminating the discriminatory effects that arise from segregating persons with disabilities into institutions when they can be appropriately placed in</w:t>
      </w:r>
      <w:r w:rsidR="00A74172" w:rsidRPr="00391C31">
        <w:rPr>
          <w:rFonts w:ascii="Times New Roman" w:hAnsi="Times New Roman"/>
          <w:sz w:val="24"/>
          <w:szCs w:val="24"/>
        </w:rPr>
        <w:t xml:space="preserve"> or remain in </w:t>
      </w:r>
      <w:r w:rsidR="00733583" w:rsidRPr="00391C31">
        <w:rPr>
          <w:rFonts w:ascii="Times New Roman" w:hAnsi="Times New Roman"/>
          <w:sz w:val="24"/>
          <w:szCs w:val="24"/>
        </w:rPr>
        <w:t xml:space="preserve">community settings.  As </w:t>
      </w:r>
      <w:r w:rsidR="00B00C8F" w:rsidRPr="00391C31">
        <w:rPr>
          <w:rFonts w:ascii="Times New Roman" w:hAnsi="Times New Roman"/>
          <w:sz w:val="24"/>
          <w:szCs w:val="24"/>
        </w:rPr>
        <w:t xml:space="preserve">the Supreme Court explained in </w:t>
      </w:r>
      <w:r w:rsidR="00733583" w:rsidRPr="00391C31">
        <w:rPr>
          <w:rFonts w:ascii="Times New Roman" w:hAnsi="Times New Roman"/>
          <w:i/>
          <w:iCs/>
          <w:sz w:val="24"/>
          <w:szCs w:val="24"/>
        </w:rPr>
        <w:t>Olmstead</w:t>
      </w:r>
      <w:r w:rsidR="00733583" w:rsidRPr="00391C31">
        <w:rPr>
          <w:rFonts w:ascii="Times New Roman" w:hAnsi="Times New Roman"/>
          <w:sz w:val="24"/>
          <w:szCs w:val="24"/>
        </w:rPr>
        <w:t>, the unjustified segregation of persons with disabilities can stigmatize them as incapable or unworthy of participating in community life.</w:t>
      </w:r>
      <w:r w:rsidR="00733583" w:rsidRPr="00391C31">
        <w:rPr>
          <w:rStyle w:val="FootnoteReference"/>
          <w:rFonts w:ascii="Times New Roman" w:hAnsi="Times New Roman"/>
          <w:sz w:val="24"/>
          <w:szCs w:val="24"/>
        </w:rPr>
        <w:footnoteReference w:id="21"/>
      </w:r>
      <w:r w:rsidR="00733583" w:rsidRPr="00391C31">
        <w:rPr>
          <w:rFonts w:ascii="Times New Roman" w:hAnsi="Times New Roman"/>
          <w:sz w:val="24"/>
          <w:szCs w:val="24"/>
        </w:rPr>
        <w:t xml:space="preserve">  </w:t>
      </w:r>
      <w:r w:rsidR="00733583" w:rsidRPr="00391C31">
        <w:rPr>
          <w:rFonts w:ascii="Times New Roman" w:hAnsi="Times New Roman"/>
          <w:i/>
          <w:iCs/>
          <w:sz w:val="24"/>
          <w:szCs w:val="24"/>
        </w:rPr>
        <w:t xml:space="preserve">Olmstead, </w:t>
      </w:r>
      <w:r w:rsidR="00733583" w:rsidRPr="00391C31">
        <w:rPr>
          <w:rFonts w:ascii="Times New Roman" w:hAnsi="Times New Roman"/>
          <w:sz w:val="24"/>
          <w:szCs w:val="24"/>
        </w:rPr>
        <w:t>527 U.S. at 600</w:t>
      </w:r>
      <w:r w:rsidRPr="00391C31">
        <w:rPr>
          <w:rFonts w:ascii="Times New Roman" w:hAnsi="Times New Roman"/>
          <w:sz w:val="24"/>
          <w:szCs w:val="24"/>
        </w:rPr>
        <w:fldChar w:fldCharType="begin"/>
      </w:r>
      <w:r w:rsidR="00657407" w:rsidRPr="00391C31">
        <w:rPr>
          <w:rFonts w:ascii="Times New Roman" w:hAnsi="Times New Roman"/>
          <w:sz w:val="24"/>
          <w:szCs w:val="24"/>
        </w:rPr>
        <w:instrText xml:space="preserve"> TA \s "Olmstead v. L.C., 527 U.S. 581 (1999)" </w:instrText>
      </w:r>
      <w:r w:rsidRPr="00391C31">
        <w:rPr>
          <w:rFonts w:ascii="Times New Roman" w:hAnsi="Times New Roman"/>
          <w:sz w:val="24"/>
          <w:szCs w:val="24"/>
        </w:rPr>
        <w:fldChar w:fldCharType="end"/>
      </w:r>
      <w:r w:rsidR="00733583" w:rsidRPr="00391C31">
        <w:rPr>
          <w:rFonts w:ascii="Times New Roman" w:hAnsi="Times New Roman"/>
          <w:sz w:val="24"/>
          <w:szCs w:val="24"/>
        </w:rPr>
        <w:t>.</w:t>
      </w:r>
    </w:p>
    <w:p w:rsidR="00733583" w:rsidRPr="00391C31" w:rsidRDefault="00733583" w:rsidP="00335E73">
      <w:pPr>
        <w:pStyle w:val="Heading"/>
        <w:outlineLvl w:val="0"/>
      </w:pPr>
      <w:r w:rsidRPr="00391C31">
        <w:rPr>
          <w:u w:val="none"/>
        </w:rPr>
        <w:t xml:space="preserve">      </w:t>
      </w:r>
      <w:bookmarkStart w:id="17" w:name="_Toc298266492"/>
      <w:r w:rsidRPr="00391C31">
        <w:t>CONCLUSION</w:t>
      </w:r>
      <w:bookmarkEnd w:id="17"/>
    </w:p>
    <w:p w:rsidR="00733583" w:rsidRPr="00391C31" w:rsidRDefault="00733583" w:rsidP="00391C31">
      <w:pPr>
        <w:spacing w:line="480" w:lineRule="atLeast"/>
        <w:ind w:firstLine="720"/>
        <w:rPr>
          <w:rFonts w:ascii="Times New Roman" w:hAnsi="Times New Roman"/>
          <w:sz w:val="24"/>
          <w:szCs w:val="24"/>
        </w:rPr>
      </w:pPr>
      <w:r w:rsidRPr="00391C31">
        <w:rPr>
          <w:rFonts w:ascii="Times New Roman" w:hAnsi="Times New Roman"/>
          <w:sz w:val="24"/>
          <w:szCs w:val="24"/>
        </w:rPr>
        <w:t xml:space="preserve">For the reasons stated above, the Court should </w:t>
      </w:r>
      <w:r w:rsidR="00764AA1" w:rsidRPr="00391C31">
        <w:rPr>
          <w:rFonts w:ascii="Times New Roman" w:hAnsi="Times New Roman"/>
          <w:sz w:val="24"/>
          <w:szCs w:val="24"/>
        </w:rPr>
        <w:t xml:space="preserve">grant Plaintiffs’ Motion for Preliminary Injunction and enjoin the State from eliminating ADHC services unless and until adequate, appropriate, and uninterrupted services are provided.  </w:t>
      </w:r>
      <w:r w:rsidRPr="00391C31">
        <w:rPr>
          <w:rFonts w:ascii="Times New Roman" w:hAnsi="Times New Roman"/>
          <w:sz w:val="24"/>
          <w:szCs w:val="24"/>
        </w:rPr>
        <w:t>With the Court’s permission, counsel for the United States will be present at any upcoming hearings.</w:t>
      </w:r>
    </w:p>
    <w:p w:rsidR="00733583" w:rsidRDefault="00733583" w:rsidP="00733583">
      <w:pPr>
        <w:tabs>
          <w:tab w:val="left" w:pos="1080"/>
          <w:tab w:val="left" w:pos="4395"/>
          <w:tab w:val="left" w:pos="5040"/>
          <w:tab w:val="left" w:pos="5310"/>
        </w:tabs>
        <w:spacing w:before="240" w:line="240" w:lineRule="auto"/>
        <w:rPr>
          <w:rFonts w:ascii="Times New Roman" w:hAnsi="Times New Roman"/>
          <w:sz w:val="24"/>
          <w:szCs w:val="24"/>
        </w:rPr>
      </w:pPr>
      <w:r w:rsidRPr="005C2834">
        <w:rPr>
          <w:rFonts w:ascii="Times New Roman" w:hAnsi="Times New Roman"/>
          <w:sz w:val="24"/>
          <w:szCs w:val="24"/>
        </w:rPr>
        <w:t xml:space="preserve">DATED:  </w:t>
      </w:r>
      <w:r>
        <w:rPr>
          <w:rFonts w:ascii="Times New Roman" w:hAnsi="Times New Roman"/>
          <w:sz w:val="24"/>
          <w:szCs w:val="24"/>
        </w:rPr>
        <w:t>July 12, 2011</w:t>
      </w:r>
      <w:r w:rsidRPr="005C2834">
        <w:rPr>
          <w:rFonts w:ascii="Times New Roman" w:hAnsi="Times New Roman"/>
          <w:sz w:val="24"/>
          <w:szCs w:val="24"/>
        </w:rPr>
        <w:tab/>
      </w:r>
      <w:r w:rsidRPr="005C2834">
        <w:rPr>
          <w:rFonts w:ascii="Times New Roman" w:hAnsi="Times New Roman"/>
          <w:sz w:val="24"/>
          <w:szCs w:val="24"/>
        </w:rPr>
        <w:tab/>
      </w:r>
    </w:p>
    <w:p w:rsidR="005350AB" w:rsidRDefault="005350AB" w:rsidP="00733583">
      <w:pPr>
        <w:tabs>
          <w:tab w:val="left" w:pos="1080"/>
          <w:tab w:val="left" w:pos="4395"/>
          <w:tab w:val="left" w:pos="5040"/>
          <w:tab w:val="left" w:pos="5310"/>
        </w:tabs>
        <w:spacing w:before="240" w:line="240" w:lineRule="auto"/>
        <w:rPr>
          <w:rFonts w:ascii="Times New Roman" w:hAnsi="Times New Roman"/>
          <w:sz w:val="24"/>
          <w:szCs w:val="24"/>
        </w:rPr>
      </w:pPr>
    </w:p>
    <w:p w:rsidR="00E7284F" w:rsidRDefault="00E7284F" w:rsidP="00733583">
      <w:pPr>
        <w:tabs>
          <w:tab w:val="left" w:pos="1080"/>
          <w:tab w:val="left" w:pos="4395"/>
          <w:tab w:val="left" w:pos="5040"/>
          <w:tab w:val="left" w:pos="5310"/>
        </w:tabs>
        <w:spacing w:before="240" w:line="240" w:lineRule="auto"/>
        <w:rPr>
          <w:rFonts w:ascii="Times New Roman" w:hAnsi="Times New Roman"/>
          <w:sz w:val="24"/>
          <w:szCs w:val="24"/>
        </w:rPr>
      </w:pPr>
    </w:p>
    <w:p w:rsidR="00E7284F" w:rsidRPr="005C2834" w:rsidRDefault="00E7284F" w:rsidP="00733583">
      <w:pPr>
        <w:tabs>
          <w:tab w:val="left" w:pos="1080"/>
          <w:tab w:val="left" w:pos="4395"/>
          <w:tab w:val="left" w:pos="5040"/>
          <w:tab w:val="left" w:pos="5310"/>
        </w:tabs>
        <w:spacing w:before="240" w:line="240" w:lineRule="auto"/>
        <w:rPr>
          <w:rFonts w:ascii="Times New Roman" w:hAnsi="Times New Roman"/>
          <w:sz w:val="24"/>
          <w:szCs w:val="24"/>
        </w:rPr>
      </w:pPr>
    </w:p>
    <w:p w:rsidR="00733583" w:rsidRPr="005C2834" w:rsidRDefault="00733583" w:rsidP="00733583">
      <w:pPr>
        <w:tabs>
          <w:tab w:val="left" w:pos="1080"/>
          <w:tab w:val="left" w:pos="4320"/>
          <w:tab w:val="left" w:pos="5040"/>
          <w:tab w:val="left" w:pos="5310"/>
        </w:tabs>
        <w:spacing w:before="240" w:line="240" w:lineRule="auto"/>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t>Respectfully submitted,</w:t>
      </w:r>
    </w:p>
    <w:p w:rsidR="00733583" w:rsidRDefault="00733583" w:rsidP="0066544C">
      <w:pPr>
        <w:tabs>
          <w:tab w:val="left" w:pos="1080"/>
          <w:tab w:val="left" w:pos="4334"/>
          <w:tab w:val="left" w:pos="4395"/>
          <w:tab w:val="left" w:pos="5040"/>
          <w:tab w:val="left" w:pos="5310"/>
        </w:tabs>
        <w:spacing w:before="240" w:after="0" w:line="240" w:lineRule="auto"/>
        <w:rPr>
          <w:rFonts w:ascii="Times New Roman" w:hAnsi="Times New Roman"/>
          <w:sz w:val="24"/>
          <w:szCs w:val="24"/>
        </w:rPr>
      </w:pPr>
      <w:r w:rsidRPr="005C2834">
        <w:rPr>
          <w:rFonts w:ascii="Times New Roman" w:hAnsi="Times New Roman"/>
          <w:sz w:val="24"/>
          <w:szCs w:val="24"/>
        </w:rPr>
        <w:tab/>
      </w:r>
      <w:r w:rsidR="0066544C">
        <w:rPr>
          <w:rFonts w:ascii="Times New Roman" w:hAnsi="Times New Roman"/>
          <w:sz w:val="24"/>
          <w:szCs w:val="24"/>
        </w:rPr>
        <w:tab/>
      </w:r>
      <w:r w:rsidRPr="005C2834">
        <w:rPr>
          <w:rFonts w:ascii="Times New Roman" w:hAnsi="Times New Roman"/>
          <w:sz w:val="24"/>
          <w:szCs w:val="24"/>
        </w:rPr>
        <w:tab/>
      </w:r>
    </w:p>
    <w:p w:rsidR="00733583" w:rsidRPr="005C2834" w:rsidRDefault="00775AA9" w:rsidP="00775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MELINDA HAAG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3583">
        <w:rPr>
          <w:rFonts w:ascii="Times New Roman" w:hAnsi="Times New Roman"/>
          <w:sz w:val="24"/>
          <w:szCs w:val="24"/>
        </w:rPr>
        <w:tab/>
      </w:r>
      <w:r w:rsidR="00733583" w:rsidRPr="005C2834">
        <w:rPr>
          <w:rFonts w:ascii="Times New Roman" w:hAnsi="Times New Roman"/>
          <w:sz w:val="24"/>
          <w:szCs w:val="24"/>
        </w:rPr>
        <w:t>THOMAS E. PEREZ</w:t>
      </w:r>
    </w:p>
    <w:p w:rsidR="00733583" w:rsidRPr="005C2834" w:rsidRDefault="00775AA9"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United States Attorney</w:t>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t>Assistant Attorney General</w:t>
      </w:r>
      <w:r w:rsidR="00733583" w:rsidRPr="005C2834">
        <w:rPr>
          <w:rFonts w:ascii="Times New Roman" w:hAnsi="Times New Roman"/>
          <w:sz w:val="24"/>
          <w:szCs w:val="24"/>
        </w:rPr>
        <w:tab/>
      </w:r>
      <w:r w:rsidR="00733583" w:rsidRPr="005C2834">
        <w:rPr>
          <w:rFonts w:ascii="Times New Roman" w:hAnsi="Times New Roman"/>
          <w:sz w:val="24"/>
          <w:szCs w:val="24"/>
        </w:rPr>
        <w:tab/>
      </w:r>
    </w:p>
    <w:p w:rsidR="00733583" w:rsidRPr="005C2834" w:rsidRDefault="00775AA9"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Northern District of California</w:t>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3600"/>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SAMUEL R. BAGENSTOS</w:t>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Principal Deputy Assistant Attorney General</w:t>
      </w:r>
    </w:p>
    <w:p w:rsidR="00534BB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p>
    <w:p w:rsidR="00534BB4" w:rsidRDefault="00534BB4"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ALISON BARKOFF</w:t>
      </w:r>
    </w:p>
    <w:p w:rsidR="00733583" w:rsidRPr="005C2834" w:rsidRDefault="00534BB4"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Special Counsel for Olmstead Enforcement</w:t>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p>
    <w:p w:rsidR="004129A7"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004129A7" w:rsidRPr="005C2834">
        <w:rPr>
          <w:rFonts w:ascii="Times New Roman" w:hAnsi="Times New Roman"/>
          <w:sz w:val="24"/>
          <w:szCs w:val="24"/>
        </w:rPr>
        <w:t>Civil Rights Division</w:t>
      </w:r>
    </w:p>
    <w:p w:rsidR="00534BB4" w:rsidRDefault="00534BB4"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rsidR="00534BB4" w:rsidRDefault="00726D1D"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noProof/>
          <w:sz w:val="24"/>
          <w:szCs w:val="24"/>
        </w:rPr>
        <w:pict>
          <v:shape id="_x0000_s1065" type="#_x0000_t202" style="position:absolute;margin-left:-45.75pt;margin-top:-3pt;width:36pt;height:10in;z-index:2516961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" o:allowincell="f" stroked="f">
            <v:textbox inset="0,0,0,0">
              <w:txbxContent>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3</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4</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5</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6</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7</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8</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9</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10</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11</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12</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13</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14</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15</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16</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17</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18</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19</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20</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21</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22</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23</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24</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25</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26</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27</w:t>
                  </w:r>
                </w:p>
                <w:p w:rsidR="001B1144" w:rsidRDefault="001B1144" w:rsidP="004B5B67">
                  <w:pPr>
                    <w:spacing w:after="0" w:line="480" w:lineRule="exact"/>
                    <w:jc w:val="right"/>
                    <w:rPr>
                      <w:rFonts w:ascii="Times New Roman" w:hAnsi="Times New Roman"/>
                      <w:sz w:val="24"/>
                      <w:szCs w:val="24"/>
                    </w:rPr>
                  </w:pPr>
                  <w:r>
                    <w:rPr>
                      <w:rFonts w:ascii="Times New Roman" w:hAnsi="Times New Roman"/>
                      <w:sz w:val="24"/>
                      <w:szCs w:val="24"/>
                    </w:rPr>
                    <w:t>28</w:t>
                  </w:r>
                </w:p>
                <w:p w:rsidR="001B1144" w:rsidRDefault="001B1144" w:rsidP="004B5B67">
                  <w:pPr>
                    <w:spacing w:after="0" w:line="480" w:lineRule="exact"/>
                    <w:jc w:val="right"/>
                  </w:pPr>
                </w:p>
              </w:txbxContent>
            </v:textbox>
            <w10:wrap anchorx="margin" anchory="margin"/>
          </v:shape>
        </w:pict>
      </w:r>
    </w:p>
    <w:p w:rsidR="00534BB4" w:rsidRDefault="00534BB4" w:rsidP="00534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sz w:val="24"/>
          <w:szCs w:val="24"/>
        </w:rPr>
      </w:pPr>
      <w:r>
        <w:rPr>
          <w:rFonts w:ascii="Times New Roman" w:hAnsi="Times New Roman"/>
          <w:sz w:val="24"/>
          <w:szCs w:val="24"/>
        </w:rPr>
        <w:tab/>
      </w:r>
    </w:p>
    <w:p w:rsidR="00534BB4" w:rsidRDefault="00685365" w:rsidP="00685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u w:val="single"/>
        </w:rPr>
      </w:pPr>
      <w:r w:rsidRPr="004B5B67">
        <w:rPr>
          <w:rFonts w:ascii="Times New Roman" w:hAnsi="Times New Roman"/>
          <w:sz w:val="24"/>
          <w:szCs w:val="24"/>
          <w:highlight w:val="white"/>
          <w:u w:val="single"/>
        </w:rPr>
        <w:t xml:space="preserve">/s/ </w:t>
      </w:r>
      <w:r w:rsidRPr="004B5B67">
        <w:rPr>
          <w:rFonts w:ascii="Times New Roman" w:hAnsi="Times New Roman"/>
          <w:i/>
          <w:sz w:val="24"/>
          <w:szCs w:val="24"/>
          <w:highlight w:val="white"/>
          <w:u w:val="single"/>
        </w:rPr>
        <w:t>Ila Deiss</w:t>
      </w:r>
      <w:r w:rsidRPr="004B5B67">
        <w:rPr>
          <w:rFonts w:ascii="Times New Roman" w:hAnsi="Times New Roman"/>
          <w:sz w:val="24"/>
          <w:szCs w:val="24"/>
          <w:highlight w:val="white"/>
          <w:u w:val="single"/>
        </w:rPr>
        <w:t>__</w:t>
      </w:r>
      <w:r>
        <w:rPr>
          <w:rFonts w:ascii="Times New Roman" w:hAnsi="Times New Roman"/>
          <w:sz w:val="24"/>
          <w:szCs w:val="24"/>
          <w:u w:val="single"/>
        </w:rPr>
        <w:tab/>
      </w:r>
      <w:r>
        <w:rPr>
          <w:rFonts w:ascii="Times New Roman" w:hAnsi="Times New Roman"/>
          <w:sz w:val="24"/>
          <w:szCs w:val="24"/>
          <w:u w:val="single"/>
        </w:rPr>
        <w:tab/>
      </w:r>
      <w:r w:rsidR="00534BB4">
        <w:rPr>
          <w:rFonts w:ascii="Times New Roman" w:hAnsi="Times New Roman"/>
          <w:sz w:val="24"/>
          <w:szCs w:val="24"/>
        </w:rPr>
        <w:tab/>
      </w:r>
      <w:r w:rsidR="00534BB4">
        <w:rPr>
          <w:rFonts w:ascii="Times New Roman" w:hAnsi="Times New Roman"/>
          <w:sz w:val="24"/>
          <w:szCs w:val="24"/>
        </w:rPr>
        <w:tab/>
      </w:r>
      <w:r w:rsidR="00534BB4">
        <w:rPr>
          <w:rFonts w:ascii="Times New Roman" w:hAnsi="Times New Roman"/>
          <w:sz w:val="24"/>
          <w:szCs w:val="24"/>
        </w:rPr>
        <w:tab/>
      </w:r>
      <w:r w:rsidR="00733583" w:rsidRPr="005C2834">
        <w:rPr>
          <w:rFonts w:ascii="Times New Roman" w:hAnsi="Times New Roman"/>
          <w:sz w:val="24"/>
          <w:szCs w:val="24"/>
          <w:u w:val="single"/>
        </w:rPr>
        <w:t xml:space="preserve">/s/ </w:t>
      </w:r>
      <w:r w:rsidR="00534BB4" w:rsidRPr="00BE0DEC">
        <w:rPr>
          <w:rFonts w:ascii="Times New Roman" w:hAnsi="Times New Roman"/>
          <w:i/>
          <w:sz w:val="24"/>
          <w:szCs w:val="24"/>
          <w:u w:val="single"/>
        </w:rPr>
        <w:t>Travis England</w:t>
      </w:r>
      <w:r w:rsidR="00733583" w:rsidRPr="005C2834">
        <w:rPr>
          <w:rFonts w:ascii="Times New Roman" w:hAnsi="Times New Roman"/>
          <w:sz w:val="24"/>
          <w:szCs w:val="24"/>
          <w:u w:val="single"/>
        </w:rPr>
        <w:t xml:space="preserve">            </w:t>
      </w:r>
    </w:p>
    <w:p w:rsidR="000F0493" w:rsidRDefault="00685365" w:rsidP="00685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4B5B67">
        <w:rPr>
          <w:rFonts w:ascii="Times New Roman" w:hAnsi="Times New Roman"/>
          <w:sz w:val="24"/>
          <w:szCs w:val="24"/>
        </w:rPr>
        <w:t>ILA C. DEISS, NY SBN 3052909</w:t>
      </w:r>
      <w:r w:rsidR="00534BB4" w:rsidRPr="00534BB4">
        <w:rPr>
          <w:rFonts w:ascii="Times New Roman" w:hAnsi="Times New Roman"/>
          <w:sz w:val="24"/>
          <w:szCs w:val="24"/>
        </w:rPr>
        <w:tab/>
      </w:r>
      <w:r w:rsidR="00534BB4" w:rsidRPr="00534BB4">
        <w:rPr>
          <w:rFonts w:ascii="Times New Roman" w:hAnsi="Times New Roman"/>
          <w:sz w:val="24"/>
          <w:szCs w:val="24"/>
        </w:rPr>
        <w:tab/>
      </w:r>
      <w:r w:rsidR="00733583">
        <w:rPr>
          <w:rFonts w:ascii="Times New Roman" w:hAnsi="Times New Roman"/>
          <w:sz w:val="24"/>
          <w:szCs w:val="24"/>
        </w:rPr>
        <w:t>AL</w:t>
      </w:r>
      <w:r w:rsidR="00534BB4">
        <w:rPr>
          <w:rFonts w:ascii="Times New Roman" w:hAnsi="Times New Roman"/>
          <w:sz w:val="24"/>
          <w:szCs w:val="24"/>
        </w:rPr>
        <w:t>L</w:t>
      </w:r>
      <w:r w:rsidR="00733583">
        <w:rPr>
          <w:rFonts w:ascii="Times New Roman" w:hAnsi="Times New Roman"/>
          <w:sz w:val="24"/>
          <w:szCs w:val="24"/>
        </w:rPr>
        <w:t>ISON</w:t>
      </w:r>
      <w:r w:rsidR="007B53AC">
        <w:rPr>
          <w:rFonts w:ascii="Times New Roman" w:hAnsi="Times New Roman"/>
          <w:sz w:val="24"/>
          <w:szCs w:val="24"/>
        </w:rPr>
        <w:t xml:space="preserve"> J.</w:t>
      </w:r>
      <w:r w:rsidR="00733583">
        <w:rPr>
          <w:rFonts w:ascii="Times New Roman" w:hAnsi="Times New Roman"/>
          <w:sz w:val="24"/>
          <w:szCs w:val="24"/>
        </w:rPr>
        <w:t xml:space="preserve"> NICHOL</w:t>
      </w:r>
      <w:r w:rsidR="00733583" w:rsidRPr="005C2834">
        <w:rPr>
          <w:rFonts w:ascii="Times New Roman" w:hAnsi="Times New Roman"/>
          <w:sz w:val="24"/>
          <w:szCs w:val="24"/>
        </w:rPr>
        <w:t xml:space="preserve">, </w:t>
      </w:r>
    </w:p>
    <w:p w:rsidR="00733583" w:rsidRPr="005C2834" w:rsidRDefault="00685365" w:rsidP="00685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4B5B67">
        <w:rPr>
          <w:rFonts w:ascii="Times New Roman" w:hAnsi="Times New Roman"/>
          <w:sz w:val="24"/>
          <w:szCs w:val="24"/>
        </w:rPr>
        <w:t>450 Golden Gate Avenue, Box 36055</w:t>
      </w:r>
      <w:r w:rsidR="000F0493">
        <w:rPr>
          <w:rFonts w:ascii="Times New Roman" w:hAnsi="Times New Roman"/>
          <w:sz w:val="24"/>
          <w:szCs w:val="24"/>
        </w:rPr>
        <w:tab/>
      </w:r>
      <w:r w:rsidR="00733583" w:rsidRPr="005C2834">
        <w:rPr>
          <w:rFonts w:ascii="Times New Roman" w:hAnsi="Times New Roman"/>
          <w:sz w:val="24"/>
          <w:szCs w:val="24"/>
        </w:rPr>
        <w:t>Chief</w:t>
      </w:r>
    </w:p>
    <w:p w:rsidR="000F0493" w:rsidRDefault="00685365"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4B5B67">
        <w:rPr>
          <w:rFonts w:ascii="Times New Roman" w:hAnsi="Times New Roman"/>
          <w:sz w:val="24"/>
          <w:szCs w:val="24"/>
        </w:rPr>
        <w:t>San Francisco, California 94102</w:t>
      </w:r>
      <w:r w:rsidR="00733583">
        <w:rPr>
          <w:rFonts w:ascii="Times New Roman" w:hAnsi="Times New Roman"/>
          <w:sz w:val="24"/>
          <w:szCs w:val="24"/>
        </w:rPr>
        <w:tab/>
      </w:r>
      <w:r w:rsidR="00733583">
        <w:rPr>
          <w:rFonts w:ascii="Times New Roman" w:hAnsi="Times New Roman"/>
          <w:sz w:val="24"/>
          <w:szCs w:val="24"/>
        </w:rPr>
        <w:tab/>
      </w:r>
      <w:r w:rsidR="00534BB4">
        <w:rPr>
          <w:rFonts w:ascii="Times New Roman" w:hAnsi="Times New Roman"/>
          <w:sz w:val="24"/>
          <w:szCs w:val="24"/>
        </w:rPr>
        <w:t>KATHLEEN</w:t>
      </w:r>
      <w:r w:rsidR="008E178F">
        <w:rPr>
          <w:rFonts w:ascii="Times New Roman" w:hAnsi="Times New Roman"/>
          <w:sz w:val="24"/>
          <w:szCs w:val="24"/>
        </w:rPr>
        <w:t xml:space="preserve"> R.</w:t>
      </w:r>
      <w:r w:rsidR="00534BB4">
        <w:rPr>
          <w:rFonts w:ascii="Times New Roman" w:hAnsi="Times New Roman"/>
          <w:sz w:val="24"/>
          <w:szCs w:val="24"/>
        </w:rPr>
        <w:t xml:space="preserve"> WOLFE, </w:t>
      </w:r>
    </w:p>
    <w:p w:rsidR="00685365" w:rsidRDefault="00685365" w:rsidP="00685365">
      <w:pPr>
        <w:spacing w:after="0" w:line="240" w:lineRule="auto"/>
        <w:rPr>
          <w:rFonts w:ascii="Times New Roman" w:hAnsi="Times New Roman"/>
          <w:sz w:val="24"/>
          <w:szCs w:val="24"/>
        </w:rPr>
      </w:pPr>
      <w:r w:rsidRPr="004B5B67">
        <w:rPr>
          <w:rFonts w:ascii="Times New Roman" w:hAnsi="Times New Roman"/>
          <w:sz w:val="24"/>
          <w:szCs w:val="24"/>
        </w:rPr>
        <w:t>Telephone: (415) 436-7124</w:t>
      </w:r>
      <w:r w:rsidR="000F0493">
        <w:rPr>
          <w:rFonts w:ascii="Times New Roman" w:hAnsi="Times New Roman"/>
          <w:sz w:val="24"/>
          <w:szCs w:val="24"/>
        </w:rPr>
        <w:tab/>
      </w:r>
      <w:r w:rsidR="000F0493">
        <w:rPr>
          <w:rFonts w:ascii="Times New Roman" w:hAnsi="Times New Roman"/>
          <w:sz w:val="24"/>
          <w:szCs w:val="24"/>
        </w:rPr>
        <w:tab/>
      </w:r>
      <w:r w:rsidR="000F0493">
        <w:rPr>
          <w:rFonts w:ascii="Times New Roman" w:hAnsi="Times New Roman"/>
          <w:sz w:val="24"/>
          <w:szCs w:val="24"/>
        </w:rPr>
        <w:tab/>
        <w:t xml:space="preserve">Acting </w:t>
      </w:r>
      <w:r w:rsidR="00534BB4">
        <w:rPr>
          <w:rFonts w:ascii="Times New Roman" w:hAnsi="Times New Roman"/>
          <w:sz w:val="24"/>
          <w:szCs w:val="24"/>
        </w:rPr>
        <w:t xml:space="preserve">Special </w:t>
      </w:r>
      <w:r w:rsidR="000F0493">
        <w:rPr>
          <w:rFonts w:ascii="Times New Roman" w:hAnsi="Times New Roman"/>
          <w:sz w:val="24"/>
          <w:szCs w:val="24"/>
        </w:rPr>
        <w:t xml:space="preserve">Legal </w:t>
      </w:r>
      <w:r w:rsidR="00534BB4">
        <w:rPr>
          <w:rFonts w:ascii="Times New Roman" w:hAnsi="Times New Roman"/>
          <w:sz w:val="24"/>
          <w:szCs w:val="24"/>
        </w:rPr>
        <w:t>Counsel</w:t>
      </w:r>
    </w:p>
    <w:p w:rsidR="000F0493" w:rsidRDefault="00685365" w:rsidP="00685365">
      <w:pPr>
        <w:spacing w:after="0" w:line="240" w:lineRule="auto"/>
        <w:rPr>
          <w:rFonts w:ascii="Times New Roman" w:hAnsi="Times New Roman"/>
          <w:sz w:val="24"/>
          <w:szCs w:val="24"/>
        </w:rPr>
      </w:pPr>
      <w:r>
        <w:rPr>
          <w:rFonts w:ascii="Times New Roman" w:hAnsi="Times New Roman"/>
          <w:sz w:val="24"/>
          <w:szCs w:val="24"/>
        </w:rPr>
        <w:t>Facsimile</w:t>
      </w:r>
      <w:r w:rsidRPr="004B5B67">
        <w:rPr>
          <w:rFonts w:ascii="Times New Roman" w:hAnsi="Times New Roman"/>
          <w:sz w:val="24"/>
          <w:szCs w:val="24"/>
        </w:rPr>
        <w:t>: (415) 436-7169</w:t>
      </w:r>
      <w:r w:rsidR="00534BB4">
        <w:rPr>
          <w:rFonts w:ascii="Times New Roman" w:hAnsi="Times New Roman"/>
          <w:sz w:val="24"/>
          <w:szCs w:val="24"/>
        </w:rPr>
        <w:tab/>
      </w:r>
      <w:r w:rsidR="00534BB4">
        <w:rPr>
          <w:rFonts w:ascii="Times New Roman" w:hAnsi="Times New Roman"/>
          <w:sz w:val="24"/>
          <w:szCs w:val="24"/>
        </w:rPr>
        <w:tab/>
      </w:r>
      <w:r w:rsidR="00534BB4">
        <w:rPr>
          <w:rFonts w:ascii="Times New Roman" w:hAnsi="Times New Roman"/>
          <w:sz w:val="24"/>
          <w:szCs w:val="24"/>
        </w:rPr>
        <w:tab/>
      </w:r>
      <w:r w:rsidR="000F0493">
        <w:rPr>
          <w:rFonts w:ascii="Times New Roman" w:hAnsi="Times New Roman"/>
          <w:sz w:val="24"/>
          <w:szCs w:val="24"/>
        </w:rPr>
        <w:t>RENEE M. WOHLENHAUS</w:t>
      </w:r>
    </w:p>
    <w:p w:rsidR="00733583" w:rsidRPr="005C2834" w:rsidRDefault="00726D1D" w:rsidP="00685365">
      <w:pPr>
        <w:spacing w:after="0" w:line="240" w:lineRule="auto"/>
        <w:rPr>
          <w:rFonts w:ascii="Times New Roman" w:hAnsi="Times New Roman"/>
          <w:sz w:val="24"/>
          <w:szCs w:val="24"/>
        </w:rPr>
      </w:pPr>
      <w:hyperlink r:id="rId14" w:history="1">
        <w:r w:rsidR="00685365" w:rsidRPr="004B5B67">
          <w:rPr>
            <w:rStyle w:val="Hyperlink"/>
            <w:rFonts w:ascii="Times New Roman" w:hAnsi="Times New Roman"/>
            <w:color w:val="auto"/>
            <w:sz w:val="24"/>
            <w:szCs w:val="24"/>
          </w:rPr>
          <w:t>Ila.deiss@usdoj.gov</w:t>
        </w:r>
      </w:hyperlink>
      <w:r w:rsidR="00685365" w:rsidRPr="004B5B67">
        <w:rPr>
          <w:rFonts w:ascii="Times New Roman" w:hAnsi="Times New Roman"/>
          <w:sz w:val="24"/>
          <w:szCs w:val="24"/>
        </w:rPr>
        <w:t xml:space="preserve"> </w:t>
      </w:r>
      <w:r w:rsidR="000F0493">
        <w:rPr>
          <w:rFonts w:ascii="Times New Roman" w:hAnsi="Times New Roman"/>
          <w:sz w:val="24"/>
          <w:szCs w:val="24"/>
        </w:rPr>
        <w:tab/>
      </w:r>
      <w:r w:rsidR="000F0493">
        <w:rPr>
          <w:rFonts w:ascii="Times New Roman" w:hAnsi="Times New Roman"/>
          <w:sz w:val="24"/>
          <w:szCs w:val="24"/>
        </w:rPr>
        <w:tab/>
      </w:r>
      <w:r w:rsidR="000F0493">
        <w:rPr>
          <w:rFonts w:ascii="Times New Roman" w:hAnsi="Times New Roman"/>
          <w:sz w:val="24"/>
          <w:szCs w:val="24"/>
        </w:rPr>
        <w:tab/>
      </w:r>
      <w:r w:rsidR="000F0493">
        <w:rPr>
          <w:rFonts w:ascii="Times New Roman" w:hAnsi="Times New Roman"/>
          <w:sz w:val="24"/>
          <w:szCs w:val="24"/>
        </w:rPr>
        <w:tab/>
      </w:r>
      <w:r w:rsidR="00733583" w:rsidRPr="005C2834">
        <w:rPr>
          <w:rFonts w:ascii="Times New Roman" w:hAnsi="Times New Roman"/>
          <w:sz w:val="24"/>
          <w:szCs w:val="24"/>
        </w:rPr>
        <w:t>Deputy Chief</w:t>
      </w:r>
      <w:r w:rsidR="00733583" w:rsidRPr="005C2834">
        <w:rPr>
          <w:rFonts w:ascii="Times New Roman" w:hAnsi="Times New Roman"/>
          <w:sz w:val="24"/>
          <w:szCs w:val="24"/>
        </w:rPr>
        <w:tab/>
      </w:r>
    </w:p>
    <w:p w:rsidR="000F0493"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0" w:hanging="7920"/>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000F0493">
        <w:rPr>
          <w:rFonts w:ascii="Times New Roman" w:hAnsi="Times New Roman"/>
          <w:sz w:val="24"/>
          <w:szCs w:val="24"/>
        </w:rPr>
        <w:t>REGAN RUSH</w:t>
      </w:r>
    </w:p>
    <w:p w:rsidR="00AE6386" w:rsidRDefault="000F049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0" w:hanging="79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6386">
        <w:rPr>
          <w:rFonts w:ascii="Times New Roman" w:hAnsi="Times New Roman"/>
          <w:sz w:val="24"/>
          <w:szCs w:val="24"/>
        </w:rPr>
        <w:t>Trial Attorney</w:t>
      </w:r>
    </w:p>
    <w:p w:rsidR="000F0493" w:rsidRDefault="00AE6386"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0" w:hanging="79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3583">
        <w:rPr>
          <w:rFonts w:ascii="Times New Roman" w:hAnsi="Times New Roman"/>
          <w:sz w:val="24"/>
          <w:szCs w:val="24"/>
          <w:lang w:val="en-CA"/>
        </w:rPr>
        <w:t xml:space="preserve">TRAVIS </w:t>
      </w:r>
      <w:r w:rsidR="00534BB4">
        <w:rPr>
          <w:rFonts w:ascii="Times New Roman" w:hAnsi="Times New Roman"/>
          <w:sz w:val="24"/>
          <w:szCs w:val="24"/>
          <w:lang w:val="en-CA"/>
        </w:rPr>
        <w:t xml:space="preserve">W. </w:t>
      </w:r>
      <w:r w:rsidR="00733583">
        <w:rPr>
          <w:rFonts w:ascii="Times New Roman" w:hAnsi="Times New Roman"/>
          <w:sz w:val="24"/>
          <w:szCs w:val="24"/>
          <w:lang w:val="en-CA"/>
        </w:rPr>
        <w:t>ENGLAND</w:t>
      </w:r>
      <w:r w:rsidR="000F0493">
        <w:rPr>
          <w:rFonts w:ascii="Times New Roman" w:hAnsi="Times New Roman"/>
          <w:sz w:val="24"/>
          <w:szCs w:val="24"/>
        </w:rPr>
        <w:t xml:space="preserve"> </w:t>
      </w:r>
    </w:p>
    <w:p w:rsidR="00733583" w:rsidRPr="005C2834" w:rsidRDefault="000F049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0" w:hanging="79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3583" w:rsidRPr="005C2834">
        <w:rPr>
          <w:rFonts w:ascii="Times New Roman" w:hAnsi="Times New Roman"/>
          <w:sz w:val="24"/>
          <w:szCs w:val="24"/>
        </w:rPr>
        <w:t>Trial Attorney</w:t>
      </w:r>
    </w:p>
    <w:p w:rsidR="000F0493"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0" w:hanging="7920"/>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p>
    <w:p w:rsidR="00733583" w:rsidRPr="005C2834" w:rsidRDefault="000F049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0" w:hanging="79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3583" w:rsidRPr="005C2834">
        <w:rPr>
          <w:rFonts w:ascii="Times New Roman" w:hAnsi="Times New Roman"/>
          <w:sz w:val="24"/>
          <w:szCs w:val="24"/>
        </w:rPr>
        <w:t>Disability Rights Section</w:t>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Civil Rights Division</w:t>
      </w:r>
      <w:r w:rsidRPr="005C2834">
        <w:rPr>
          <w:rFonts w:ascii="Times New Roman" w:hAnsi="Times New Roman"/>
          <w:sz w:val="24"/>
          <w:szCs w:val="24"/>
        </w:rPr>
        <w:tab/>
        <w:t xml:space="preserve">          </w:t>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3600"/>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U.S. Department of Justice</w:t>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 xml:space="preserve">          </w:t>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950 Pennsylvania Avenue, N.W. - NYA</w:t>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Washington, D.C. 20530</w:t>
      </w:r>
    </w:p>
    <w:p w:rsidR="00733583" w:rsidRPr="005C2834" w:rsidRDefault="00726D1D"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hanging="5040"/>
        <w:rPr>
          <w:rFonts w:ascii="Times New Roman" w:hAnsi="Times New Roman"/>
          <w:sz w:val="24"/>
          <w:szCs w:val="24"/>
        </w:rPr>
      </w:pPr>
      <w:r>
        <w:rPr>
          <w:rFonts w:ascii="Times New Roman" w:hAnsi="Times New Roman"/>
          <w:noProof/>
          <w:sz w:val="24"/>
          <w:szCs w:val="24"/>
        </w:rPr>
        <w:pict>
          <v:shape id="_x0000_s1072" type="#_x0000_t202" style="position:absolute;left:0;text-align:left;margin-left:-45.75pt;margin-top:-2.25pt;width:36pt;height:10in;z-index:2517012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" o:allowincell="f" stroked="f">
            <v:textbox inset="0,0,0,0">
              <w:txbxContent>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3</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4</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5</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6</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7</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8</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9</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10</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11</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12</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13</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14</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15</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16</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17</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18</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19</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20</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21</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22</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23</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24</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25</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26</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27</w:t>
                  </w:r>
                </w:p>
                <w:p w:rsidR="00423811" w:rsidRDefault="00423811" w:rsidP="00423811">
                  <w:pPr>
                    <w:spacing w:after="0" w:line="480" w:lineRule="exact"/>
                    <w:jc w:val="right"/>
                    <w:rPr>
                      <w:rFonts w:ascii="Times New Roman" w:hAnsi="Times New Roman"/>
                      <w:sz w:val="24"/>
                      <w:szCs w:val="24"/>
                    </w:rPr>
                  </w:pPr>
                  <w:r>
                    <w:rPr>
                      <w:rFonts w:ascii="Times New Roman" w:hAnsi="Times New Roman"/>
                      <w:sz w:val="24"/>
                      <w:szCs w:val="24"/>
                    </w:rPr>
                    <w:t>28</w:t>
                  </w:r>
                </w:p>
                <w:p w:rsidR="00423811" w:rsidRDefault="00423811" w:rsidP="00423811">
                  <w:pPr>
                    <w:spacing w:after="0" w:line="480" w:lineRule="exact"/>
                    <w:jc w:val="right"/>
                  </w:pPr>
                </w:p>
              </w:txbxContent>
            </v:textbox>
            <w10:wrap anchorx="margin" anchory="margin"/>
          </v:shape>
        </w:pict>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r>
      <w:r w:rsidR="00733583" w:rsidRPr="005C2834">
        <w:rPr>
          <w:rFonts w:ascii="Times New Roman" w:hAnsi="Times New Roman"/>
          <w:sz w:val="24"/>
          <w:szCs w:val="24"/>
        </w:rPr>
        <w:tab/>
        <w:t>Telephone:</w:t>
      </w:r>
      <w:r w:rsidR="00733583" w:rsidRPr="005C2834">
        <w:rPr>
          <w:rFonts w:ascii="Times New Roman" w:hAnsi="Times New Roman"/>
          <w:sz w:val="24"/>
          <w:szCs w:val="24"/>
        </w:rPr>
        <w:tab/>
        <w:t xml:space="preserve">(202) </w:t>
      </w:r>
      <w:r w:rsidR="000F0493">
        <w:rPr>
          <w:rFonts w:ascii="Times New Roman" w:hAnsi="Times New Roman"/>
          <w:sz w:val="24"/>
          <w:szCs w:val="24"/>
        </w:rPr>
        <w:t>307-8987</w:t>
      </w:r>
    </w:p>
    <w:p w:rsidR="00733583" w:rsidRPr="005C2834" w:rsidRDefault="00733583" w:rsidP="00733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hanging="5040"/>
        <w:rPr>
          <w:rFonts w:ascii="Times New Roman" w:hAnsi="Times New Roman"/>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t>Facsimile:</w:t>
      </w:r>
      <w:r w:rsidRPr="005C2834">
        <w:rPr>
          <w:rFonts w:ascii="Times New Roman" w:hAnsi="Times New Roman"/>
          <w:sz w:val="24"/>
          <w:szCs w:val="24"/>
        </w:rPr>
        <w:tab/>
        <w:t>(202) 307-1197</w:t>
      </w:r>
    </w:p>
    <w:p w:rsidR="00733583" w:rsidRPr="00733583" w:rsidRDefault="00733583" w:rsidP="0043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hanging="5040"/>
        <w:rPr>
          <w:rFonts w:ascii="Times New Roman" w:hAnsi="Times New Roman"/>
          <w:b/>
          <w:sz w:val="24"/>
          <w:szCs w:val="24"/>
        </w:rPr>
      </w:pP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5C2834">
        <w:rPr>
          <w:rFonts w:ascii="Times New Roman" w:hAnsi="Times New Roman"/>
          <w:sz w:val="24"/>
          <w:szCs w:val="24"/>
        </w:rPr>
        <w:tab/>
      </w:r>
      <w:r w:rsidRPr="00432302">
        <w:rPr>
          <w:rFonts w:ascii="Times New Roman" w:hAnsi="Times New Roman"/>
          <w:sz w:val="24"/>
          <w:szCs w:val="24"/>
          <w:lang w:val="en-CA"/>
        </w:rPr>
        <w:t>travis.england@usdoj.gov</w:t>
      </w:r>
    </w:p>
    <w:sectPr w:rsidR="00733583" w:rsidRPr="00733583" w:rsidSect="00F76F7D">
      <w:pgSz w:w="12240" w:h="15840"/>
      <w:pgMar w:top="1440" w:right="1440" w:bottom="1440" w:left="1440" w:header="720" w:footer="720" w:gutter="0"/>
      <w:pgBorders>
        <w:left w:val="double" w:sz="4" w:space="4" w:color="auto"/>
        <w:right w:val="single" w:sz="4" w:space="24" w:color="auto"/>
      </w:pgBorder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60" w:rsidRDefault="00C67160" w:rsidP="00733583">
      <w:pPr>
        <w:spacing w:after="0" w:line="240" w:lineRule="auto"/>
      </w:pPr>
      <w:r>
        <w:separator/>
      </w:r>
    </w:p>
  </w:endnote>
  <w:endnote w:type="continuationSeparator" w:id="0">
    <w:p w:rsidR="00C67160" w:rsidRDefault="00C67160" w:rsidP="0073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44" w:rsidRDefault="00726D1D" w:rsidP="00ED0387">
    <w:pPr>
      <w:pStyle w:val="Footer"/>
      <w:framePr w:wrap="around" w:vAnchor="text" w:hAnchor="margin" w:xAlign="center" w:y="1"/>
      <w:rPr>
        <w:rStyle w:val="PageNumber"/>
      </w:rPr>
    </w:pPr>
    <w:r>
      <w:rPr>
        <w:rStyle w:val="PageNumber"/>
      </w:rPr>
      <w:fldChar w:fldCharType="begin"/>
    </w:r>
    <w:r w:rsidR="001B1144">
      <w:rPr>
        <w:rStyle w:val="PageNumber"/>
      </w:rPr>
      <w:instrText xml:space="preserve">PAGE  </w:instrText>
    </w:r>
    <w:r>
      <w:rPr>
        <w:rStyle w:val="PageNumber"/>
      </w:rPr>
      <w:fldChar w:fldCharType="end"/>
    </w:r>
  </w:p>
  <w:p w:rsidR="001B1144" w:rsidRDefault="00726D1D" w:rsidP="00ED0387">
    <w:pPr>
      <w:pStyle w:val="Footer"/>
      <w:framePr w:wrap="around" w:vAnchor="text" w:hAnchor="margin" w:xAlign="center" w:y="1"/>
      <w:rPr>
        <w:rStyle w:val="PageNumber"/>
      </w:rPr>
    </w:pPr>
    <w:r>
      <w:rPr>
        <w:rStyle w:val="PageNumber"/>
      </w:rPr>
      <w:fldChar w:fldCharType="begin"/>
    </w:r>
    <w:r w:rsidR="001B1144">
      <w:rPr>
        <w:rStyle w:val="PageNumber"/>
      </w:rPr>
      <w:instrText xml:space="preserve">PAGE  </w:instrText>
    </w:r>
    <w:r>
      <w:rPr>
        <w:rStyle w:val="PageNumber"/>
      </w:rPr>
      <w:fldChar w:fldCharType="end"/>
    </w:r>
  </w:p>
  <w:p w:rsidR="001B1144" w:rsidRDefault="001B1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44" w:rsidRPr="006207C3" w:rsidRDefault="00726D1D" w:rsidP="00ED0387">
    <w:pPr>
      <w:pStyle w:val="Footer"/>
      <w:framePr w:wrap="around" w:vAnchor="text" w:hAnchor="margin" w:xAlign="center" w:y="1"/>
      <w:rPr>
        <w:rStyle w:val="PageNumber"/>
        <w:rFonts w:ascii="Times New Roman" w:hAnsi="Times New Roman"/>
        <w:sz w:val="24"/>
        <w:szCs w:val="24"/>
      </w:rPr>
    </w:pPr>
    <w:r w:rsidRPr="006207C3">
      <w:rPr>
        <w:rStyle w:val="PageNumber"/>
        <w:rFonts w:ascii="Times New Roman" w:hAnsi="Times New Roman"/>
        <w:sz w:val="24"/>
        <w:szCs w:val="24"/>
      </w:rPr>
      <w:fldChar w:fldCharType="begin"/>
    </w:r>
    <w:r w:rsidR="001B1144" w:rsidRPr="006207C3">
      <w:rPr>
        <w:rStyle w:val="PageNumber"/>
        <w:rFonts w:ascii="Times New Roman" w:hAnsi="Times New Roman"/>
        <w:sz w:val="24"/>
        <w:szCs w:val="24"/>
      </w:rPr>
      <w:instrText xml:space="preserve">PAGE  </w:instrText>
    </w:r>
    <w:r w:rsidRPr="006207C3">
      <w:rPr>
        <w:rStyle w:val="PageNumber"/>
        <w:rFonts w:ascii="Times New Roman" w:hAnsi="Times New Roman"/>
        <w:sz w:val="24"/>
        <w:szCs w:val="24"/>
      </w:rPr>
      <w:fldChar w:fldCharType="separate"/>
    </w:r>
    <w:r w:rsidR="001E5043">
      <w:rPr>
        <w:rStyle w:val="PageNumber"/>
        <w:rFonts w:ascii="Times New Roman" w:hAnsi="Times New Roman"/>
        <w:noProof/>
        <w:sz w:val="24"/>
        <w:szCs w:val="24"/>
      </w:rPr>
      <w:t>ii</w:t>
    </w:r>
    <w:r w:rsidRPr="006207C3">
      <w:rPr>
        <w:rStyle w:val="PageNumber"/>
        <w:rFonts w:ascii="Times New Roman" w:hAnsi="Times New Roman"/>
        <w:sz w:val="24"/>
        <w:szCs w:val="24"/>
      </w:rPr>
      <w:fldChar w:fldCharType="end"/>
    </w:r>
  </w:p>
  <w:p w:rsidR="001B1144" w:rsidRDefault="001B1144" w:rsidP="00ED0387">
    <w:pPr>
      <w:pStyle w:val="Footer"/>
      <w:tabs>
        <w:tab w:val="right" w:pos="10080"/>
        <w:tab w:val="left" w:pos="10260"/>
      </w:tabs>
      <w:ind w:hanging="90"/>
      <w:jc w:val="center"/>
      <w:rPr>
        <w:rFonts w:ascii="Times New Roman" w:hAnsi="Times New Roman"/>
        <w:sz w:val="18"/>
        <w:szCs w:val="18"/>
        <w:u w:val="single"/>
      </w:rPr>
    </w:pPr>
  </w:p>
  <w:p w:rsidR="001B1144" w:rsidRDefault="001B1144" w:rsidP="00ED0387">
    <w:pPr>
      <w:pStyle w:val="Footer"/>
      <w:tabs>
        <w:tab w:val="right" w:pos="10080"/>
        <w:tab w:val="left" w:pos="10260"/>
      </w:tabs>
      <w:ind w:hanging="90"/>
      <w:jc w:val="both"/>
      <w:rPr>
        <w:rFonts w:ascii="Times New Roman" w:hAnsi="Times New Roman"/>
        <w:sz w:val="18"/>
        <w:szCs w:val="18"/>
        <w:u w:val="single"/>
      </w:rPr>
    </w:pPr>
  </w:p>
  <w:p w:rsidR="001B1144" w:rsidRPr="00893D7E" w:rsidRDefault="001B1144" w:rsidP="00ED0387">
    <w:pPr>
      <w:pStyle w:val="Footer"/>
      <w:tabs>
        <w:tab w:val="right" w:pos="10080"/>
        <w:tab w:val="left" w:pos="10260"/>
      </w:tabs>
      <w:ind w:hanging="90"/>
      <w:jc w:val="both"/>
      <w:rPr>
        <w:rFonts w:ascii="Times New Roman" w:hAnsi="Times New Roman"/>
        <w:sz w:val="18"/>
        <w:szCs w:val="18"/>
        <w:u w:val="single"/>
      </w:rPr>
    </w:pP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rsidR="001B1144" w:rsidRPr="00ED7535" w:rsidRDefault="001B1144" w:rsidP="00ED0387">
    <w:pPr>
      <w:pStyle w:val="Footer"/>
      <w:tabs>
        <w:tab w:val="right" w:pos="10080"/>
        <w:tab w:val="left" w:pos="10260"/>
      </w:tabs>
      <w:ind w:hanging="90"/>
      <w:rPr>
        <w:rFonts w:ascii="Times New Roman" w:hAnsi="Times New Roman"/>
        <w:sz w:val="16"/>
        <w:szCs w:val="16"/>
      </w:rPr>
    </w:pPr>
    <w:r>
      <w:rPr>
        <w:rFonts w:ascii="Times New Roman" w:hAnsi="Times New Roman"/>
        <w:sz w:val="16"/>
        <w:szCs w:val="16"/>
      </w:rPr>
      <w:t>DARLING, ET AL. V. DOUGLAS, ET AL., C09-03798 SBA; STATEMENT OF INTEREST OF THE UNITED STATES</w:t>
    </w:r>
  </w:p>
  <w:p w:rsidR="001B1144" w:rsidRDefault="001B11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44" w:rsidRPr="00893D7E" w:rsidRDefault="001B1144" w:rsidP="00ED0387">
    <w:pPr>
      <w:pStyle w:val="Footer"/>
      <w:tabs>
        <w:tab w:val="right" w:pos="10080"/>
        <w:tab w:val="left" w:pos="10260"/>
      </w:tabs>
      <w:ind w:hanging="90"/>
      <w:jc w:val="both"/>
      <w:rPr>
        <w:rFonts w:ascii="Times New Roman" w:hAnsi="Times New Roman"/>
        <w:sz w:val="18"/>
        <w:szCs w:val="18"/>
        <w:u w:val="single"/>
      </w:rPr>
    </w:pP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rsidR="001B1144" w:rsidRPr="00ED7535" w:rsidRDefault="001B1144" w:rsidP="00ED0387">
    <w:pPr>
      <w:pStyle w:val="Footer"/>
      <w:tabs>
        <w:tab w:val="right" w:pos="10080"/>
        <w:tab w:val="left" w:pos="10260"/>
      </w:tabs>
      <w:ind w:hanging="90"/>
      <w:rPr>
        <w:rFonts w:ascii="Times New Roman" w:hAnsi="Times New Roman"/>
        <w:sz w:val="16"/>
        <w:szCs w:val="16"/>
      </w:rPr>
    </w:pPr>
    <w:r>
      <w:rPr>
        <w:rFonts w:ascii="Times New Roman" w:hAnsi="Times New Roman"/>
        <w:sz w:val="16"/>
        <w:szCs w:val="16"/>
      </w:rPr>
      <w:t>DARLING, ET AL. V. DOUGLAS, ET AL., C09-03798 SBA; STATEMENT OF INTEREST OF THE UNITED STATES</w:t>
    </w:r>
  </w:p>
  <w:p w:rsidR="001B1144" w:rsidRDefault="001B1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60" w:rsidRDefault="00C67160" w:rsidP="00733583">
      <w:pPr>
        <w:spacing w:after="0" w:line="240" w:lineRule="auto"/>
      </w:pPr>
      <w:r>
        <w:separator/>
      </w:r>
    </w:p>
  </w:footnote>
  <w:footnote w:type="continuationSeparator" w:id="0">
    <w:p w:rsidR="00C67160" w:rsidRDefault="00C67160" w:rsidP="00733583">
      <w:pPr>
        <w:spacing w:after="0" w:line="240" w:lineRule="auto"/>
      </w:pPr>
      <w:r>
        <w:continuationSeparator/>
      </w:r>
    </w:p>
  </w:footnote>
  <w:footnote w:id="1">
    <w:p w:rsidR="001B1144" w:rsidRPr="00FC62F3" w:rsidRDefault="001B1144" w:rsidP="00733583">
      <w:pPr>
        <w:pStyle w:val="FootnoteText"/>
        <w:rPr>
          <w:sz w:val="24"/>
          <w:szCs w:val="24"/>
        </w:rPr>
      </w:pPr>
      <w:r w:rsidRPr="00FC62F3">
        <w:rPr>
          <w:rStyle w:val="FootnoteReference"/>
          <w:rFonts w:eastAsia="Calibri"/>
          <w:sz w:val="24"/>
          <w:szCs w:val="24"/>
        </w:rPr>
        <w:footnoteRef/>
      </w:r>
      <w:r w:rsidRPr="00FC62F3">
        <w:rPr>
          <w:sz w:val="24"/>
          <w:szCs w:val="24"/>
        </w:rPr>
        <w:t xml:space="preserve"> 28 U.S.C. § 517</w:t>
      </w:r>
      <w:r w:rsidR="00726D1D">
        <w:rPr>
          <w:sz w:val="24"/>
          <w:szCs w:val="24"/>
        </w:rPr>
        <w:fldChar w:fldCharType="begin"/>
      </w:r>
      <w:r>
        <w:instrText xml:space="preserve"> TA \s "28 U.S.C. § 517" </w:instrText>
      </w:r>
      <w:r w:rsidR="00726D1D">
        <w:rPr>
          <w:sz w:val="24"/>
          <w:szCs w:val="24"/>
        </w:rPr>
        <w:fldChar w:fldCharType="end"/>
      </w:r>
      <w:r w:rsidRPr="00FC62F3">
        <w:rPr>
          <w:sz w:val="24"/>
          <w:szCs w:val="24"/>
        </w:rPr>
        <w:t xml:space="preserve"> permits the Attorney General to send any officer of the Department of Justice “to any State or district in the United States to attend to the interests of the United States in a suit pending in a court of the United States.”</w:t>
      </w:r>
    </w:p>
    <w:p w:rsidR="001B1144" w:rsidRPr="00621464" w:rsidRDefault="001B1144" w:rsidP="00733583">
      <w:pPr>
        <w:pStyle w:val="FootnoteText"/>
      </w:pPr>
    </w:p>
  </w:footnote>
  <w:footnote w:id="2">
    <w:p w:rsidR="00423811" w:rsidRPr="00E22682" w:rsidRDefault="00423811" w:rsidP="00E22682">
      <w:pPr>
        <w:spacing w:after="0" w:line="240" w:lineRule="auto"/>
        <w:rPr>
          <w:rFonts w:ascii="Times New Roman" w:hAnsi="Times New Roman"/>
          <w:sz w:val="24"/>
          <w:szCs w:val="24"/>
        </w:rPr>
      </w:pPr>
      <w:r w:rsidRPr="00423811">
        <w:rPr>
          <w:rStyle w:val="FootnoteReference"/>
          <w:rFonts w:ascii="Times New Roman" w:hAnsi="Times New Roman"/>
          <w:sz w:val="24"/>
          <w:szCs w:val="24"/>
        </w:rPr>
        <w:footnoteRef/>
      </w:r>
      <w:r w:rsidRPr="00423811">
        <w:rPr>
          <w:rFonts w:ascii="Times New Roman" w:hAnsi="Times New Roman"/>
          <w:sz w:val="24"/>
          <w:szCs w:val="24"/>
        </w:rPr>
        <w:t xml:space="preserve"> </w:t>
      </w:r>
      <w:r w:rsidR="003F1BD4">
        <w:rPr>
          <w:rFonts w:ascii="Times New Roman" w:hAnsi="Times New Roman"/>
          <w:sz w:val="24"/>
          <w:szCs w:val="24"/>
        </w:rPr>
        <w:t>Plaintiffs have asked this C</w:t>
      </w:r>
      <w:r w:rsidRPr="00423811">
        <w:rPr>
          <w:rFonts w:ascii="Times New Roman" w:hAnsi="Times New Roman"/>
          <w:sz w:val="24"/>
          <w:szCs w:val="24"/>
        </w:rPr>
        <w:t xml:space="preserve">ourt to enjoin the State’s termination of ADHC </w:t>
      </w:r>
      <w:r w:rsidRPr="00423811">
        <w:rPr>
          <w:rFonts w:ascii="Times New Roman" w:hAnsi="Times New Roman"/>
          <w:i/>
          <w:iCs/>
          <w:sz w:val="24"/>
          <w:szCs w:val="24"/>
        </w:rPr>
        <w:t>as a Medi-</w:t>
      </w:r>
      <w:r w:rsidR="00965AFA">
        <w:rPr>
          <w:rFonts w:ascii="Times New Roman" w:hAnsi="Times New Roman"/>
          <w:i/>
          <w:iCs/>
          <w:sz w:val="24"/>
          <w:szCs w:val="24"/>
        </w:rPr>
        <w:t>C</w:t>
      </w:r>
      <w:r w:rsidRPr="00423811">
        <w:rPr>
          <w:rFonts w:ascii="Times New Roman" w:hAnsi="Times New Roman"/>
          <w:i/>
          <w:iCs/>
          <w:sz w:val="24"/>
          <w:szCs w:val="24"/>
        </w:rPr>
        <w:t>al benefit</w:t>
      </w:r>
      <w:r w:rsidRPr="00423811">
        <w:rPr>
          <w:rFonts w:ascii="Times New Roman" w:hAnsi="Times New Roman"/>
          <w:sz w:val="24"/>
          <w:szCs w:val="24"/>
        </w:rPr>
        <w:t xml:space="preserve">.  </w:t>
      </w:r>
      <w:r w:rsidR="003F1BD4">
        <w:rPr>
          <w:rFonts w:ascii="Times New Roman" w:hAnsi="Times New Roman"/>
          <w:sz w:val="24"/>
          <w:szCs w:val="24"/>
        </w:rPr>
        <w:t>(</w:t>
      </w:r>
      <w:r w:rsidRPr="003F1BD4">
        <w:rPr>
          <w:rFonts w:ascii="Times New Roman" w:hAnsi="Times New Roman"/>
          <w:i/>
          <w:sz w:val="24"/>
          <w:szCs w:val="24"/>
        </w:rPr>
        <w:t>See</w:t>
      </w:r>
      <w:r>
        <w:rPr>
          <w:rFonts w:ascii="Times New Roman" w:hAnsi="Times New Roman"/>
          <w:sz w:val="24"/>
          <w:szCs w:val="24"/>
        </w:rPr>
        <w:t xml:space="preserve"> Pls.’ Mot. at 1.</w:t>
      </w:r>
      <w:r w:rsidR="003F1BD4">
        <w:rPr>
          <w:rFonts w:ascii="Times New Roman" w:hAnsi="Times New Roman"/>
          <w:sz w:val="24"/>
          <w:szCs w:val="24"/>
        </w:rPr>
        <w:t>)</w:t>
      </w:r>
      <w:r w:rsidRPr="00423811">
        <w:rPr>
          <w:rFonts w:ascii="Times New Roman" w:hAnsi="Times New Roman"/>
          <w:sz w:val="24"/>
          <w:szCs w:val="24"/>
        </w:rPr>
        <w:t xml:space="preserve"> CMS has approved the State Plan Amendment that eliminates ADHC as a fe</w:t>
      </w:r>
      <w:r w:rsidR="003F1BD4">
        <w:rPr>
          <w:rFonts w:ascii="Times New Roman" w:hAnsi="Times New Roman"/>
          <w:sz w:val="24"/>
          <w:szCs w:val="24"/>
        </w:rPr>
        <w:t xml:space="preserve">deral/state Medi-Cal benefit.  </w:t>
      </w:r>
      <w:r w:rsidRPr="00423811">
        <w:rPr>
          <w:rFonts w:ascii="Times New Roman" w:hAnsi="Times New Roman"/>
          <w:i/>
          <w:iCs/>
          <w:sz w:val="24"/>
          <w:szCs w:val="24"/>
        </w:rPr>
        <w:t>See</w:t>
      </w:r>
      <w:r w:rsidRPr="00423811">
        <w:rPr>
          <w:rFonts w:ascii="Times New Roman" w:hAnsi="Times New Roman"/>
          <w:sz w:val="24"/>
          <w:szCs w:val="24"/>
        </w:rPr>
        <w:t xml:space="preserve"> Section II(B), </w:t>
      </w:r>
      <w:r w:rsidRPr="00423811">
        <w:rPr>
          <w:rFonts w:ascii="Times New Roman" w:hAnsi="Times New Roman"/>
          <w:i/>
          <w:iCs/>
          <w:sz w:val="24"/>
          <w:szCs w:val="24"/>
        </w:rPr>
        <w:t>infra</w:t>
      </w:r>
      <w:r w:rsidRPr="00423811">
        <w:rPr>
          <w:rFonts w:ascii="Times New Roman" w:hAnsi="Times New Roman"/>
          <w:sz w:val="24"/>
          <w:szCs w:val="24"/>
        </w:rPr>
        <w:t>. We recommend that this Court enter an injunction preserving ADHC services unless and until adequate, appropriate, and uninterrupted replacement services are provided to prevent unnecessary institutionalization</w:t>
      </w:r>
      <w:r>
        <w:rPr>
          <w:rFonts w:ascii="Times New Roman" w:hAnsi="Times New Roman"/>
          <w:sz w:val="24"/>
          <w:szCs w:val="24"/>
        </w:rPr>
        <w:t>,</w:t>
      </w:r>
      <w:r w:rsidRPr="00423811">
        <w:rPr>
          <w:rFonts w:ascii="Times New Roman" w:hAnsi="Times New Roman"/>
          <w:sz w:val="24"/>
          <w:szCs w:val="24"/>
        </w:rPr>
        <w:t xml:space="preserve"> without specifically addressing </w:t>
      </w:r>
      <w:r>
        <w:rPr>
          <w:rFonts w:ascii="Times New Roman" w:hAnsi="Times New Roman"/>
          <w:sz w:val="24"/>
          <w:szCs w:val="24"/>
        </w:rPr>
        <w:t>the services’</w:t>
      </w:r>
      <w:r w:rsidRPr="00423811">
        <w:rPr>
          <w:rFonts w:ascii="Times New Roman" w:hAnsi="Times New Roman"/>
          <w:sz w:val="24"/>
          <w:szCs w:val="24"/>
        </w:rPr>
        <w:t xml:space="preserve"> status as federal/state Medi-cal benefit as the Plaintiffs originally propose</w:t>
      </w:r>
      <w:r>
        <w:rPr>
          <w:rFonts w:ascii="Times New Roman" w:hAnsi="Times New Roman"/>
          <w:sz w:val="24"/>
          <w:szCs w:val="24"/>
        </w:rPr>
        <w:t>d</w:t>
      </w:r>
      <w:r w:rsidRPr="00423811">
        <w:rPr>
          <w:rFonts w:ascii="Times New Roman" w:hAnsi="Times New Roman"/>
          <w:sz w:val="24"/>
          <w:szCs w:val="24"/>
        </w:rPr>
        <w:t xml:space="preserve"> in their Motion.  </w:t>
      </w:r>
    </w:p>
  </w:footnote>
  <w:footnote w:id="3">
    <w:p w:rsidR="001B1144" w:rsidRPr="00FC62F3" w:rsidRDefault="001B1144">
      <w:pPr>
        <w:pStyle w:val="FootnoteText"/>
        <w:rPr>
          <w:sz w:val="24"/>
          <w:szCs w:val="24"/>
        </w:rPr>
      </w:pPr>
      <w:r w:rsidRPr="00FC62F3">
        <w:rPr>
          <w:rStyle w:val="FootnoteReference"/>
          <w:sz w:val="24"/>
          <w:szCs w:val="24"/>
        </w:rPr>
        <w:footnoteRef/>
      </w:r>
      <w:r w:rsidRPr="00FC62F3">
        <w:rPr>
          <w:sz w:val="24"/>
          <w:szCs w:val="24"/>
        </w:rPr>
        <w:t xml:space="preserve"> (</w:t>
      </w:r>
      <w:r w:rsidRPr="00FC62F3">
        <w:rPr>
          <w:i/>
          <w:sz w:val="24"/>
          <w:szCs w:val="24"/>
        </w:rPr>
        <w:t>See</w:t>
      </w:r>
      <w:r w:rsidRPr="00FC62F3">
        <w:rPr>
          <w:sz w:val="24"/>
          <w:szCs w:val="24"/>
        </w:rPr>
        <w:t xml:space="preserve"> Decl. of Lydia Missaelides, ECF No. 245, (“Missaelides Decl.”) ¶¶ 77-79, 107-110; Decl. of Denis</w:t>
      </w:r>
      <w:r w:rsidR="00965AFA">
        <w:rPr>
          <w:sz w:val="24"/>
          <w:szCs w:val="24"/>
        </w:rPr>
        <w:t>e</w:t>
      </w:r>
      <w:r w:rsidRPr="00FC62F3">
        <w:rPr>
          <w:sz w:val="24"/>
          <w:szCs w:val="24"/>
        </w:rPr>
        <w:t xml:space="preserve"> Houghton, ECF No. 241 (“Houghton Decl.”) ¶¶ 10-11, 21-24; Decl. of Peter Behr, ECF No. 229, (“Behr Decl.”) ¶¶ 18, 21, 33, 36; Decl. of Debbie Toth, ECF No. 256, (“Toth Decl.”) ¶¶ 65-66; Decl. of Diane Puckett, ECF No. 251, (“Puckett Decl.”) ¶¶ 17, 19; Decl. of Tracy McCloud,  ECF No. 244, (“McCloud Decl.”) ¶¶ 15-16, 43-52; Decl. of Dawn Myers Purkey, ECF No. 246, (“Myers Purkey Decl.”) ¶¶ 40-44; Decl. of Celine Regalia, ECF No. 252, (“Regalia Decl.”) ¶¶ 57-58; Decl. of Nina Nolcox, ECF No. 248, (“Nolcox Decl.”) ¶¶ 13, 15; Decl. of Catherine Davis, ECF No. 232, (“Davis Decl.”) ¶¶ 36-40; </w:t>
      </w:r>
      <w:r w:rsidRPr="00B51E3F">
        <w:rPr>
          <w:sz w:val="24"/>
          <w:szCs w:val="24"/>
        </w:rPr>
        <w:t>Suppl. Decl. of Lydia Missaelides</w:t>
      </w:r>
      <w:r w:rsidR="00C70270">
        <w:rPr>
          <w:sz w:val="24"/>
          <w:szCs w:val="24"/>
        </w:rPr>
        <w:t xml:space="preserve">, </w:t>
      </w:r>
      <w:r w:rsidR="00C70270" w:rsidRPr="00423811">
        <w:rPr>
          <w:sz w:val="24"/>
          <w:szCs w:val="24"/>
        </w:rPr>
        <w:t>ECF No.</w:t>
      </w:r>
      <w:r w:rsidR="00423811" w:rsidRPr="00423811">
        <w:rPr>
          <w:sz w:val="24"/>
          <w:szCs w:val="24"/>
        </w:rPr>
        <w:t xml:space="preserve"> 290</w:t>
      </w:r>
      <w:r w:rsidRPr="00B51E3F">
        <w:rPr>
          <w:sz w:val="24"/>
          <w:szCs w:val="24"/>
        </w:rPr>
        <w:t xml:space="preserve"> (“Suppl. Missaelides Decl.”) ¶¶ 8-12).</w:t>
      </w:r>
      <w:r w:rsidRPr="00FC62F3">
        <w:rPr>
          <w:sz w:val="24"/>
          <w:szCs w:val="24"/>
        </w:rPr>
        <w:t xml:space="preserve">  </w:t>
      </w:r>
    </w:p>
  </w:footnote>
  <w:footnote w:id="4">
    <w:p w:rsidR="001B1144" w:rsidRPr="00FC62F3" w:rsidRDefault="001B1144" w:rsidP="00BE4C0A">
      <w:pPr>
        <w:pStyle w:val="FootnoteText"/>
        <w:rPr>
          <w:sz w:val="24"/>
          <w:szCs w:val="24"/>
        </w:rPr>
      </w:pPr>
      <w:r w:rsidRPr="00FC62F3">
        <w:rPr>
          <w:rStyle w:val="FootnoteReference"/>
          <w:sz w:val="24"/>
          <w:szCs w:val="24"/>
        </w:rPr>
        <w:footnoteRef/>
      </w:r>
      <w:r w:rsidRPr="00FC62F3">
        <w:rPr>
          <w:sz w:val="24"/>
          <w:szCs w:val="24"/>
        </w:rPr>
        <w:t xml:space="preserve"> AB 97 calls for implementation of ADHC elimination on “the first day of the first calendar month following 60 days after the date the department secures all necessary federal approvals to implement this section.”</w:t>
      </w:r>
      <w:r w:rsidRPr="0020470A">
        <w:rPr>
          <w:sz w:val="24"/>
          <w:szCs w:val="24"/>
        </w:rPr>
        <w:t xml:space="preserve"> </w:t>
      </w:r>
      <w:r w:rsidRPr="00FC62F3">
        <w:rPr>
          <w:sz w:val="24"/>
          <w:szCs w:val="24"/>
        </w:rPr>
        <w:t>Cal. Welf. &amp; Inst. Code § 14589.5(d)</w:t>
      </w:r>
      <w:r w:rsidR="00726D1D" w:rsidRPr="00FC62F3">
        <w:rPr>
          <w:sz w:val="24"/>
          <w:szCs w:val="24"/>
        </w:rPr>
        <w:fldChar w:fldCharType="begin"/>
      </w:r>
      <w:r w:rsidRPr="00FC62F3">
        <w:rPr>
          <w:sz w:val="24"/>
          <w:szCs w:val="24"/>
        </w:rPr>
        <w:instrText xml:space="preserve"> TA \l "Cal. Welf. &amp; Inst. Code § 14589.5(d)" \s "Cal. Welf. &amp; Inst. Code § 14589.5(d)" \c 2 </w:instrText>
      </w:r>
      <w:r w:rsidR="00726D1D" w:rsidRPr="00FC62F3">
        <w:rPr>
          <w:sz w:val="24"/>
          <w:szCs w:val="24"/>
        </w:rPr>
        <w:fldChar w:fldCharType="end"/>
      </w:r>
      <w:r w:rsidRPr="00FC62F3">
        <w:rPr>
          <w:sz w:val="24"/>
          <w:szCs w:val="24"/>
        </w:rPr>
        <w:t xml:space="preserve">.  </w:t>
      </w:r>
    </w:p>
    <w:p w:rsidR="001B1144" w:rsidRDefault="001B1144" w:rsidP="00BE4C0A">
      <w:pPr>
        <w:pStyle w:val="FootnoteText"/>
      </w:pPr>
    </w:p>
  </w:footnote>
  <w:footnote w:id="5">
    <w:p w:rsidR="001B1144" w:rsidRPr="00FC62F3" w:rsidRDefault="001B1144" w:rsidP="009E7AB8">
      <w:pPr>
        <w:pStyle w:val="FootnoteText"/>
        <w:rPr>
          <w:sz w:val="24"/>
          <w:szCs w:val="24"/>
        </w:rPr>
      </w:pPr>
      <w:r w:rsidRPr="00FC62F3">
        <w:rPr>
          <w:rStyle w:val="FootnoteReference"/>
          <w:sz w:val="24"/>
          <w:szCs w:val="24"/>
        </w:rPr>
        <w:footnoteRef/>
      </w:r>
      <w:r w:rsidRPr="00FC62F3">
        <w:rPr>
          <w:sz w:val="24"/>
          <w:szCs w:val="24"/>
        </w:rPr>
        <w:t xml:space="preserve"> In the cover letter to the SPA approval, CMS Associate Regional Administrator Gloria Nagle notes that approval of the SPA “does not in any way address the State’s independent obligations under the Americans with Disabilities Act or the Supreme Court’s Olmstead decision.”  </w:t>
      </w:r>
      <w:r w:rsidRPr="00DE1F67">
        <w:rPr>
          <w:sz w:val="24"/>
          <w:szCs w:val="24"/>
        </w:rPr>
        <w:t xml:space="preserve">(Ex. A to Suppl. </w:t>
      </w:r>
      <w:r w:rsidR="00DE1F67" w:rsidRPr="00DE1F67">
        <w:rPr>
          <w:sz w:val="24"/>
          <w:szCs w:val="24"/>
        </w:rPr>
        <w:t>Missaelides Decl.</w:t>
      </w:r>
      <w:r w:rsidRPr="00DE1F67">
        <w:rPr>
          <w:sz w:val="24"/>
          <w:szCs w:val="24"/>
        </w:rPr>
        <w:t xml:space="preserve"> at 1.)  </w:t>
      </w:r>
    </w:p>
    <w:p w:rsidR="001B1144" w:rsidRPr="00FC62F3" w:rsidRDefault="001B1144">
      <w:pPr>
        <w:pStyle w:val="FootnoteText"/>
        <w:rPr>
          <w:sz w:val="24"/>
          <w:szCs w:val="24"/>
        </w:rPr>
      </w:pPr>
      <w:r w:rsidRPr="00FC62F3">
        <w:rPr>
          <w:sz w:val="24"/>
          <w:szCs w:val="24"/>
          <w:highlight w:val="green"/>
        </w:rPr>
        <w:t xml:space="preserve"> </w:t>
      </w:r>
    </w:p>
  </w:footnote>
  <w:footnote w:id="6">
    <w:p w:rsidR="001B1144" w:rsidRDefault="001B1144" w:rsidP="00733583">
      <w:pPr>
        <w:pStyle w:val="FootnoteText"/>
      </w:pPr>
      <w:r w:rsidRPr="00FC62F3">
        <w:rPr>
          <w:rStyle w:val="FootnoteReference"/>
          <w:rFonts w:eastAsia="Calibri"/>
          <w:sz w:val="24"/>
          <w:szCs w:val="24"/>
        </w:rPr>
        <w:footnoteRef/>
      </w:r>
      <w:r w:rsidRPr="00FC62F3">
        <w:rPr>
          <w:sz w:val="24"/>
          <w:szCs w:val="24"/>
        </w:rPr>
        <w:t xml:space="preserve"> In all ways relevant to this discussion, the ADA and Section 504 of the Rehabilitation Act are generally construed to impose similar requirements.  </w:t>
      </w:r>
      <w:r w:rsidRPr="00FC62F3">
        <w:rPr>
          <w:i/>
          <w:sz w:val="24"/>
          <w:szCs w:val="24"/>
        </w:rPr>
        <w:t xml:space="preserve">See Sanchez v. Johnson, </w:t>
      </w:r>
      <w:r w:rsidRPr="00FC62F3">
        <w:rPr>
          <w:sz w:val="24"/>
          <w:szCs w:val="24"/>
        </w:rPr>
        <w:t>416 F.3d 1051, 1062</w:t>
      </w:r>
      <w:r w:rsidRPr="00FC62F3">
        <w:rPr>
          <w:i/>
          <w:sz w:val="24"/>
          <w:szCs w:val="24"/>
        </w:rPr>
        <w:t xml:space="preserve"> </w:t>
      </w:r>
      <w:r w:rsidRPr="00FC62F3">
        <w:rPr>
          <w:sz w:val="24"/>
          <w:szCs w:val="24"/>
        </w:rPr>
        <w:t>(9th Cir. 2005)</w:t>
      </w:r>
      <w:r w:rsidR="00726D1D">
        <w:rPr>
          <w:sz w:val="24"/>
          <w:szCs w:val="24"/>
        </w:rPr>
        <w:fldChar w:fldCharType="begin"/>
      </w:r>
      <w:r>
        <w:instrText xml:space="preserve"> TA \l "</w:instrText>
      </w:r>
      <w:r w:rsidRPr="00E404B0">
        <w:rPr>
          <w:i/>
          <w:sz w:val="24"/>
          <w:szCs w:val="24"/>
        </w:rPr>
        <w:instrText xml:space="preserve">Sanchez v. Johnson, </w:instrText>
      </w:r>
      <w:r>
        <w:rPr>
          <w:sz w:val="24"/>
          <w:szCs w:val="24"/>
        </w:rPr>
        <w:instrText xml:space="preserve">416 F.3d 1051 </w:instrText>
      </w:r>
      <w:r w:rsidRPr="00E404B0">
        <w:rPr>
          <w:sz w:val="24"/>
          <w:szCs w:val="24"/>
        </w:rPr>
        <w:instrText>(9th Cir. 2005)</w:instrText>
      </w:r>
      <w:r>
        <w:instrText xml:space="preserve">" \s "Sanchez v. Johnson, 416 F.3d 1051, 1062 (9th Cir. 2005)" \c 1 </w:instrText>
      </w:r>
      <w:r w:rsidR="00726D1D">
        <w:rPr>
          <w:sz w:val="24"/>
          <w:szCs w:val="24"/>
        </w:rPr>
        <w:fldChar w:fldCharType="end"/>
      </w:r>
      <w:r w:rsidRPr="00FC62F3">
        <w:rPr>
          <w:sz w:val="24"/>
          <w:szCs w:val="24"/>
        </w:rPr>
        <w:t>;</w:t>
      </w:r>
      <w:r w:rsidRPr="00FC62F3">
        <w:rPr>
          <w:i/>
          <w:sz w:val="24"/>
          <w:szCs w:val="24"/>
        </w:rPr>
        <w:t xml:space="preserve"> Zukle v. Regents of Univ. of California, </w:t>
      </w:r>
      <w:r w:rsidRPr="00FC62F3">
        <w:rPr>
          <w:sz w:val="24"/>
          <w:szCs w:val="24"/>
        </w:rPr>
        <w:t>166 F.3d 1041,</w:t>
      </w:r>
      <w:r w:rsidRPr="00FC62F3">
        <w:rPr>
          <w:i/>
          <w:sz w:val="24"/>
          <w:szCs w:val="24"/>
        </w:rPr>
        <w:t xml:space="preserve"> </w:t>
      </w:r>
      <w:r w:rsidRPr="00FC62F3">
        <w:rPr>
          <w:sz w:val="24"/>
          <w:szCs w:val="24"/>
        </w:rPr>
        <w:t>1045 n. 11</w:t>
      </w:r>
      <w:r w:rsidRPr="00FC62F3">
        <w:rPr>
          <w:i/>
          <w:sz w:val="24"/>
          <w:szCs w:val="24"/>
        </w:rPr>
        <w:t xml:space="preserve"> </w:t>
      </w:r>
      <w:r w:rsidRPr="00FC62F3">
        <w:rPr>
          <w:sz w:val="24"/>
          <w:szCs w:val="24"/>
        </w:rPr>
        <w:t>(9th Cir. 1999)</w:t>
      </w:r>
      <w:r w:rsidR="00726D1D">
        <w:rPr>
          <w:sz w:val="24"/>
          <w:szCs w:val="24"/>
        </w:rPr>
        <w:fldChar w:fldCharType="begin"/>
      </w:r>
      <w:r>
        <w:instrText xml:space="preserve"> TA \l "</w:instrText>
      </w:r>
      <w:r w:rsidRPr="00790D3F">
        <w:rPr>
          <w:i/>
          <w:sz w:val="24"/>
          <w:szCs w:val="24"/>
        </w:rPr>
        <w:instrText xml:space="preserve">Zukle v. Regents of Univ. of California, </w:instrText>
      </w:r>
      <w:r>
        <w:rPr>
          <w:sz w:val="24"/>
          <w:szCs w:val="24"/>
        </w:rPr>
        <w:instrText xml:space="preserve">166 F.3d 1041 </w:instrText>
      </w:r>
      <w:r w:rsidRPr="00790D3F">
        <w:rPr>
          <w:sz w:val="24"/>
          <w:szCs w:val="24"/>
        </w:rPr>
        <w:instrText>(9th Cir. 1999)</w:instrText>
      </w:r>
      <w:r>
        <w:instrText xml:space="preserve">" \s "Zukle v. Regents of Univ. of California, 166 F.3d 1041, 1045 n. 11 (9th Cir. 1999)" \c 1 </w:instrText>
      </w:r>
      <w:r w:rsidR="00726D1D">
        <w:rPr>
          <w:sz w:val="24"/>
          <w:szCs w:val="24"/>
        </w:rPr>
        <w:fldChar w:fldCharType="end"/>
      </w:r>
      <w:r w:rsidRPr="00FC62F3">
        <w:rPr>
          <w:i/>
          <w:sz w:val="24"/>
          <w:szCs w:val="24"/>
        </w:rPr>
        <w:t xml:space="preserve">. </w:t>
      </w:r>
      <w:r w:rsidRPr="00FC62F3">
        <w:rPr>
          <w:sz w:val="24"/>
          <w:szCs w:val="24"/>
        </w:rPr>
        <w:t xml:space="preserve">This principle follows from the similar language employed in the two acts. It also derives from the Congressional directive that implementation and interpretation of the two acts “be coordinated to prevent[ ] imposition of inconsistent or conflicting standards for the same requirements under the two statutes.”  </w:t>
      </w:r>
      <w:r w:rsidRPr="00FC62F3">
        <w:rPr>
          <w:i/>
          <w:sz w:val="24"/>
          <w:szCs w:val="24"/>
        </w:rPr>
        <w:t>Baird ex rel. Baird v. Rose</w:t>
      </w:r>
      <w:r w:rsidRPr="00FC62F3">
        <w:rPr>
          <w:sz w:val="24"/>
          <w:szCs w:val="24"/>
        </w:rPr>
        <w:t>, 192 F.3d 462, 468-9 (4th Cir. 1999)</w:t>
      </w:r>
      <w:r w:rsidR="00726D1D">
        <w:rPr>
          <w:sz w:val="24"/>
          <w:szCs w:val="24"/>
        </w:rPr>
        <w:fldChar w:fldCharType="begin"/>
      </w:r>
      <w:r>
        <w:instrText xml:space="preserve"> TA \l "</w:instrText>
      </w:r>
      <w:r w:rsidRPr="00D2080A">
        <w:rPr>
          <w:i/>
          <w:sz w:val="24"/>
          <w:szCs w:val="24"/>
        </w:rPr>
        <w:instrText>Baird ex rel. Baird v. Rose</w:instrText>
      </w:r>
      <w:r w:rsidRPr="00D2080A">
        <w:rPr>
          <w:sz w:val="24"/>
          <w:szCs w:val="24"/>
        </w:rPr>
        <w:instrText>, 192 F.3d 462 (4th Cir. 1999)</w:instrText>
      </w:r>
      <w:r>
        <w:instrText xml:space="preserve">" \s "Baird ex rel. Baird v. Rose, 192 F.3d 462, 468-9 (4th Cir. 1999)" \c 1 </w:instrText>
      </w:r>
      <w:r w:rsidR="00726D1D">
        <w:rPr>
          <w:sz w:val="24"/>
          <w:szCs w:val="24"/>
        </w:rPr>
        <w:fldChar w:fldCharType="end"/>
      </w:r>
      <w:r w:rsidRPr="00FC62F3">
        <w:rPr>
          <w:sz w:val="24"/>
          <w:szCs w:val="24"/>
        </w:rPr>
        <w:t xml:space="preserve"> (citing 42 U.S.C. § 12117(b)</w:t>
      </w:r>
      <w:r w:rsidR="00726D1D">
        <w:rPr>
          <w:sz w:val="24"/>
          <w:szCs w:val="24"/>
        </w:rPr>
        <w:fldChar w:fldCharType="begin"/>
      </w:r>
      <w:r>
        <w:instrText xml:space="preserve"> TA \l "</w:instrText>
      </w:r>
      <w:r w:rsidRPr="00CE5FA8">
        <w:rPr>
          <w:sz w:val="24"/>
          <w:szCs w:val="24"/>
        </w:rPr>
        <w:instrText>42 U.S.C. § 12117(b)</w:instrText>
      </w:r>
      <w:r>
        <w:instrText xml:space="preserve">" \s "42 U.S.C. § 12117(b)" \c 2 </w:instrText>
      </w:r>
      <w:r w:rsidR="00726D1D">
        <w:rPr>
          <w:sz w:val="24"/>
          <w:szCs w:val="24"/>
        </w:rPr>
        <w:fldChar w:fldCharType="end"/>
      </w:r>
      <w:r w:rsidRPr="00FC62F3">
        <w:rPr>
          <w:sz w:val="24"/>
          <w:szCs w:val="24"/>
        </w:rPr>
        <w:t>) (alteration in original).</w:t>
      </w:r>
      <w:r w:rsidRPr="007D5A6E">
        <w:t xml:space="preserve">  </w:t>
      </w:r>
    </w:p>
  </w:footnote>
  <w:footnote w:id="7">
    <w:p w:rsidR="001B1144" w:rsidRPr="00FC62F3" w:rsidRDefault="001B1144">
      <w:pPr>
        <w:pStyle w:val="FootnoteText"/>
        <w:rPr>
          <w:sz w:val="24"/>
          <w:szCs w:val="24"/>
        </w:rPr>
      </w:pPr>
      <w:r w:rsidRPr="00FC62F3">
        <w:rPr>
          <w:rStyle w:val="FootnoteReference"/>
          <w:sz w:val="24"/>
          <w:szCs w:val="24"/>
        </w:rPr>
        <w:footnoteRef/>
      </w:r>
      <w:r w:rsidRPr="00FC62F3">
        <w:rPr>
          <w:sz w:val="24"/>
          <w:szCs w:val="24"/>
        </w:rPr>
        <w:t xml:space="preserve"> </w:t>
      </w:r>
      <w:r w:rsidRPr="00FC62F3">
        <w:rPr>
          <w:i/>
          <w:sz w:val="24"/>
          <w:szCs w:val="24"/>
        </w:rPr>
        <w:t>See</w:t>
      </w:r>
      <w:r>
        <w:rPr>
          <w:sz w:val="24"/>
          <w:szCs w:val="24"/>
        </w:rPr>
        <w:t xml:space="preserve"> pp. 19-21</w:t>
      </w:r>
      <w:r w:rsidRPr="00FC62F3">
        <w:rPr>
          <w:sz w:val="24"/>
          <w:szCs w:val="24"/>
        </w:rPr>
        <w:t xml:space="preserve">, </w:t>
      </w:r>
      <w:r w:rsidRPr="00FC62F3">
        <w:rPr>
          <w:i/>
          <w:sz w:val="24"/>
          <w:szCs w:val="24"/>
        </w:rPr>
        <w:t>infra</w:t>
      </w:r>
      <w:r w:rsidRPr="00FC62F3">
        <w:rPr>
          <w:sz w:val="24"/>
          <w:szCs w:val="24"/>
        </w:rPr>
        <w:t>, discussing increased costs of hospitalizations, emergency room visits, and entry into long term care facilities.</w:t>
      </w:r>
    </w:p>
  </w:footnote>
  <w:footnote w:id="8">
    <w:p w:rsidR="001B1144" w:rsidRPr="00FC62F3" w:rsidRDefault="001B1144" w:rsidP="00484FF2">
      <w:pPr>
        <w:spacing w:after="0" w:line="240" w:lineRule="auto"/>
        <w:rPr>
          <w:rFonts w:ascii="Times New Roman" w:hAnsi="Times New Roman"/>
          <w:sz w:val="24"/>
          <w:szCs w:val="24"/>
        </w:rPr>
      </w:pPr>
      <w:r w:rsidRPr="00FC62F3">
        <w:rPr>
          <w:rStyle w:val="FootnoteReference"/>
          <w:rFonts w:ascii="Times New Roman" w:hAnsi="Times New Roman"/>
          <w:sz w:val="24"/>
          <w:szCs w:val="24"/>
        </w:rPr>
        <w:footnoteRef/>
      </w:r>
      <w:r w:rsidRPr="00FC62F3">
        <w:rPr>
          <w:rFonts w:ascii="Times New Roman" w:hAnsi="Times New Roman"/>
          <w:sz w:val="24"/>
          <w:szCs w:val="24"/>
        </w:rPr>
        <w:t xml:space="preserve"> Defendants’ assertion that Plaintiffs have not stated a claim for relief under the ADA or Rehabilitation Act because the ADA does not require the State to provide transition or replacement services, or to maintain a certain “level of services” is equally without merit.  (</w:t>
      </w:r>
      <w:r w:rsidRPr="00FC62F3">
        <w:rPr>
          <w:rFonts w:ascii="Times New Roman" w:hAnsi="Times New Roman"/>
          <w:i/>
          <w:sz w:val="24"/>
          <w:szCs w:val="24"/>
        </w:rPr>
        <w:t>See</w:t>
      </w:r>
      <w:r w:rsidRPr="00FC62F3">
        <w:rPr>
          <w:rFonts w:ascii="Times New Roman" w:hAnsi="Times New Roman"/>
          <w:sz w:val="24"/>
          <w:szCs w:val="24"/>
        </w:rPr>
        <w:t xml:space="preserve"> Defs.’ Br. at 11-12.)  While the ADA does not mandate what specific services a state must offer, it does require states to refrain from adopting policies or engaging in practices that discriminate, including those that will render individuals at risk of institutionalization.  </w:t>
      </w:r>
      <w:r w:rsidRPr="00FC62F3">
        <w:rPr>
          <w:rFonts w:ascii="Times New Roman" w:hAnsi="Times New Roman"/>
          <w:i/>
          <w:sz w:val="24"/>
          <w:szCs w:val="24"/>
        </w:rPr>
        <w:t>See</w:t>
      </w:r>
      <w:r w:rsidRPr="00FC62F3">
        <w:rPr>
          <w:rFonts w:ascii="Times New Roman" w:hAnsi="Times New Roman"/>
          <w:sz w:val="24"/>
          <w:szCs w:val="24"/>
        </w:rPr>
        <w:t xml:space="preserve"> </w:t>
      </w:r>
      <w:r w:rsidRPr="00FC62F3">
        <w:rPr>
          <w:rFonts w:ascii="Times New Roman" w:hAnsi="Times New Roman"/>
          <w:i/>
          <w:iCs/>
          <w:sz w:val="24"/>
          <w:szCs w:val="24"/>
        </w:rPr>
        <w:t>Fisher v. Oklahoma Health Care Auth.</w:t>
      </w:r>
      <w:r w:rsidRPr="00FC62F3">
        <w:rPr>
          <w:rFonts w:ascii="Times New Roman" w:hAnsi="Times New Roman"/>
          <w:sz w:val="24"/>
          <w:szCs w:val="24"/>
        </w:rPr>
        <w:t>, 335 F.3d 1175, 1181 (10th Cir. 2003)</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\s "Fisher v. Oklahoma Health Care Auth, 335 F.3d 1175 (10th Cir. 2003)"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w:t>
      </w:r>
      <w:r w:rsidRPr="00FC62F3">
        <w:rPr>
          <w:rFonts w:ascii="Times New Roman" w:hAnsi="Times New Roman"/>
          <w:i/>
          <w:sz w:val="24"/>
          <w:szCs w:val="24"/>
        </w:rPr>
        <w:t>Brantley</w:t>
      </w:r>
      <w:r w:rsidRPr="00FC62F3">
        <w:rPr>
          <w:rFonts w:ascii="Times New Roman" w:hAnsi="Times New Roman"/>
          <w:sz w:val="24"/>
          <w:szCs w:val="24"/>
        </w:rPr>
        <w:t>, 656 F. Supp. 2d at 1175</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\s "Brantley v. Maxwell-Jolly, 656 F. Supp. 2d 1161 (N.D. Cal. 2009)"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w:t>
      </w:r>
      <w:r w:rsidRPr="00FC62F3">
        <w:rPr>
          <w:rFonts w:ascii="Times New Roman" w:hAnsi="Times New Roman"/>
          <w:i/>
          <w:sz w:val="24"/>
          <w:szCs w:val="24"/>
        </w:rPr>
        <w:t>Cota</w:t>
      </w:r>
      <w:r w:rsidRPr="00FC62F3">
        <w:rPr>
          <w:rFonts w:ascii="Times New Roman" w:hAnsi="Times New Roman"/>
          <w:sz w:val="24"/>
          <w:szCs w:val="24"/>
        </w:rPr>
        <w:t>, 688 F. Supp. 2d at 994-95</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\s "Cota v. Maxwell-Jolly, 688 F. Supp. 2d 980 (N.D. Cal. 2010)" </w:instrText>
      </w:r>
      <w:r w:rsidR="00726D1D" w:rsidRPr="00FC62F3">
        <w:rPr>
          <w:rFonts w:ascii="Times New Roman" w:hAnsi="Times New Roman"/>
          <w:sz w:val="24"/>
          <w:szCs w:val="24"/>
        </w:rPr>
        <w:fldChar w:fldCharType="end"/>
      </w:r>
      <w:r w:rsidRPr="00FC62F3">
        <w:rPr>
          <w:rFonts w:ascii="Times New Roman" w:hAnsi="Times New Roman"/>
          <w:sz w:val="24"/>
          <w:szCs w:val="24"/>
        </w:rPr>
        <w:t>.</w:t>
      </w:r>
    </w:p>
    <w:p w:rsidR="001B1144" w:rsidRPr="00FC62F3" w:rsidRDefault="001B1144" w:rsidP="00484FF2">
      <w:pPr>
        <w:spacing w:after="0" w:line="240" w:lineRule="auto"/>
        <w:rPr>
          <w:rFonts w:ascii="Times New Roman" w:hAnsi="Times New Roman"/>
          <w:sz w:val="24"/>
          <w:szCs w:val="24"/>
        </w:rPr>
      </w:pPr>
    </w:p>
  </w:footnote>
  <w:footnote w:id="9">
    <w:p w:rsidR="001B1144" w:rsidRPr="00FC62F3" w:rsidRDefault="001B1144" w:rsidP="00CE32BD">
      <w:pPr>
        <w:pStyle w:val="FootnoteText"/>
        <w:rPr>
          <w:sz w:val="24"/>
          <w:szCs w:val="24"/>
        </w:rPr>
      </w:pPr>
      <w:r w:rsidRPr="00FC62F3">
        <w:rPr>
          <w:rStyle w:val="FootnoteReference"/>
          <w:sz w:val="24"/>
          <w:szCs w:val="24"/>
        </w:rPr>
        <w:footnoteRef/>
      </w:r>
      <w:r w:rsidRPr="00FC62F3">
        <w:rPr>
          <w:sz w:val="24"/>
          <w:szCs w:val="24"/>
        </w:rPr>
        <w:t xml:space="preserve">  The question whether institutionalization is a prerequisite to establishing a violation of Title II’s integration mandate is currently pending in this Circuit in two cases addressing the application of </w:t>
      </w:r>
      <w:r w:rsidRPr="00FC62F3">
        <w:rPr>
          <w:i/>
          <w:sz w:val="24"/>
          <w:szCs w:val="24"/>
        </w:rPr>
        <w:t>Olmstead</w:t>
      </w:r>
      <w:r w:rsidRPr="00FC62F3">
        <w:rPr>
          <w:sz w:val="24"/>
          <w:szCs w:val="24"/>
        </w:rPr>
        <w:t xml:space="preserve"> to changes in eligibility criteria for community-based services for persons with disabilities.  </w:t>
      </w:r>
      <w:r w:rsidRPr="00FC62F3">
        <w:rPr>
          <w:i/>
          <w:sz w:val="24"/>
          <w:szCs w:val="24"/>
        </w:rPr>
        <w:t>See</w:t>
      </w:r>
      <w:r w:rsidRPr="00FC62F3">
        <w:rPr>
          <w:sz w:val="24"/>
          <w:szCs w:val="24"/>
        </w:rPr>
        <w:t xml:space="preserve"> </w:t>
      </w:r>
      <w:r w:rsidRPr="00FC62F3">
        <w:rPr>
          <w:i/>
          <w:sz w:val="24"/>
          <w:szCs w:val="24"/>
        </w:rPr>
        <w:t xml:space="preserve">Oster </w:t>
      </w:r>
      <w:r w:rsidRPr="00FC62F3">
        <w:rPr>
          <w:sz w:val="24"/>
          <w:szCs w:val="24"/>
        </w:rPr>
        <w:t xml:space="preserve">v. </w:t>
      </w:r>
      <w:r w:rsidRPr="00FC62F3">
        <w:rPr>
          <w:i/>
          <w:sz w:val="24"/>
          <w:szCs w:val="24"/>
        </w:rPr>
        <w:t>Wagner</w:t>
      </w:r>
      <w:r w:rsidRPr="00FC62F3">
        <w:rPr>
          <w:sz w:val="24"/>
          <w:szCs w:val="24"/>
        </w:rPr>
        <w:t>, No. 09-17581 (9th Cir.</w:t>
      </w:r>
      <w:r w:rsidR="002732B3">
        <w:rPr>
          <w:sz w:val="24"/>
          <w:szCs w:val="24"/>
        </w:rPr>
        <w:t xml:space="preserve"> filed Nov. 18, 2009</w:t>
      </w:r>
      <w:r w:rsidRPr="00FC62F3">
        <w:rPr>
          <w:sz w:val="24"/>
          <w:szCs w:val="24"/>
        </w:rPr>
        <w:t xml:space="preserve">), and </w:t>
      </w:r>
      <w:r w:rsidRPr="00FC62F3">
        <w:rPr>
          <w:i/>
          <w:sz w:val="24"/>
          <w:szCs w:val="24"/>
        </w:rPr>
        <w:t>Cota</w:t>
      </w:r>
      <w:r w:rsidRPr="00FC62F3">
        <w:rPr>
          <w:sz w:val="24"/>
          <w:szCs w:val="24"/>
        </w:rPr>
        <w:t xml:space="preserve"> v. </w:t>
      </w:r>
      <w:r w:rsidRPr="00FC62F3">
        <w:rPr>
          <w:i/>
          <w:sz w:val="24"/>
          <w:szCs w:val="24"/>
        </w:rPr>
        <w:t>Maxwell-Jolly</w:t>
      </w:r>
      <w:r w:rsidRPr="00FC62F3">
        <w:rPr>
          <w:sz w:val="24"/>
          <w:szCs w:val="24"/>
        </w:rPr>
        <w:t>, No. 10-15635 (9th Cir.</w:t>
      </w:r>
      <w:r w:rsidR="002732B3">
        <w:rPr>
          <w:sz w:val="24"/>
          <w:szCs w:val="24"/>
        </w:rPr>
        <w:t xml:space="preserve"> filed </w:t>
      </w:r>
      <w:r w:rsidR="002732B3" w:rsidRPr="00391C31">
        <w:rPr>
          <w:sz w:val="24"/>
          <w:szCs w:val="24"/>
        </w:rPr>
        <w:t>Mar. 24, 2010</w:t>
      </w:r>
      <w:r w:rsidRPr="00FC62F3">
        <w:rPr>
          <w:sz w:val="24"/>
          <w:szCs w:val="24"/>
        </w:rPr>
        <w:t xml:space="preserve">).  The United States filed </w:t>
      </w:r>
      <w:r w:rsidRPr="00FC62F3">
        <w:rPr>
          <w:i/>
          <w:sz w:val="24"/>
          <w:szCs w:val="24"/>
        </w:rPr>
        <w:t xml:space="preserve">amicus </w:t>
      </w:r>
      <w:r w:rsidRPr="00FC62F3">
        <w:rPr>
          <w:sz w:val="24"/>
          <w:szCs w:val="24"/>
        </w:rPr>
        <w:t xml:space="preserve">briefs in both </w:t>
      </w:r>
      <w:r w:rsidRPr="00FC62F3">
        <w:rPr>
          <w:i/>
          <w:sz w:val="24"/>
          <w:szCs w:val="24"/>
        </w:rPr>
        <w:t xml:space="preserve">Oster </w:t>
      </w:r>
      <w:r w:rsidRPr="00FC62F3">
        <w:rPr>
          <w:sz w:val="24"/>
          <w:szCs w:val="24"/>
        </w:rPr>
        <w:t xml:space="preserve">and </w:t>
      </w:r>
      <w:r w:rsidRPr="00FC62F3">
        <w:rPr>
          <w:i/>
          <w:sz w:val="24"/>
          <w:szCs w:val="24"/>
        </w:rPr>
        <w:t>Cota</w:t>
      </w:r>
      <w:r w:rsidRPr="00FC62F3">
        <w:rPr>
          <w:sz w:val="24"/>
          <w:szCs w:val="24"/>
        </w:rPr>
        <w:t xml:space="preserve"> arguing, </w:t>
      </w:r>
      <w:r w:rsidRPr="00FC62F3">
        <w:rPr>
          <w:i/>
          <w:sz w:val="24"/>
          <w:szCs w:val="24"/>
        </w:rPr>
        <w:t>inter alia</w:t>
      </w:r>
      <w:r w:rsidRPr="00FC62F3">
        <w:rPr>
          <w:sz w:val="24"/>
          <w:szCs w:val="24"/>
        </w:rPr>
        <w:t>, that neither institutionalization, nor the risk of “imminent” institutionalization, is a prerequisite to establishing a violation of Title II’s integration mandate.</w:t>
      </w:r>
    </w:p>
    <w:p w:rsidR="001B1144" w:rsidRPr="006E6334" w:rsidRDefault="001B1144" w:rsidP="00CE32BD">
      <w:pPr>
        <w:pStyle w:val="FootnoteText"/>
      </w:pPr>
    </w:p>
  </w:footnote>
  <w:footnote w:id="10">
    <w:p w:rsidR="001B1144" w:rsidRPr="00FC62F3" w:rsidRDefault="001B1144" w:rsidP="00BC1F60">
      <w:pPr>
        <w:pStyle w:val="FootnoteText"/>
        <w:rPr>
          <w:sz w:val="24"/>
          <w:szCs w:val="24"/>
        </w:rPr>
      </w:pPr>
      <w:r w:rsidRPr="00FC62F3">
        <w:rPr>
          <w:rStyle w:val="FootnoteReference"/>
          <w:sz w:val="24"/>
          <w:szCs w:val="24"/>
        </w:rPr>
        <w:footnoteRef/>
      </w:r>
      <w:r w:rsidRPr="00FC62F3">
        <w:rPr>
          <w:sz w:val="24"/>
          <w:szCs w:val="24"/>
        </w:rPr>
        <w:t xml:space="preserve"> Defendants also argue that the Tenth Circuit applied the “serious risk of institutionalization” standard only to its analysis of the likelihood of irreparable harm.  (</w:t>
      </w:r>
      <w:r w:rsidRPr="00FC62F3">
        <w:rPr>
          <w:i/>
          <w:sz w:val="24"/>
          <w:szCs w:val="24"/>
        </w:rPr>
        <w:t>See</w:t>
      </w:r>
      <w:r w:rsidRPr="00FC62F3">
        <w:rPr>
          <w:sz w:val="24"/>
          <w:szCs w:val="24"/>
        </w:rPr>
        <w:t xml:space="preserve"> Defs.’ Br. at 14, n. 12.)</w:t>
      </w:r>
      <w:r w:rsidRPr="0020470A">
        <w:rPr>
          <w:sz w:val="24"/>
          <w:szCs w:val="24"/>
        </w:rPr>
        <w:t xml:space="preserve">  </w:t>
      </w:r>
      <w:r w:rsidRPr="00FC62F3">
        <w:rPr>
          <w:sz w:val="24"/>
          <w:szCs w:val="24"/>
        </w:rPr>
        <w:t xml:space="preserve">This is an overly narrow reading of </w:t>
      </w:r>
      <w:r w:rsidRPr="00FC62F3">
        <w:rPr>
          <w:i/>
          <w:sz w:val="24"/>
          <w:szCs w:val="24"/>
        </w:rPr>
        <w:t>Fisher</w:t>
      </w:r>
      <w:r w:rsidRPr="00FC62F3">
        <w:rPr>
          <w:sz w:val="24"/>
          <w:szCs w:val="24"/>
        </w:rPr>
        <w:t xml:space="preserve"> and was rejected by this Court in </w:t>
      </w:r>
      <w:r w:rsidRPr="00FC62F3">
        <w:rPr>
          <w:i/>
          <w:sz w:val="24"/>
          <w:szCs w:val="24"/>
        </w:rPr>
        <w:t>Brantley</w:t>
      </w:r>
      <w:r w:rsidRPr="00FC62F3">
        <w:rPr>
          <w:sz w:val="24"/>
          <w:szCs w:val="24"/>
        </w:rPr>
        <w:t xml:space="preserve">. </w:t>
      </w:r>
      <w:r w:rsidRPr="00FC62F3">
        <w:rPr>
          <w:i/>
          <w:sz w:val="24"/>
          <w:szCs w:val="24"/>
        </w:rPr>
        <w:t>See Brantley</w:t>
      </w:r>
      <w:r w:rsidRPr="00FC62F3">
        <w:rPr>
          <w:sz w:val="24"/>
          <w:szCs w:val="24"/>
        </w:rPr>
        <w:t>, 656 F. Supp. 2d at 1170</w:t>
      </w:r>
      <w:r w:rsidR="00130425">
        <w:rPr>
          <w:sz w:val="24"/>
          <w:szCs w:val="24"/>
        </w:rPr>
        <w:t>-71</w:t>
      </w:r>
      <w:r w:rsidR="00726D1D" w:rsidRPr="00FC62F3">
        <w:rPr>
          <w:sz w:val="24"/>
          <w:szCs w:val="24"/>
        </w:rPr>
        <w:fldChar w:fldCharType="begin"/>
      </w:r>
      <w:r w:rsidRPr="00FC62F3">
        <w:rPr>
          <w:sz w:val="24"/>
          <w:szCs w:val="24"/>
        </w:rPr>
        <w:instrText xml:space="preserve"> TA \s "Brantley v. Maxwell-Jolly, 656 F. Supp. 2d 1161 (N.D. Cal. 2009)" </w:instrText>
      </w:r>
      <w:r w:rsidR="00726D1D" w:rsidRPr="00FC62F3">
        <w:rPr>
          <w:sz w:val="24"/>
          <w:szCs w:val="24"/>
        </w:rPr>
        <w:fldChar w:fldCharType="end"/>
      </w:r>
      <w:r w:rsidRPr="00FC62F3">
        <w:rPr>
          <w:sz w:val="24"/>
          <w:szCs w:val="24"/>
        </w:rPr>
        <w:t xml:space="preserve">. </w:t>
      </w:r>
    </w:p>
    <w:p w:rsidR="001B1144" w:rsidRPr="00BC1F60" w:rsidRDefault="001B1144" w:rsidP="00BC1F60">
      <w:pPr>
        <w:pStyle w:val="FootnoteText"/>
      </w:pPr>
    </w:p>
  </w:footnote>
  <w:footnote w:id="11">
    <w:p w:rsidR="001B1144" w:rsidRPr="00FC62F3" w:rsidRDefault="001B1144" w:rsidP="00017FEE">
      <w:pPr>
        <w:spacing w:after="0" w:line="240" w:lineRule="auto"/>
        <w:rPr>
          <w:rFonts w:ascii="Times New Roman" w:hAnsi="Times New Roman"/>
          <w:sz w:val="24"/>
          <w:szCs w:val="24"/>
        </w:rPr>
      </w:pPr>
      <w:r w:rsidRPr="00FC62F3">
        <w:rPr>
          <w:rStyle w:val="FootnoteReference"/>
          <w:rFonts w:ascii="Times New Roman" w:hAnsi="Times New Roman"/>
          <w:sz w:val="24"/>
          <w:szCs w:val="24"/>
        </w:rPr>
        <w:footnoteRef/>
      </w:r>
      <w:r w:rsidRPr="00FC62F3">
        <w:rPr>
          <w:rFonts w:ascii="Times New Roman" w:hAnsi="Times New Roman"/>
          <w:sz w:val="24"/>
          <w:szCs w:val="24"/>
        </w:rPr>
        <w:t xml:space="preserve"> Defendants argue that Plaintiffs’ IPCs do not support the contention that they would face a risk of </w:t>
      </w:r>
      <w:r w:rsidRPr="00FC62F3">
        <w:rPr>
          <w:rFonts w:ascii="Times New Roman" w:hAnsi="Times New Roman"/>
          <w:i/>
          <w:sz w:val="24"/>
          <w:szCs w:val="24"/>
        </w:rPr>
        <w:t>indefinite</w:t>
      </w:r>
      <w:r w:rsidRPr="00FC62F3">
        <w:rPr>
          <w:rFonts w:ascii="Times New Roman" w:hAnsi="Times New Roman"/>
          <w:sz w:val="24"/>
          <w:szCs w:val="24"/>
        </w:rPr>
        <w:t xml:space="preserve"> placement in an institution.  (</w:t>
      </w:r>
      <w:r w:rsidRPr="00FC62F3">
        <w:rPr>
          <w:rFonts w:ascii="Times New Roman" w:hAnsi="Times New Roman"/>
          <w:i/>
          <w:sz w:val="24"/>
          <w:szCs w:val="24"/>
        </w:rPr>
        <w:t>See</w:t>
      </w:r>
      <w:r w:rsidRPr="00FC62F3">
        <w:rPr>
          <w:rFonts w:ascii="Times New Roman" w:hAnsi="Times New Roman"/>
          <w:sz w:val="24"/>
          <w:szCs w:val="24"/>
        </w:rPr>
        <w:t xml:space="preserve"> Defs.’ Br. at 16.)   But even policies that risk temporary institutionalization have been recognized as actionable under the ADA.  </w:t>
      </w:r>
      <w:r w:rsidRPr="00FC62F3">
        <w:rPr>
          <w:rFonts w:ascii="Times New Roman" w:hAnsi="Times New Roman"/>
          <w:i/>
          <w:sz w:val="24"/>
          <w:szCs w:val="24"/>
        </w:rPr>
        <w:t>See, e.g.,</w:t>
      </w:r>
      <w:r w:rsidRPr="00FC62F3">
        <w:rPr>
          <w:rFonts w:ascii="Times New Roman" w:hAnsi="Times New Roman"/>
          <w:i/>
          <w:iCs/>
          <w:sz w:val="24"/>
          <w:szCs w:val="24"/>
        </w:rPr>
        <w:t xml:space="preserve"> Marlo M. v. Cansler</w:t>
      </w:r>
      <w:r w:rsidRPr="00FC62F3">
        <w:rPr>
          <w:rFonts w:ascii="Times New Roman" w:hAnsi="Times New Roman"/>
          <w:sz w:val="24"/>
          <w:szCs w:val="24"/>
        </w:rPr>
        <w:t>, 679 F. Supp. 2d 635, 638 (E.D.N.C. 2010)</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iCs/>
          <w:sz w:val="24"/>
          <w:szCs w:val="24"/>
        </w:rPr>
        <w:instrText>Marlo M. v. Cansler</w:instrText>
      </w:r>
      <w:r w:rsidRPr="00FC62F3">
        <w:rPr>
          <w:rFonts w:ascii="Times New Roman" w:hAnsi="Times New Roman"/>
          <w:sz w:val="24"/>
          <w:szCs w:val="24"/>
        </w:rPr>
        <w:instrText xml:space="preserve">, 679 F. Supp. 2d 635 (E.D.N.C. 2010)" \s "Marlo M. v. Cansler, 679 F. Supp. 2d 635 (E.D.N.C. 2010)"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(granting preliminary injunction where evidence demonstrated that plaintiffs would suffer regressive consequences if “even temporarily” returning to an institutional setting); </w:t>
      </w:r>
      <w:r w:rsidRPr="00FC62F3">
        <w:rPr>
          <w:rFonts w:ascii="Times New Roman" w:hAnsi="Times New Roman"/>
          <w:i/>
          <w:sz w:val="24"/>
          <w:szCs w:val="24"/>
        </w:rPr>
        <w:t>Cruz v. Dudek</w:t>
      </w:r>
      <w:r w:rsidRPr="00FC62F3">
        <w:rPr>
          <w:rFonts w:ascii="Times New Roman" w:hAnsi="Times New Roman"/>
          <w:sz w:val="24"/>
          <w:szCs w:val="24"/>
        </w:rPr>
        <w:t>, No. 10-23048, 2010 WL 4284955, at *3-7 (S.D. Fla. Oct 12, 2010)</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sz w:val="24"/>
          <w:szCs w:val="24"/>
        </w:rPr>
        <w:instrText>Cruz v. Dudek</w:instrText>
      </w:r>
      <w:r w:rsidRPr="00FC62F3">
        <w:rPr>
          <w:rFonts w:ascii="Times New Roman" w:hAnsi="Times New Roman"/>
          <w:sz w:val="24"/>
          <w:szCs w:val="24"/>
        </w:rPr>
        <w:instrText xml:space="preserve">, No. 10-23048, 2010 WL 4284955 (S.D. Fla. Oct 12, 2010)" \s "Cruz v. Dudek, No. 10-23048, 2010 WL 4284955 (S.D. Fla. Oct 12, 2010)"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(granting preliminary injunction where state’s denial of community-based services placed plaintiffs at risk of institutionalization and state had proposed entry into nursing home for sixty days prior to providing community-based services) (Order adopting Magistrate’s Report and Recommendation, Nov. 24, 2010); </w:t>
      </w:r>
      <w:r w:rsidRPr="00FC62F3">
        <w:rPr>
          <w:rFonts w:ascii="Times New Roman" w:hAnsi="Times New Roman"/>
          <w:i/>
          <w:iCs/>
          <w:sz w:val="24"/>
          <w:szCs w:val="24"/>
        </w:rPr>
        <w:t>Haddad v. Arnold</w:t>
      </w:r>
      <w:r w:rsidRPr="00FC62F3">
        <w:rPr>
          <w:rFonts w:ascii="Times New Roman" w:hAnsi="Times New Roman"/>
          <w:sz w:val="24"/>
          <w:szCs w:val="24"/>
        </w:rPr>
        <w:t>,</w:t>
      </w:r>
      <w:r w:rsidR="00E22682">
        <w:rPr>
          <w:rFonts w:ascii="Times New Roman" w:hAnsi="Times New Roman"/>
          <w:sz w:val="24"/>
          <w:szCs w:val="24"/>
        </w:rPr>
        <w:t xml:space="preserve"> </w:t>
      </w:r>
      <w:r w:rsidRPr="00FC62F3">
        <w:rPr>
          <w:rFonts w:ascii="Times New Roman" w:hAnsi="Times New Roman"/>
          <w:sz w:val="24"/>
          <w:szCs w:val="24"/>
        </w:rPr>
        <w:t xml:space="preserve">___F.Supp. 2d___, No. 3:10-00414, </w:t>
      </w:r>
      <w:r w:rsidRPr="00FC62F3">
        <w:rPr>
          <w:rFonts w:ascii="Times New Roman" w:hAnsi="Times New Roman"/>
          <w:color w:val="000000"/>
          <w:sz w:val="24"/>
          <w:szCs w:val="24"/>
          <w:u w:val="single"/>
        </w:rPr>
        <w:softHyphen/>
      </w:r>
      <w:r w:rsidRPr="00FC62F3">
        <w:rPr>
          <w:rFonts w:ascii="Times New Roman" w:hAnsi="Times New Roman"/>
          <w:color w:val="000000"/>
          <w:sz w:val="24"/>
          <w:szCs w:val="24"/>
        </w:rPr>
        <w:t>2010 WL 6650335, at *17</w:t>
      </w:r>
      <w:r w:rsidRPr="00FC62F3">
        <w:rPr>
          <w:rFonts w:ascii="Times New Roman" w:hAnsi="Times New Roman"/>
          <w:sz w:val="24"/>
          <w:szCs w:val="24"/>
        </w:rPr>
        <w:t xml:space="preserve"> (M.D. Fla. July 9, 2010)</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iCs/>
          <w:sz w:val="24"/>
          <w:szCs w:val="24"/>
        </w:rPr>
        <w:instrText>Haddad v. Arnold</w:instrText>
      </w:r>
      <w:r w:rsidRPr="00FC62F3">
        <w:rPr>
          <w:rFonts w:ascii="Times New Roman" w:hAnsi="Times New Roman"/>
          <w:sz w:val="24"/>
          <w:szCs w:val="24"/>
        </w:rPr>
        <w:instrText xml:space="preserve">, No. 3:10-00414, </w:instrText>
      </w:r>
      <w:r w:rsidRPr="00FC62F3">
        <w:rPr>
          <w:rFonts w:ascii="Times New Roman" w:hAnsi="Times New Roman"/>
          <w:color w:val="000000"/>
          <w:sz w:val="24"/>
          <w:szCs w:val="24"/>
          <w:u w:val="single"/>
        </w:rPr>
        <w:softHyphen/>
      </w:r>
      <w:r w:rsidRPr="00FC62F3">
        <w:rPr>
          <w:rFonts w:ascii="Times New Roman" w:hAnsi="Times New Roman"/>
          <w:color w:val="000000"/>
          <w:sz w:val="24"/>
          <w:szCs w:val="24"/>
        </w:rPr>
        <w:instrText>2010 WL 6650335</w:instrText>
      </w:r>
      <w:r w:rsidRPr="00FC62F3">
        <w:rPr>
          <w:rFonts w:ascii="Times New Roman" w:hAnsi="Times New Roman"/>
          <w:sz w:val="24"/>
          <w:szCs w:val="24"/>
        </w:rPr>
        <w:instrText xml:space="preserve"> (M.D. Fla. July 9, 2010)" \s "Haddad v. Arnold, No. 3:10-00414, 2010 WL 6650335 (M.D. Fla. July 9, 2010)"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(granting preliminary injunction after finding that the plaintiff would suffer irreparable injury if forced to enter a nursing home).   Just as long-term isolation and segregation in an institutional setting deprives an individual of his or her freedom to interact with others in the community, temporary unjustified institutionalization similarly disrupts the individual’s established life in the community, placing at risk the individual’s psychological, emotional, and physical wellbeing.  </w:t>
      </w:r>
    </w:p>
    <w:p w:rsidR="001B1144" w:rsidRDefault="001B1144" w:rsidP="00017FEE">
      <w:pPr>
        <w:pStyle w:val="FootnoteText"/>
      </w:pPr>
    </w:p>
  </w:footnote>
  <w:footnote w:id="12">
    <w:p w:rsidR="001B1144" w:rsidRPr="00FC62F3" w:rsidRDefault="001B1144" w:rsidP="00017FEE">
      <w:pPr>
        <w:spacing w:after="0" w:line="240" w:lineRule="auto"/>
        <w:rPr>
          <w:rFonts w:ascii="Times New Roman" w:hAnsi="Times New Roman"/>
          <w:sz w:val="24"/>
          <w:szCs w:val="24"/>
        </w:rPr>
      </w:pPr>
      <w:r w:rsidRPr="00FC62F3">
        <w:rPr>
          <w:rStyle w:val="FootnoteReference"/>
          <w:rFonts w:ascii="Times New Roman" w:hAnsi="Times New Roman"/>
          <w:sz w:val="24"/>
          <w:szCs w:val="24"/>
        </w:rPr>
        <w:footnoteRef/>
      </w:r>
      <w:r w:rsidRPr="00FC62F3">
        <w:rPr>
          <w:rFonts w:ascii="Times New Roman" w:hAnsi="Times New Roman"/>
          <w:sz w:val="24"/>
          <w:szCs w:val="24"/>
        </w:rPr>
        <w:t xml:space="preserve"> </w:t>
      </w:r>
      <w:r w:rsidRPr="00FC62F3">
        <w:rPr>
          <w:rFonts w:ascii="Times New Roman" w:hAnsi="Times New Roman"/>
          <w:i/>
          <w:sz w:val="24"/>
          <w:szCs w:val="24"/>
        </w:rPr>
        <w:t>See, e.g., V.L. v. Wagner</w:t>
      </w:r>
      <w:r w:rsidRPr="00FC62F3">
        <w:rPr>
          <w:rFonts w:ascii="Times New Roman" w:hAnsi="Times New Roman"/>
          <w:sz w:val="24"/>
          <w:szCs w:val="24"/>
        </w:rPr>
        <w:t xml:space="preserve">, 669 F. Supp. 2d 1106, 1109 (N.D. Cal. 2009), </w:t>
      </w:r>
      <w:r w:rsidRPr="00FC62F3">
        <w:rPr>
          <w:rFonts w:ascii="Times New Roman" w:hAnsi="Times New Roman"/>
          <w:i/>
          <w:sz w:val="24"/>
          <w:szCs w:val="24"/>
        </w:rPr>
        <w:t>appeal pending</w:t>
      </w:r>
      <w:r w:rsidRPr="00FC62F3">
        <w:rPr>
          <w:rFonts w:ascii="Times New Roman" w:hAnsi="Times New Roman"/>
          <w:sz w:val="24"/>
          <w:szCs w:val="24"/>
        </w:rPr>
        <w:t xml:space="preserve"> </w:t>
      </w:r>
      <w:r w:rsidRPr="00FC62F3">
        <w:rPr>
          <w:rFonts w:ascii="Times New Roman" w:hAnsi="Times New Roman"/>
          <w:i/>
          <w:sz w:val="24"/>
          <w:szCs w:val="24"/>
        </w:rPr>
        <w:t>sub. nom.</w:t>
      </w:r>
      <w:r w:rsidRPr="00FC62F3">
        <w:rPr>
          <w:rFonts w:ascii="Times New Roman" w:hAnsi="Times New Roman"/>
          <w:sz w:val="24"/>
          <w:szCs w:val="24"/>
        </w:rPr>
        <w:t xml:space="preserve"> </w:t>
      </w:r>
      <w:r w:rsidRPr="00FC62F3">
        <w:rPr>
          <w:rFonts w:ascii="Times New Roman" w:hAnsi="Times New Roman"/>
          <w:i/>
          <w:sz w:val="24"/>
          <w:szCs w:val="24"/>
        </w:rPr>
        <w:t>Oster v. Wagner</w:t>
      </w:r>
      <w:r w:rsidRPr="00FC62F3">
        <w:rPr>
          <w:rFonts w:ascii="Times New Roman" w:hAnsi="Times New Roman"/>
          <w:sz w:val="24"/>
          <w:szCs w:val="24"/>
        </w:rPr>
        <w:t>, No. 09-17581 (9th Cir. Nov. 18, 2009)</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sz w:val="24"/>
          <w:szCs w:val="24"/>
        </w:rPr>
        <w:instrText>V.L. v. Wagner</w:instrText>
      </w:r>
      <w:r w:rsidRPr="00FC62F3">
        <w:rPr>
          <w:rFonts w:ascii="Times New Roman" w:hAnsi="Times New Roman"/>
          <w:sz w:val="24"/>
          <w:szCs w:val="24"/>
        </w:rPr>
        <w:instrText xml:space="preserve">, 669 F. Supp. 2d 1106 (N.D. Cal. 2009)" \s "V.L. v. Wagner, 669 F. Supp. 2d 1106 (N.D. Cal. 2009)"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(granting preliminary injunction to plaintiffs facing risk of institutionalization because of alterations to the In-Home Support Services program);</w:t>
      </w:r>
      <w:r w:rsidRPr="00FC62F3">
        <w:rPr>
          <w:rFonts w:ascii="Times New Roman" w:hAnsi="Times New Roman"/>
          <w:i/>
          <w:sz w:val="24"/>
          <w:szCs w:val="24"/>
        </w:rPr>
        <w:t xml:space="preserve"> M.A.C. v. Betit</w:t>
      </w:r>
      <w:r w:rsidRPr="00FC62F3">
        <w:rPr>
          <w:rFonts w:ascii="Times New Roman" w:hAnsi="Times New Roman"/>
          <w:sz w:val="24"/>
          <w:szCs w:val="24"/>
        </w:rPr>
        <w:t>, 284 F. Supp. 2d 1298, 1309 (D. Utah 2003)</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sz w:val="24"/>
          <w:szCs w:val="24"/>
        </w:rPr>
        <w:instrText>M.A.C. v. Betit</w:instrText>
      </w:r>
      <w:r w:rsidRPr="00FC62F3">
        <w:rPr>
          <w:rFonts w:ascii="Times New Roman" w:hAnsi="Times New Roman"/>
          <w:sz w:val="24"/>
          <w:szCs w:val="24"/>
        </w:rPr>
        <w:instrText xml:space="preserve">, 284 F. Supp. 2d 1298 (D. Utah 2003)" \s "M.A.C. v. Betit, 284 F. Supp. 2d 1298 (D. Utah 2003)"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(holding that the “</w:t>
      </w:r>
      <w:r w:rsidRPr="00FC62F3">
        <w:rPr>
          <w:rStyle w:val="documentbody"/>
          <w:rFonts w:ascii="Times New Roman" w:hAnsi="Times New Roman"/>
          <w:sz w:val="24"/>
          <w:szCs w:val="24"/>
        </w:rPr>
        <w:t>integration mandates of the ADA and § 504 apply equally to those individuals already institutionalized and those at risk of institutionalization”</w:t>
      </w:r>
      <w:r w:rsidRPr="00FC62F3">
        <w:rPr>
          <w:rFonts w:ascii="Times New Roman" w:hAnsi="Times New Roman"/>
          <w:sz w:val="24"/>
          <w:szCs w:val="24"/>
        </w:rPr>
        <w:t xml:space="preserve">); </w:t>
      </w:r>
      <w:r w:rsidRPr="00FC62F3">
        <w:rPr>
          <w:rFonts w:ascii="Times New Roman" w:hAnsi="Times New Roman"/>
          <w:i/>
          <w:sz w:val="24"/>
          <w:szCs w:val="24"/>
        </w:rPr>
        <w:t>Makin v. Hawaii</w:t>
      </w:r>
      <w:r w:rsidRPr="00FC62F3">
        <w:rPr>
          <w:rFonts w:ascii="Times New Roman" w:hAnsi="Times New Roman"/>
          <w:sz w:val="24"/>
          <w:szCs w:val="24"/>
        </w:rPr>
        <w:t>, 114 F. Supp. 2d 1017, 1034 (D. Haw. 1999)</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sz w:val="24"/>
          <w:szCs w:val="24"/>
        </w:rPr>
        <w:instrText>Makin v. Hawaii</w:instrText>
      </w:r>
      <w:r w:rsidRPr="00FC62F3">
        <w:rPr>
          <w:rFonts w:ascii="Times New Roman" w:hAnsi="Times New Roman"/>
          <w:sz w:val="24"/>
          <w:szCs w:val="24"/>
        </w:rPr>
        <w:instrText xml:space="preserve">, 114 F. Supp. 2d 1017 (D. Haw. 1999)" \s "Makin v. Hawaii, 114 F. Supp. 2d 1017 (D. Haw. 1999)"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(individuals on waiting list for community-based services offered could challenge state’s administration of the program as violating title II’s integration mandate because it “could potentially force Plaintiffs into institutions”); </w:t>
      </w:r>
      <w:r w:rsidRPr="00FC62F3">
        <w:rPr>
          <w:rFonts w:ascii="Times New Roman" w:hAnsi="Times New Roman"/>
          <w:i/>
          <w:iCs/>
          <w:sz w:val="24"/>
          <w:szCs w:val="24"/>
        </w:rPr>
        <w:t>Ball v. Rogers</w:t>
      </w:r>
      <w:r w:rsidRPr="00FC62F3">
        <w:rPr>
          <w:rFonts w:ascii="Times New Roman" w:hAnsi="Times New Roman"/>
          <w:sz w:val="24"/>
          <w:szCs w:val="24"/>
        </w:rPr>
        <w:t>, No. CV</w:t>
      </w:r>
      <w:r w:rsidRPr="00FC62F3">
        <w:rPr>
          <w:rStyle w:val="documentbody"/>
          <w:rFonts w:ascii="Times New Roman" w:hAnsi="Times New Roman"/>
          <w:sz w:val="24"/>
          <w:szCs w:val="24"/>
        </w:rPr>
        <w:t xml:space="preserve"> 00-67,</w:t>
      </w:r>
      <w:r w:rsidRPr="00FC62F3">
        <w:rPr>
          <w:rFonts w:ascii="Times New Roman" w:hAnsi="Times New Roman"/>
          <w:sz w:val="24"/>
          <w:szCs w:val="24"/>
        </w:rPr>
        <w:t xml:space="preserve"> 2009 WL 1395423, at *5 (D. Ariz. Apr. 24, 2009)</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iCs/>
          <w:sz w:val="24"/>
          <w:szCs w:val="24"/>
        </w:rPr>
        <w:instrText>Ball v. Rogers</w:instrText>
      </w:r>
      <w:r w:rsidRPr="00FC62F3">
        <w:rPr>
          <w:rFonts w:ascii="Times New Roman" w:hAnsi="Times New Roman"/>
          <w:sz w:val="24"/>
          <w:szCs w:val="24"/>
        </w:rPr>
        <w:instrText xml:space="preserve">, 2009 WL 13954235 (D. Ariz. April 24, 2009)" \s "Ball v. Rogers, 2009 WL 13954235 (D. Ariz. April 24, 2009)"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(holding state liable under the ADA for failure to provide adequate services to avoid unnecessary institutionalization); </w:t>
      </w:r>
      <w:r w:rsidRPr="00FC62F3">
        <w:rPr>
          <w:rFonts w:ascii="Times New Roman" w:hAnsi="Times New Roman"/>
          <w:i/>
          <w:iCs/>
          <w:sz w:val="24"/>
          <w:szCs w:val="24"/>
        </w:rPr>
        <w:t xml:space="preserve">Pitts v.Greenstein, </w:t>
      </w:r>
      <w:r w:rsidRPr="00FC62F3">
        <w:rPr>
          <w:rFonts w:ascii="Times New Roman" w:hAnsi="Times New Roman"/>
          <w:sz w:val="24"/>
          <w:szCs w:val="24"/>
        </w:rPr>
        <w:t xml:space="preserve">No. 3:10-cv-00635, </w:t>
      </w:r>
      <w:r w:rsidRPr="00FC62F3">
        <w:rPr>
          <w:rFonts w:ascii="Times New Roman" w:hAnsi="Times New Roman"/>
          <w:color w:val="000000"/>
          <w:sz w:val="24"/>
          <w:szCs w:val="24"/>
        </w:rPr>
        <w:t xml:space="preserve">2011 WL 1897552, at *3 </w:t>
      </w:r>
      <w:r w:rsidRPr="00FC62F3">
        <w:rPr>
          <w:rFonts w:ascii="Times New Roman" w:hAnsi="Times New Roman"/>
          <w:sz w:val="24"/>
          <w:szCs w:val="24"/>
        </w:rPr>
        <w:t>(M.D. La. May 18, 2011)</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iCs/>
          <w:sz w:val="24"/>
          <w:szCs w:val="24"/>
        </w:rPr>
        <w:instrText xml:space="preserve">Pitts v.Greenstein, </w:instrText>
      </w:r>
      <w:r w:rsidRPr="00FC62F3">
        <w:rPr>
          <w:rFonts w:ascii="Times New Roman" w:hAnsi="Times New Roman"/>
          <w:sz w:val="24"/>
          <w:szCs w:val="24"/>
        </w:rPr>
        <w:instrText xml:space="preserve">No. 3:10-cv-00635, </w:instrText>
      </w:r>
      <w:r w:rsidRPr="00FC62F3">
        <w:rPr>
          <w:rFonts w:ascii="Times New Roman" w:hAnsi="Times New Roman"/>
          <w:color w:val="000000"/>
          <w:sz w:val="24"/>
          <w:szCs w:val="24"/>
        </w:rPr>
        <w:instrText xml:space="preserve">2011 WL 1897552 </w:instrText>
      </w:r>
      <w:r w:rsidRPr="00FC62F3">
        <w:rPr>
          <w:rFonts w:ascii="Times New Roman" w:hAnsi="Times New Roman"/>
          <w:sz w:val="24"/>
          <w:szCs w:val="24"/>
        </w:rPr>
        <w:instrText xml:space="preserve">(M.D. La. May 18, 2011)" \s "Pitts v.Greenstein, No. 3:10-cv-00635, 2011 WL 1897552 (M.D. La. May 18, 2011)"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(denying defendants motion for summary judgment in part because defendants’ planned reduction in the number of available weekly personal care hours “plainly violates the ADA by creating a greater risk of institutionalization.”); </w:t>
      </w:r>
      <w:r w:rsidRPr="00FC62F3">
        <w:rPr>
          <w:rFonts w:ascii="Times New Roman" w:hAnsi="Times New Roman"/>
          <w:i/>
          <w:iCs/>
          <w:sz w:val="24"/>
          <w:szCs w:val="24"/>
        </w:rPr>
        <w:t>Hiltibran v. Levy</w:t>
      </w:r>
      <w:r w:rsidRPr="00FC62F3">
        <w:rPr>
          <w:rFonts w:ascii="Times New Roman" w:hAnsi="Times New Roman"/>
          <w:sz w:val="24"/>
          <w:szCs w:val="24"/>
        </w:rPr>
        <w:t>, No. 2:10-cv-04185</w:t>
      </w:r>
      <w:r w:rsidRPr="00FC62F3">
        <w:rPr>
          <w:rFonts w:ascii="Times New Roman" w:hAnsi="Times New Roman"/>
          <w:color w:val="000000"/>
          <w:sz w:val="24"/>
          <w:szCs w:val="24"/>
        </w:rPr>
        <w:t>, 2010 WL 6825306, at *4-5</w:t>
      </w:r>
      <w:r w:rsidRPr="00FC62F3">
        <w:rPr>
          <w:rFonts w:ascii="Times New Roman" w:hAnsi="Times New Roman"/>
          <w:sz w:val="24"/>
          <w:szCs w:val="24"/>
        </w:rPr>
        <w:t xml:space="preserve"> (W.D. Mo. Dec. 27, 2010)</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iCs/>
          <w:sz w:val="24"/>
          <w:szCs w:val="24"/>
        </w:rPr>
        <w:instrText>Hiltibran v. Levy</w:instrText>
      </w:r>
      <w:r w:rsidRPr="00FC62F3">
        <w:rPr>
          <w:rFonts w:ascii="Times New Roman" w:hAnsi="Times New Roman"/>
          <w:sz w:val="24"/>
          <w:szCs w:val="24"/>
        </w:rPr>
        <w:instrText>, No. 2:10-cv-04185</w:instrText>
      </w:r>
      <w:r w:rsidRPr="00FC62F3">
        <w:rPr>
          <w:rFonts w:ascii="Times New Roman" w:hAnsi="Times New Roman"/>
          <w:color w:val="000000"/>
          <w:sz w:val="24"/>
          <w:szCs w:val="24"/>
        </w:rPr>
        <w:instrText>, 2010 WL 6825306</w:instrText>
      </w:r>
      <w:r w:rsidRPr="00FC62F3">
        <w:rPr>
          <w:rFonts w:ascii="Times New Roman" w:hAnsi="Times New Roman"/>
          <w:sz w:val="24"/>
          <w:szCs w:val="24"/>
        </w:rPr>
        <w:instrText xml:space="preserve"> (W.D. Mo. Dec. 27, 2010)" \s "Hiltibran v. Levy, No. 2:10-cv-04185, 2010 WL 6825306 (W.D. Mo. Dec. 27, 2010)"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w:t>
      </w:r>
      <w:r w:rsidRPr="00FC62F3">
        <w:rPr>
          <w:rFonts w:ascii="Times New Roman" w:hAnsi="Times New Roman"/>
          <w:i/>
          <w:iCs/>
          <w:sz w:val="24"/>
          <w:szCs w:val="24"/>
        </w:rPr>
        <w:t>Hiltibran v. Levy</w:t>
      </w:r>
      <w:r w:rsidRPr="00FC62F3">
        <w:rPr>
          <w:rFonts w:ascii="Times New Roman" w:hAnsi="Times New Roman"/>
          <w:sz w:val="24"/>
          <w:szCs w:val="24"/>
        </w:rPr>
        <w:t xml:space="preserve">, </w:t>
      </w:r>
      <w:r w:rsidRPr="00FC62F3">
        <w:rPr>
          <w:rFonts w:ascii="Times New Roman" w:hAnsi="Times New Roman"/>
          <w:color w:val="000000"/>
          <w:sz w:val="24"/>
          <w:szCs w:val="24"/>
          <w:u w:val="single"/>
        </w:rPr>
        <w:softHyphen/>
      </w:r>
      <w:r w:rsidRPr="00FC62F3">
        <w:rPr>
          <w:rFonts w:ascii="Times New Roman" w:hAnsi="Times New Roman"/>
          <w:sz w:val="24"/>
          <w:szCs w:val="24"/>
        </w:rPr>
        <w:t xml:space="preserve"> No. 2:10-cv-04185</w:t>
      </w:r>
      <w:r w:rsidRPr="00FC62F3">
        <w:rPr>
          <w:rFonts w:ascii="Times New Roman" w:hAnsi="Times New Roman"/>
          <w:color w:val="000000"/>
          <w:sz w:val="24"/>
          <w:szCs w:val="24"/>
        </w:rPr>
        <w:t>, 2011 WL 2534332, at  *7</w:t>
      </w:r>
      <w:r w:rsidRPr="00FC62F3">
        <w:rPr>
          <w:rFonts w:ascii="Times New Roman" w:hAnsi="Times New Roman"/>
          <w:sz w:val="24"/>
          <w:szCs w:val="24"/>
        </w:rPr>
        <w:t xml:space="preserve"> (W.D. Mo. June 24, 2011)</w:t>
      </w:r>
      <w:r w:rsidR="00726D1D" w:rsidRPr="00FC62F3">
        <w:rPr>
          <w:rFonts w:ascii="Times New Roman" w:hAnsi="Times New Roman"/>
          <w:sz w:val="24"/>
          <w:szCs w:val="24"/>
        </w:rPr>
        <w:fldChar w:fldCharType="begin"/>
      </w:r>
      <w:r w:rsidRPr="00FC62F3">
        <w:rPr>
          <w:rFonts w:ascii="Times New Roman" w:hAnsi="Times New Roman"/>
          <w:sz w:val="24"/>
          <w:szCs w:val="24"/>
        </w:rPr>
        <w:instrText xml:space="preserve"> TA \l "</w:instrText>
      </w:r>
      <w:r w:rsidRPr="00FC62F3">
        <w:rPr>
          <w:rFonts w:ascii="Times New Roman" w:hAnsi="Times New Roman"/>
          <w:i/>
          <w:iCs/>
          <w:sz w:val="24"/>
          <w:szCs w:val="24"/>
        </w:rPr>
        <w:instrText>Hiltibran v. Levy</w:instrText>
      </w:r>
      <w:r w:rsidRPr="00FC62F3">
        <w:rPr>
          <w:rFonts w:ascii="Times New Roman" w:hAnsi="Times New Roman"/>
          <w:sz w:val="24"/>
          <w:szCs w:val="24"/>
        </w:rPr>
        <w:instrText xml:space="preserve">, </w:instrText>
      </w:r>
      <w:r w:rsidRPr="00FC62F3">
        <w:rPr>
          <w:rFonts w:ascii="Times New Roman" w:hAnsi="Times New Roman"/>
          <w:color w:val="000000"/>
          <w:sz w:val="24"/>
          <w:szCs w:val="24"/>
          <w:u w:val="single"/>
        </w:rPr>
        <w:softHyphen/>
      </w:r>
      <w:r w:rsidRPr="00FC62F3">
        <w:rPr>
          <w:rFonts w:ascii="Times New Roman" w:hAnsi="Times New Roman"/>
          <w:sz w:val="24"/>
          <w:szCs w:val="24"/>
        </w:rPr>
        <w:instrText xml:space="preserve"> No. 2:10-cv-04185</w:instrText>
      </w:r>
      <w:r w:rsidRPr="00FC62F3">
        <w:rPr>
          <w:rFonts w:ascii="Times New Roman" w:hAnsi="Times New Roman"/>
          <w:color w:val="000000"/>
          <w:sz w:val="24"/>
          <w:szCs w:val="24"/>
        </w:rPr>
        <w:instrText>, 2011 WL 2534332</w:instrText>
      </w:r>
      <w:r w:rsidRPr="00FC62F3">
        <w:rPr>
          <w:rFonts w:ascii="Times New Roman" w:hAnsi="Times New Roman"/>
          <w:sz w:val="24"/>
          <w:szCs w:val="24"/>
        </w:rPr>
        <w:instrText xml:space="preserve"> (W.D. Mo. June 24, 2011)" \s "Hiltibran v. Levy,  No. 2:10-cv-04185, 2011 WL 2534332 (W.D. Mo. June 24, 2011)" \c 1 </w:instrText>
      </w:r>
      <w:r w:rsidR="00726D1D" w:rsidRPr="00FC62F3">
        <w:rPr>
          <w:rFonts w:ascii="Times New Roman" w:hAnsi="Times New Roman"/>
          <w:sz w:val="24"/>
          <w:szCs w:val="24"/>
        </w:rPr>
        <w:fldChar w:fldCharType="end"/>
      </w:r>
      <w:r w:rsidRPr="00FC62F3">
        <w:rPr>
          <w:rFonts w:ascii="Times New Roman" w:hAnsi="Times New Roman"/>
          <w:sz w:val="24"/>
          <w:szCs w:val="24"/>
        </w:rPr>
        <w:t xml:space="preserve">; (Opinions granting plaintiffs’ motion for preliminary injunction and motion for summary judgment in after finding that the defendants </w:t>
      </w:r>
      <w:r w:rsidRPr="00FC62F3">
        <w:rPr>
          <w:rFonts w:ascii="Times New Roman" w:hAnsi="Times New Roman"/>
          <w:color w:val="000000"/>
          <w:sz w:val="24"/>
          <w:szCs w:val="24"/>
        </w:rPr>
        <w:t>policy not to provide necessary incontinence supplies placed individuals at risk of institutionalization in violation of the ADA.</w:t>
      </w:r>
      <w:r w:rsidRPr="00FC62F3">
        <w:rPr>
          <w:rFonts w:ascii="Times New Roman" w:hAnsi="Times New Roman"/>
          <w:sz w:val="24"/>
          <w:szCs w:val="24"/>
        </w:rPr>
        <w:t>)</w:t>
      </w:r>
    </w:p>
    <w:p w:rsidR="001B1144" w:rsidRDefault="001B1144" w:rsidP="00DC1A92">
      <w:pPr>
        <w:pStyle w:val="FootnoteText"/>
      </w:pPr>
    </w:p>
    <w:p w:rsidR="001B1144" w:rsidRPr="00233F26" w:rsidRDefault="001B1144" w:rsidP="00DC1A92">
      <w:pPr>
        <w:pStyle w:val="FootnoteText"/>
      </w:pPr>
    </w:p>
  </w:footnote>
  <w:footnote w:id="13">
    <w:p w:rsidR="001B1144" w:rsidRPr="00FC62F3" w:rsidRDefault="001B1144">
      <w:pPr>
        <w:pStyle w:val="FootnoteText"/>
        <w:rPr>
          <w:sz w:val="24"/>
          <w:szCs w:val="24"/>
        </w:rPr>
      </w:pPr>
      <w:r w:rsidRPr="00FC62F3">
        <w:rPr>
          <w:rStyle w:val="FootnoteReference"/>
          <w:sz w:val="24"/>
          <w:szCs w:val="24"/>
        </w:rPr>
        <w:footnoteRef/>
      </w:r>
      <w:r w:rsidRPr="00FC62F3">
        <w:rPr>
          <w:sz w:val="24"/>
          <w:szCs w:val="24"/>
        </w:rPr>
        <w:t xml:space="preserve"> The 2011-2012 budget for the State of California, signed into law on June 30, 2011, appropriates $85 million to fund ADHC transition assistance</w:t>
      </w:r>
      <w:r w:rsidRPr="00FC62F3">
        <w:rPr>
          <w:i/>
          <w:sz w:val="24"/>
          <w:szCs w:val="24"/>
        </w:rPr>
        <w:t>.  See</w:t>
      </w:r>
      <w:r w:rsidRPr="00FC62F3">
        <w:rPr>
          <w:sz w:val="24"/>
          <w:szCs w:val="24"/>
        </w:rPr>
        <w:t xml:space="preserve"> Budget Act of 2011, Senate Bill 87, enrolled June 28, 2011, Item 4260-101-0001 (13); </w:t>
      </w:r>
      <w:r w:rsidRPr="00DE1F67">
        <w:rPr>
          <w:sz w:val="24"/>
          <w:szCs w:val="24"/>
        </w:rPr>
        <w:t>Ex. H to Hendrickson Decl</w:t>
      </w:r>
      <w:r w:rsidR="00DE1F67" w:rsidRPr="00DE1F67">
        <w:rPr>
          <w:sz w:val="24"/>
          <w:szCs w:val="24"/>
        </w:rPr>
        <w:t>, “</w:t>
      </w:r>
      <w:r w:rsidRPr="00DE1F67">
        <w:rPr>
          <w:sz w:val="24"/>
          <w:szCs w:val="24"/>
        </w:rPr>
        <w:t>Governor’s Objections to appropriati</w:t>
      </w:r>
      <w:r w:rsidR="00C70270" w:rsidRPr="00DE1F67">
        <w:rPr>
          <w:sz w:val="24"/>
          <w:szCs w:val="24"/>
        </w:rPr>
        <w:t>ons contained in Senate Bill 87</w:t>
      </w:r>
      <w:r w:rsidR="00DE1F67" w:rsidRPr="00DE1F67">
        <w:rPr>
          <w:sz w:val="24"/>
          <w:szCs w:val="24"/>
        </w:rPr>
        <w:t>.”)</w:t>
      </w:r>
      <w:r w:rsidRPr="00FC62F3">
        <w:rPr>
          <w:sz w:val="24"/>
          <w:szCs w:val="24"/>
        </w:rPr>
        <w:t xml:space="preserve">  This one-time appropriation is designed to support transition of ADHC beneficiaries to alternative Medi-Cal services but contains no instructions as to what services, if any, might be actually available</w:t>
      </w:r>
      <w:r w:rsidR="005350AB">
        <w:rPr>
          <w:sz w:val="24"/>
          <w:szCs w:val="24"/>
        </w:rPr>
        <w:t xml:space="preserve"> before ADHC services are eliminated</w:t>
      </w:r>
      <w:r w:rsidRPr="00FC62F3">
        <w:rPr>
          <w:sz w:val="24"/>
          <w:szCs w:val="24"/>
        </w:rPr>
        <w:t>.</w:t>
      </w:r>
    </w:p>
    <w:p w:rsidR="001B1144" w:rsidRDefault="001B1144">
      <w:pPr>
        <w:pStyle w:val="FootnoteText"/>
      </w:pPr>
    </w:p>
  </w:footnote>
  <w:footnote w:id="14">
    <w:p w:rsidR="008640AD" w:rsidRPr="00D9488C" w:rsidRDefault="008640AD" w:rsidP="008640AD">
      <w:pPr>
        <w:pStyle w:val="FootnoteText"/>
        <w:rPr>
          <w:sz w:val="24"/>
          <w:szCs w:val="24"/>
        </w:rPr>
      </w:pPr>
      <w:r w:rsidRPr="00FC62F3">
        <w:rPr>
          <w:rStyle w:val="FootnoteReference"/>
          <w:rFonts w:eastAsia="Calibri"/>
          <w:sz w:val="24"/>
          <w:szCs w:val="24"/>
        </w:rPr>
        <w:footnoteRef/>
      </w:r>
      <w:r w:rsidRPr="00FC62F3">
        <w:rPr>
          <w:sz w:val="24"/>
          <w:szCs w:val="24"/>
        </w:rPr>
        <w:t xml:space="preserve"> </w:t>
      </w:r>
      <w:r w:rsidRPr="00CD3546">
        <w:rPr>
          <w:sz w:val="24"/>
          <w:szCs w:val="24"/>
        </w:rPr>
        <w:t>(</w:t>
      </w:r>
      <w:r w:rsidRPr="00CD3546">
        <w:rPr>
          <w:i/>
          <w:iCs/>
          <w:sz w:val="24"/>
          <w:szCs w:val="24"/>
        </w:rPr>
        <w:t xml:space="preserve">See </w:t>
      </w:r>
      <w:r w:rsidRPr="00CD3546">
        <w:rPr>
          <w:sz w:val="24"/>
          <w:szCs w:val="24"/>
        </w:rPr>
        <w:t>Dick-Muehlke Decl. ¶¶ 21-23, 26-30; Decl. of Megan Elliott, ECF No. 235 (“Elliott Decl.”) ¶¶ 22-24; Decl. of Joseph Hafkenschiel, ECF No. 240  ¶12-18, 20-28, 31; Missaelides Decl. ¶¶ 80-92; Wilber Decl. ¶¶ 7, 9, 11-19, 22; Yee Decl. ¶¶ 15, 18-19; Behr Decl. ¶¶ 30-35; Davis Decl. ¶¶ 24-29, 31-35; Houghton Decl. ¶¶ 16-20; McCloud Decl. ¶¶ 21-26, 28, 40-51; Myers Purkey Decl. ¶¶ 14, 21-24, 28, 34-35, 37, 39-40; Nolcox Decl. ¶¶ 16-22, 34; Puckett Decl. ¶¶ 17, 22-34, 41-43,45; Regalia Decl. ¶¶ 20-28, 36, 39, 44, 46, 55; Toth Decl. ¶¶ 30-41, 50-51, 58-60.)</w:t>
      </w:r>
      <w:r w:rsidRPr="00D9488C">
        <w:rPr>
          <w:sz w:val="24"/>
          <w:szCs w:val="24"/>
        </w:rPr>
        <w:t xml:space="preserve">  </w:t>
      </w:r>
    </w:p>
    <w:p w:rsidR="008640AD" w:rsidRPr="0020470A" w:rsidRDefault="008640AD" w:rsidP="008640AD">
      <w:pPr>
        <w:pStyle w:val="FootnoteText"/>
        <w:rPr>
          <w:sz w:val="24"/>
          <w:szCs w:val="24"/>
        </w:rPr>
      </w:pPr>
    </w:p>
    <w:p w:rsidR="008640AD" w:rsidRPr="00A36640" w:rsidRDefault="008640AD" w:rsidP="008640AD">
      <w:pPr>
        <w:pStyle w:val="FootnoteText"/>
      </w:pPr>
    </w:p>
  </w:footnote>
  <w:footnote w:id="15">
    <w:p w:rsidR="001B1144" w:rsidRDefault="001B1144" w:rsidP="009A0B2D">
      <w:pPr>
        <w:pStyle w:val="FootnoteText"/>
      </w:pPr>
      <w:r w:rsidRPr="00FC62F3">
        <w:rPr>
          <w:rStyle w:val="FootnoteReference"/>
          <w:sz w:val="24"/>
          <w:szCs w:val="24"/>
        </w:rPr>
        <w:footnoteRef/>
      </w:r>
      <w:r w:rsidRPr="00FC62F3">
        <w:rPr>
          <w:sz w:val="24"/>
          <w:szCs w:val="24"/>
        </w:rPr>
        <w:t xml:space="preserve"> Area Agencies on Aging receive federal, state and local funds to contract with local organizations for service to seniors. (Ogle Decl. ¶ 13.)  California law identifies </w:t>
      </w:r>
      <w:r w:rsidR="00E7284F">
        <w:rPr>
          <w:sz w:val="24"/>
          <w:szCs w:val="24"/>
        </w:rPr>
        <w:t>these agencies</w:t>
      </w:r>
      <w:r w:rsidRPr="00FC62F3">
        <w:rPr>
          <w:sz w:val="24"/>
          <w:szCs w:val="24"/>
        </w:rPr>
        <w:t xml:space="preserve"> as the local units in California to administer programs in compliance with the federal Older Americans Act and applicable regulations. (Id</w:t>
      </w:r>
      <w:r>
        <w:t>.)</w:t>
      </w:r>
    </w:p>
    <w:p w:rsidR="001B1144" w:rsidRDefault="001B1144" w:rsidP="009A0B2D">
      <w:pPr>
        <w:pStyle w:val="FootnoteText"/>
      </w:pPr>
    </w:p>
  </w:footnote>
  <w:footnote w:id="16">
    <w:p w:rsidR="001B1144" w:rsidRPr="00FC62F3" w:rsidRDefault="001B1144">
      <w:pPr>
        <w:pStyle w:val="FootnoteText"/>
        <w:rPr>
          <w:sz w:val="24"/>
          <w:szCs w:val="24"/>
        </w:rPr>
      </w:pPr>
      <w:r w:rsidRPr="00FC62F3">
        <w:rPr>
          <w:rStyle w:val="FootnoteReference"/>
          <w:sz w:val="24"/>
          <w:szCs w:val="24"/>
        </w:rPr>
        <w:footnoteRef/>
      </w:r>
      <w:r w:rsidRPr="00FC62F3">
        <w:rPr>
          <w:sz w:val="24"/>
          <w:szCs w:val="24"/>
        </w:rPr>
        <w:t xml:space="preserve"> Defendants assert that a “large proportion” of the IPCs they have reviewed thus far indicate the necessity for “medication management” and assert that such services are available through the IHSS program, hypothesizing that “many participants may be eligible for additional IHSS hours.”  As noted supra, p. 17, Plaintiffs’ experts have identified a number of reasons why IHSS will likely be insufficient to provide the medication management and supervision necessary to prevent acute hospitalization and long-term institutionalization of current ADHC recipients.</w:t>
      </w:r>
    </w:p>
    <w:p w:rsidR="001B1144" w:rsidRDefault="001B1144">
      <w:pPr>
        <w:pStyle w:val="FootnoteText"/>
      </w:pPr>
    </w:p>
  </w:footnote>
  <w:footnote w:id="17">
    <w:p w:rsidR="003C593B" w:rsidRPr="00FC62F3" w:rsidRDefault="003C593B" w:rsidP="003C593B">
      <w:pPr>
        <w:spacing w:after="0" w:line="240" w:lineRule="auto"/>
        <w:rPr>
          <w:rStyle w:val="groupheading"/>
          <w:rFonts w:ascii="Times New Roman" w:hAnsi="Times New Roman"/>
          <w:sz w:val="24"/>
          <w:szCs w:val="24"/>
        </w:rPr>
      </w:pPr>
      <w:r w:rsidRPr="001F3EFF">
        <w:rPr>
          <w:rStyle w:val="FootnoteReference"/>
          <w:rFonts w:ascii="Times New Roman" w:hAnsi="Times New Roman"/>
          <w:sz w:val="24"/>
          <w:szCs w:val="24"/>
        </w:rPr>
        <w:footnoteRef/>
      </w:r>
      <w:r w:rsidRPr="001F3EFF">
        <w:rPr>
          <w:rFonts w:ascii="Times New Roman" w:hAnsi="Times New Roman"/>
          <w:sz w:val="24"/>
          <w:szCs w:val="24"/>
        </w:rPr>
        <w:t xml:space="preserve"> On June 15, 2011, the California Legislature passed a bill that would require DHCS to submit to CMS by September 1, 2011 an application to implement a new home and community-based waiver program called  the Keeping Adults Free from Institutions (“KAFI”) program. (</w:t>
      </w:r>
      <w:r w:rsidRPr="001F3EFF">
        <w:rPr>
          <w:rFonts w:ascii="Times New Roman" w:hAnsi="Times New Roman"/>
          <w:i/>
          <w:sz w:val="24"/>
          <w:szCs w:val="24"/>
        </w:rPr>
        <w:t>See</w:t>
      </w:r>
      <w:r w:rsidRPr="001F3EFF">
        <w:rPr>
          <w:rFonts w:ascii="Times New Roman" w:hAnsi="Times New Roman"/>
          <w:sz w:val="24"/>
          <w:szCs w:val="24"/>
        </w:rPr>
        <w:t xml:space="preserve"> Supp</w:t>
      </w:r>
      <w:r>
        <w:rPr>
          <w:rFonts w:ascii="Times New Roman" w:hAnsi="Times New Roman"/>
          <w:sz w:val="24"/>
          <w:szCs w:val="24"/>
        </w:rPr>
        <w:t>l</w:t>
      </w:r>
      <w:r w:rsidRPr="001F3EFF">
        <w:rPr>
          <w:rFonts w:ascii="Times New Roman" w:hAnsi="Times New Roman"/>
          <w:sz w:val="24"/>
          <w:szCs w:val="24"/>
        </w:rPr>
        <w:t>. Missaelides Decl. ¶ 7; Ex. E to Suppl. Missaelides Decl.</w:t>
      </w:r>
      <w:r w:rsidR="00432302">
        <w:rPr>
          <w:rFonts w:ascii="Times New Roman" w:hAnsi="Times New Roman"/>
          <w:sz w:val="24"/>
          <w:szCs w:val="24"/>
        </w:rPr>
        <w:t xml:space="preserve"> “Assembly Bill 96.”</w:t>
      </w:r>
      <w:r w:rsidRPr="001F3EFF">
        <w:rPr>
          <w:rFonts w:ascii="Times New Roman" w:hAnsi="Times New Roman"/>
          <w:sz w:val="24"/>
          <w:szCs w:val="24"/>
        </w:rPr>
        <w:t>) If signed into law, the program would utilize ADHC centers to provide a “well-defined scope of medical, behavioral health, and social services</w:t>
      </w:r>
      <w:r>
        <w:rPr>
          <w:rFonts w:ascii="Times New Roman" w:hAnsi="Times New Roman"/>
          <w:sz w:val="24"/>
          <w:szCs w:val="24"/>
        </w:rPr>
        <w:t>”</w:t>
      </w:r>
      <w:r w:rsidRPr="001F3EFF">
        <w:rPr>
          <w:rFonts w:ascii="Times New Roman" w:hAnsi="Times New Roman"/>
          <w:sz w:val="24"/>
          <w:szCs w:val="24"/>
        </w:rPr>
        <w:t xml:space="preserve"> for Medi-cal beneficiaries who have been assessed </w:t>
      </w:r>
      <w:r>
        <w:rPr>
          <w:rFonts w:ascii="Times New Roman" w:hAnsi="Times New Roman"/>
          <w:sz w:val="24"/>
          <w:szCs w:val="24"/>
        </w:rPr>
        <w:t>to be</w:t>
      </w:r>
      <w:r w:rsidRPr="001F3EFF">
        <w:rPr>
          <w:rFonts w:ascii="Times New Roman" w:hAnsi="Times New Roman"/>
          <w:sz w:val="24"/>
          <w:szCs w:val="24"/>
        </w:rPr>
        <w:t xml:space="preserve"> at risk of institutionalization.  (Ex. E to Suppl.Missaelides Decl.)</w:t>
      </w:r>
      <w:r>
        <w:rPr>
          <w:rFonts w:ascii="Times New Roman" w:hAnsi="Times New Roman"/>
          <w:sz w:val="24"/>
          <w:szCs w:val="24"/>
        </w:rPr>
        <w:t xml:space="preserve">  </w:t>
      </w:r>
      <w:r w:rsidRPr="00C70270">
        <w:rPr>
          <w:rFonts w:ascii="Times New Roman" w:hAnsi="Times New Roman"/>
          <w:sz w:val="24"/>
          <w:szCs w:val="24"/>
        </w:rPr>
        <w:t>As of July 12, 2011</w:t>
      </w:r>
      <w:r>
        <w:rPr>
          <w:rFonts w:ascii="Times New Roman" w:hAnsi="Times New Roman"/>
          <w:sz w:val="24"/>
          <w:szCs w:val="24"/>
        </w:rPr>
        <w:t>, this program has not been signed into law. (Suppl. Missaelides Decl. ¶ 7).</w:t>
      </w:r>
    </w:p>
    <w:p w:rsidR="003C593B" w:rsidRPr="00752840" w:rsidRDefault="003C593B" w:rsidP="003C593B">
      <w:pPr>
        <w:spacing w:after="0" w:line="240" w:lineRule="auto"/>
      </w:pPr>
    </w:p>
  </w:footnote>
  <w:footnote w:id="18">
    <w:p w:rsidR="001B1144" w:rsidRPr="00FC62F3" w:rsidRDefault="001B1144">
      <w:pPr>
        <w:pStyle w:val="FootnoteText"/>
        <w:rPr>
          <w:sz w:val="24"/>
          <w:szCs w:val="24"/>
        </w:rPr>
      </w:pPr>
      <w:r w:rsidRPr="00FC62F3">
        <w:rPr>
          <w:rStyle w:val="FootnoteReference"/>
          <w:sz w:val="24"/>
          <w:szCs w:val="24"/>
        </w:rPr>
        <w:footnoteRef/>
      </w:r>
      <w:r w:rsidRPr="00FC62F3">
        <w:rPr>
          <w:sz w:val="24"/>
          <w:szCs w:val="24"/>
        </w:rPr>
        <w:t xml:space="preserve"> (</w:t>
      </w:r>
      <w:r w:rsidRPr="00FC62F3">
        <w:rPr>
          <w:i/>
          <w:sz w:val="24"/>
          <w:szCs w:val="24"/>
        </w:rPr>
        <w:t>See</w:t>
      </w:r>
      <w:r w:rsidRPr="00FC62F3">
        <w:rPr>
          <w:sz w:val="24"/>
          <w:szCs w:val="24"/>
        </w:rPr>
        <w:t xml:space="preserve"> Toth Decl., Ex. B,</w:t>
      </w:r>
      <w:r w:rsidR="00DE1F67">
        <w:rPr>
          <w:sz w:val="24"/>
          <w:szCs w:val="24"/>
        </w:rPr>
        <w:t xml:space="preserve"> “ADHC Program Updates”</w:t>
      </w:r>
      <w:r w:rsidRPr="00FC62F3">
        <w:rPr>
          <w:sz w:val="24"/>
          <w:szCs w:val="24"/>
        </w:rPr>
        <w:t xml:space="preserve"> at PL00912 (letter informing providers of their responsibilities); Missaelides Decl., Ex. I, at 5: 2-6 (provider responsibilities); 5:10-13; 18:14-23; 20:3-7; 27:19-27 (lack of information on viability of alternative services,); 8:1-6; 13:11-14; 28:6-16-19; 30:9-13 (lack of DHCS assistance for transition,); 6:7-8; 13:13-14; 19: 12-14 (lack of specificity regarding transition process); 14: 8-15; 22:13-18 (lack of information about timing and availability of KAFI program, ); 6:22-24; 8: 2-6 (lack of information regarding additional funding); Wilber Decl. ¶¶ 7.C, 21 (lack of information regarding a mechanism to monitor (1) whether participants actually receive adequate alternative services; and (2) the safety of discharged participants)).  </w:t>
      </w:r>
    </w:p>
  </w:footnote>
  <w:footnote w:id="19">
    <w:p w:rsidR="001B1144" w:rsidRPr="00FC62F3" w:rsidRDefault="001B1144" w:rsidP="009E7AB8">
      <w:pPr>
        <w:pStyle w:val="FootnoteText"/>
        <w:rPr>
          <w:sz w:val="24"/>
          <w:szCs w:val="24"/>
        </w:rPr>
      </w:pPr>
      <w:r w:rsidRPr="00FC62F3">
        <w:rPr>
          <w:rStyle w:val="FootnoteReference"/>
          <w:sz w:val="24"/>
          <w:szCs w:val="24"/>
        </w:rPr>
        <w:footnoteRef/>
      </w:r>
      <w:r w:rsidRPr="00FC62F3">
        <w:rPr>
          <w:sz w:val="24"/>
          <w:szCs w:val="24"/>
        </w:rPr>
        <w:t xml:space="preserve"> </w:t>
      </w:r>
      <w:r w:rsidRPr="00FC62F3">
        <w:rPr>
          <w:i/>
          <w:sz w:val="24"/>
          <w:szCs w:val="24"/>
        </w:rPr>
        <w:t>See</w:t>
      </w:r>
      <w:r w:rsidRPr="00FC62F3">
        <w:rPr>
          <w:sz w:val="24"/>
          <w:szCs w:val="24"/>
        </w:rPr>
        <w:t xml:space="preserve"> State Medicaid Manual, § 13026 (outlining process for approving State Plan Amendments and reserving authority for the CMS Administrator to determine that a previously approved plan no longer meets the requirements for approval) </w:t>
      </w:r>
      <w:r w:rsidR="001D692E" w:rsidRPr="001D692E">
        <w:rPr>
          <w:i/>
          <w:sz w:val="24"/>
          <w:szCs w:val="24"/>
        </w:rPr>
        <w:t>available at</w:t>
      </w:r>
      <w:r w:rsidRPr="00FC62F3">
        <w:rPr>
          <w:sz w:val="24"/>
          <w:szCs w:val="24"/>
        </w:rPr>
        <w:t xml:space="preserve">: </w:t>
      </w:r>
      <w:hyperlink r:id="rId1" w:history="1">
        <w:r w:rsidRPr="00FC62F3">
          <w:rPr>
            <w:rStyle w:val="Hyperlink"/>
            <w:sz w:val="24"/>
            <w:szCs w:val="24"/>
          </w:rPr>
          <w:t>http://www.cms.gov/Manuals/PBM/itemdetail.asp?filterType=none&amp;filterByDID=-99&amp;sortByDID=1&amp;sortOrder=ascending&amp;itemID=CMS021927&amp;intNumPerPage=10</w:t>
        </w:r>
      </w:hyperlink>
    </w:p>
    <w:p w:rsidR="001B1144" w:rsidRPr="00FC62F3" w:rsidRDefault="001B1144" w:rsidP="009E7AB8">
      <w:pPr>
        <w:pStyle w:val="FootnoteText"/>
        <w:rPr>
          <w:sz w:val="24"/>
          <w:szCs w:val="24"/>
        </w:rPr>
      </w:pPr>
    </w:p>
  </w:footnote>
  <w:footnote w:id="20">
    <w:p w:rsidR="001B1144" w:rsidRDefault="001B1144" w:rsidP="009E7AB8">
      <w:pPr>
        <w:pStyle w:val="FootnoteText"/>
      </w:pPr>
      <w:r w:rsidRPr="00FC62F3">
        <w:rPr>
          <w:rStyle w:val="FootnoteReference"/>
          <w:sz w:val="24"/>
          <w:szCs w:val="24"/>
        </w:rPr>
        <w:footnoteRef/>
      </w:r>
      <w:r w:rsidRPr="00FC62F3">
        <w:rPr>
          <w:sz w:val="24"/>
          <w:szCs w:val="24"/>
        </w:rPr>
        <w:t xml:space="preserve"> </w:t>
      </w:r>
      <w:r w:rsidRPr="00FC62F3">
        <w:rPr>
          <w:i/>
          <w:sz w:val="24"/>
          <w:szCs w:val="24"/>
        </w:rPr>
        <w:t>See, e.g.</w:t>
      </w:r>
      <w:r w:rsidRPr="00FC62F3">
        <w:rPr>
          <w:sz w:val="24"/>
          <w:szCs w:val="24"/>
        </w:rPr>
        <w:t xml:space="preserve"> State Medicaid Director Letters – No. 10-008: “Community Living Initiative” (May 20, 2010), No. 01-007: “Olmstead Update No. 5” (Jan. 10, 2001), No. 01-006: “Olmstead Update No. 4” (Jan. 10, 2001), “Olmstead Update No. 3” (Jul. 25, 2000), “Olmstead Update No. 2” (Jul. 25, 2000),  “The recent Supreme Court Decision in Olmstead v L.C. , 119 S. Ct. 2176 (1999)” (Jan. 14, 2000), </w:t>
      </w:r>
      <w:r w:rsidRPr="001D692E">
        <w:rPr>
          <w:i/>
          <w:sz w:val="24"/>
          <w:szCs w:val="24"/>
        </w:rPr>
        <w:t>available</w:t>
      </w:r>
      <w:r w:rsidR="001D692E" w:rsidRPr="001D692E">
        <w:rPr>
          <w:i/>
          <w:sz w:val="24"/>
          <w:szCs w:val="24"/>
        </w:rPr>
        <w:t xml:space="preserve"> at</w:t>
      </w:r>
      <w:r w:rsidRPr="00FC62F3">
        <w:rPr>
          <w:sz w:val="24"/>
          <w:szCs w:val="24"/>
        </w:rPr>
        <w:t>: http://www.cms.gov/SMDL/SMD/list.asp</w:t>
      </w:r>
    </w:p>
  </w:footnote>
  <w:footnote w:id="21">
    <w:p w:rsidR="001B1144" w:rsidRPr="00E7284F" w:rsidRDefault="001B1144" w:rsidP="00733583">
      <w:pPr>
        <w:pStyle w:val="FootnoteText"/>
        <w:rPr>
          <w:sz w:val="24"/>
          <w:szCs w:val="24"/>
        </w:rPr>
      </w:pPr>
      <w:r w:rsidRPr="00E7284F">
        <w:rPr>
          <w:rStyle w:val="FootnoteReference"/>
          <w:rFonts w:eastAsia="Calibri"/>
          <w:sz w:val="24"/>
          <w:szCs w:val="24"/>
        </w:rPr>
        <w:footnoteRef/>
      </w:r>
      <w:r w:rsidRPr="00E7284F">
        <w:rPr>
          <w:sz w:val="24"/>
          <w:szCs w:val="24"/>
        </w:rPr>
        <w:t xml:space="preserve"> </w:t>
      </w:r>
      <w:r w:rsidR="001D692E" w:rsidRPr="00E7284F">
        <w:rPr>
          <w:i/>
          <w:sz w:val="24"/>
          <w:szCs w:val="24"/>
        </w:rPr>
        <w:t xml:space="preserve">See also </w:t>
      </w:r>
      <w:r w:rsidR="001D692E" w:rsidRPr="00E7284F">
        <w:rPr>
          <w:sz w:val="24"/>
          <w:szCs w:val="24"/>
        </w:rPr>
        <w:t xml:space="preserve">Brief for the United States as Amicus Curiae Supporting Respondents at 16-17, </w:t>
      </w:r>
      <w:r w:rsidR="001D692E" w:rsidRPr="00E7284F">
        <w:rPr>
          <w:i/>
          <w:sz w:val="24"/>
          <w:szCs w:val="24"/>
        </w:rPr>
        <w:t>Olmstead v, L.C.</w:t>
      </w:r>
      <w:r w:rsidR="001D692E" w:rsidRPr="00E7284F">
        <w:rPr>
          <w:sz w:val="24"/>
          <w:szCs w:val="24"/>
        </w:rPr>
        <w:t xml:space="preserve">, </w:t>
      </w:r>
      <w:r w:rsidR="001D692E" w:rsidRPr="00E7284F">
        <w:rPr>
          <w:bCs/>
          <w:sz w:val="24"/>
          <w:szCs w:val="24"/>
        </w:rPr>
        <w:t>527 U.S. 581 (1999)</w:t>
      </w:r>
      <w:r w:rsidR="001D692E" w:rsidRPr="00E7284F">
        <w:rPr>
          <w:b/>
          <w:bCs/>
          <w:sz w:val="24"/>
          <w:szCs w:val="24"/>
        </w:rPr>
        <w:t xml:space="preserve"> </w:t>
      </w:r>
      <w:r w:rsidR="001D692E" w:rsidRPr="00E7284F">
        <w:rPr>
          <w:bCs/>
          <w:sz w:val="24"/>
          <w:szCs w:val="24"/>
        </w:rPr>
        <w:t>(</w:t>
      </w:r>
      <w:r w:rsidR="001D692E" w:rsidRPr="00E7284F">
        <w:rPr>
          <w:sz w:val="24"/>
          <w:szCs w:val="24"/>
        </w:rPr>
        <w:t>No. 98-536) (1999 WL 149653) (“To be segregated is to be misunderstood, even feared,” and “only by breaking down barriers between people can we dispel the negative attitudes and myths that are the main currency of oppression.”) (citing 136 Cong. Rec. H2603 (daily ed. May 22, 1990) (statement of Rep. Collins).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3" w:rsidRDefault="001E50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3" w:rsidRDefault="001E50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3" w:rsidRDefault="001E50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8E28234"/>
    <w:lvl w:ilvl="0">
      <w:start w:val="1"/>
      <w:numFmt w:val="upperRoman"/>
      <w:pStyle w:val="Heading1"/>
      <w:lvlText w:val="%1"/>
      <w:lvlJc w:val="center"/>
      <w:pPr>
        <w:ind w:left="0" w:firstLine="0"/>
      </w:pPr>
      <w:rPr>
        <w:rFonts w:cs="Times New Roman" w:hint="default"/>
        <w:b/>
        <w:i w:val="0"/>
      </w:rPr>
    </w:lvl>
    <w:lvl w:ilvl="1">
      <w:start w:val="1"/>
      <w:numFmt w:val="upperLetter"/>
      <w:pStyle w:val="Heading2"/>
      <w:lvlText w:val="%2."/>
      <w:lvlJc w:val="left"/>
      <w:pPr>
        <w:ind w:left="720" w:hanging="720"/>
      </w:pPr>
      <w:rPr>
        <w:rFonts w:cs="Times New Roman" w:hint="default"/>
        <w:b/>
        <w:i w:val="0"/>
      </w:rPr>
    </w:lvl>
    <w:lvl w:ilvl="2">
      <w:start w:val="2"/>
      <w:numFmt w:val="decimal"/>
      <w:pStyle w:val="Heading3"/>
      <w:lvlText w:val="%3."/>
      <w:lvlJc w:val="left"/>
      <w:pPr>
        <w:ind w:left="2340" w:hanging="720"/>
      </w:pPr>
      <w:rPr>
        <w:rFonts w:cs="Times New Roman" w:hint="default"/>
        <w:b w:val="0"/>
        <w:i w:val="0"/>
      </w:rPr>
    </w:lvl>
    <w:lvl w:ilvl="3">
      <w:start w:val="1"/>
      <w:numFmt w:val="lowerLetter"/>
      <w:pStyle w:val="Heading4"/>
      <w:lvlText w:val="%4)"/>
      <w:lvlJc w:val="left"/>
      <w:pPr>
        <w:ind w:left="2160" w:hanging="720"/>
      </w:pPr>
      <w:rPr>
        <w:rFonts w:cs="Times New Roman" w:hint="default"/>
        <w:b/>
        <w:i w:val="0"/>
      </w:rPr>
    </w:lvl>
    <w:lvl w:ilvl="4">
      <w:start w:val="1"/>
      <w:numFmt w:val="decimal"/>
      <w:pStyle w:val="Heading5"/>
      <w:lvlText w:val="(%5)"/>
      <w:lvlJc w:val="left"/>
      <w:pPr>
        <w:ind w:left="2880" w:hanging="720"/>
      </w:pPr>
      <w:rPr>
        <w:rFonts w:cs="Times New Roman" w:hint="default"/>
        <w:b/>
        <w:i w:val="0"/>
      </w:rPr>
    </w:lvl>
    <w:lvl w:ilvl="5">
      <w:start w:val="1"/>
      <w:numFmt w:val="lowerLetter"/>
      <w:pStyle w:val="Heading6"/>
      <w:lvlText w:val="(%6)"/>
      <w:lvlJc w:val="left"/>
      <w:pPr>
        <w:ind w:left="3600" w:hanging="720"/>
      </w:pPr>
      <w:rPr>
        <w:rFonts w:cs="Times New Roman" w:hint="default"/>
        <w:b/>
        <w:i w:val="0"/>
      </w:rPr>
    </w:lvl>
    <w:lvl w:ilvl="6">
      <w:start w:val="1"/>
      <w:numFmt w:val="lowerRoman"/>
      <w:pStyle w:val="Heading7"/>
      <w:lvlText w:val="(%7)"/>
      <w:lvlJc w:val="left"/>
      <w:pPr>
        <w:ind w:left="4320" w:hanging="720"/>
      </w:pPr>
      <w:rPr>
        <w:rFonts w:cs="Times New Roman" w:hint="default"/>
        <w:b/>
        <w:i w:val="0"/>
      </w:rPr>
    </w:lvl>
    <w:lvl w:ilvl="7">
      <w:start w:val="1"/>
      <w:numFmt w:val="lowerLetter"/>
      <w:pStyle w:val="Heading8"/>
      <w:lvlText w:val="(%8)"/>
      <w:lvlJc w:val="left"/>
      <w:pPr>
        <w:ind w:left="5040" w:hanging="720"/>
      </w:pPr>
      <w:rPr>
        <w:rFonts w:cs="Times New Roman" w:hint="default"/>
        <w:b/>
        <w:i w:val="0"/>
      </w:rPr>
    </w:lvl>
    <w:lvl w:ilvl="8">
      <w:start w:val="1"/>
      <w:numFmt w:val="lowerRoman"/>
      <w:pStyle w:val="Heading9"/>
      <w:lvlText w:val="(%9)"/>
      <w:lvlJc w:val="left"/>
      <w:pPr>
        <w:ind w:left="5760" w:hanging="720"/>
      </w:pPr>
      <w:rPr>
        <w:rFonts w:cs="Times New Roman" w:hint="default"/>
        <w:b/>
        <w:i w:val="0"/>
      </w:rPr>
    </w:lvl>
  </w:abstractNum>
  <w:abstractNum w:abstractNumId="1">
    <w:nsid w:val="0B283AD3"/>
    <w:multiLevelType w:val="hybridMultilevel"/>
    <w:tmpl w:val="DF4CFAFC"/>
    <w:lvl w:ilvl="0" w:tplc="8D6276E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13FC"/>
    <w:multiLevelType w:val="hybridMultilevel"/>
    <w:tmpl w:val="15689156"/>
    <w:lvl w:ilvl="0" w:tplc="1144BEA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3E3B74"/>
    <w:multiLevelType w:val="hybridMultilevel"/>
    <w:tmpl w:val="41082D30"/>
    <w:lvl w:ilvl="0" w:tplc="1D26A812">
      <w:start w:val="4"/>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2101077"/>
    <w:multiLevelType w:val="multilevel"/>
    <w:tmpl w:val="DF4CFAFC"/>
    <w:lvl w:ilvl="0">
      <w:start w:val="1"/>
      <w:numFmt w:val="upp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B129D7"/>
    <w:multiLevelType w:val="hybridMultilevel"/>
    <w:tmpl w:val="59AC91F6"/>
    <w:lvl w:ilvl="0" w:tplc="7A2689BC">
      <w:start w:val="1"/>
      <w:numFmt w:val="upperLetter"/>
      <w:lvlText w:val="%1."/>
      <w:lvlJc w:val="left"/>
      <w:pPr>
        <w:ind w:left="720" w:hanging="360"/>
      </w:pPr>
      <w:rPr>
        <w:b/>
      </w:rPr>
    </w:lvl>
    <w:lvl w:ilvl="1" w:tplc="2E6EA66A">
      <w:start w:val="1"/>
      <w:numFmt w:val="decimal"/>
      <w:pStyle w:val="SubHeading2"/>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D4336"/>
    <w:multiLevelType w:val="hybridMultilevel"/>
    <w:tmpl w:val="4F5253B2"/>
    <w:lvl w:ilvl="0" w:tplc="3C54D3C4">
      <w:start w:val="1"/>
      <w:numFmt w:val="lowerLetter"/>
      <w:pStyle w:val="SubHeading3"/>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EF5309"/>
    <w:multiLevelType w:val="hybridMultilevel"/>
    <w:tmpl w:val="8B3C0CE0"/>
    <w:lvl w:ilvl="0" w:tplc="422E4F0C">
      <w:start w:val="1"/>
      <w:numFmt w:val="upperLetter"/>
      <w:pStyle w:val="Sub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F3142"/>
    <w:multiLevelType w:val="hybridMultilevel"/>
    <w:tmpl w:val="B5A874E4"/>
    <w:lvl w:ilvl="0" w:tplc="E7B48FA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A52A23"/>
    <w:multiLevelType w:val="hybridMultilevel"/>
    <w:tmpl w:val="998050E8"/>
    <w:lvl w:ilvl="0" w:tplc="951E3CD0">
      <w:start w:val="1"/>
      <w:numFmt w:val="upperRoman"/>
      <w:pStyle w:val="Heading"/>
      <w:lvlText w:val="%1."/>
      <w:lvlJc w:val="right"/>
      <w:pPr>
        <w:ind w:left="1080" w:hanging="360"/>
      </w:pPr>
      <w:rPr>
        <w:b/>
      </w:rPr>
    </w:lvl>
    <w:lvl w:ilvl="1" w:tplc="5106B1A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7"/>
  </w:num>
  <w:num w:numId="4">
    <w:abstractNumId w:val="0"/>
  </w:num>
  <w:num w:numId="5">
    <w:abstractNumId w:val="5"/>
  </w:num>
  <w:num w:numId="6">
    <w:abstractNumId w:val="6"/>
  </w:num>
  <w:num w:numId="7">
    <w:abstractNumId w:val="3"/>
  </w:num>
  <w:num w:numId="8">
    <w:abstractNumId w:val="1"/>
  </w:num>
  <w:num w:numId="9">
    <w:abstractNumId w:val="4"/>
  </w:num>
  <w:num w:numId="10">
    <w:abstractNumId w:val="8"/>
  </w:num>
  <w:num w:numId="11">
    <w:abstractNumId w:val="7"/>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FELayout/>
  </w:compat>
  <w:rsids>
    <w:rsidRoot w:val="00733583"/>
    <w:rsid w:val="000006E2"/>
    <w:rsid w:val="000048E7"/>
    <w:rsid w:val="00006399"/>
    <w:rsid w:val="00010DF8"/>
    <w:rsid w:val="000112F5"/>
    <w:rsid w:val="00017FEE"/>
    <w:rsid w:val="00021364"/>
    <w:rsid w:val="00033CE9"/>
    <w:rsid w:val="000360E9"/>
    <w:rsid w:val="00043A29"/>
    <w:rsid w:val="00082A05"/>
    <w:rsid w:val="00085076"/>
    <w:rsid w:val="000922C1"/>
    <w:rsid w:val="0009524B"/>
    <w:rsid w:val="000A7453"/>
    <w:rsid w:val="000B3701"/>
    <w:rsid w:val="000B4526"/>
    <w:rsid w:val="000C49BF"/>
    <w:rsid w:val="000C5FC4"/>
    <w:rsid w:val="000F0493"/>
    <w:rsid w:val="00105E3D"/>
    <w:rsid w:val="001261BB"/>
    <w:rsid w:val="00130425"/>
    <w:rsid w:val="001445C7"/>
    <w:rsid w:val="00167AE8"/>
    <w:rsid w:val="001709E6"/>
    <w:rsid w:val="001811B1"/>
    <w:rsid w:val="00195C49"/>
    <w:rsid w:val="00196E7B"/>
    <w:rsid w:val="001A0432"/>
    <w:rsid w:val="001A536A"/>
    <w:rsid w:val="001A63E8"/>
    <w:rsid w:val="001B1144"/>
    <w:rsid w:val="001B5ECB"/>
    <w:rsid w:val="001C742E"/>
    <w:rsid w:val="001D692E"/>
    <w:rsid w:val="001E5043"/>
    <w:rsid w:val="001E62C8"/>
    <w:rsid w:val="001E6F92"/>
    <w:rsid w:val="001F192E"/>
    <w:rsid w:val="001F3EFF"/>
    <w:rsid w:val="0020417C"/>
    <w:rsid w:val="0020470A"/>
    <w:rsid w:val="002121F1"/>
    <w:rsid w:val="00222F73"/>
    <w:rsid w:val="00224BDF"/>
    <w:rsid w:val="00247BEF"/>
    <w:rsid w:val="00251ADC"/>
    <w:rsid w:val="00265C84"/>
    <w:rsid w:val="002732B3"/>
    <w:rsid w:val="002800D6"/>
    <w:rsid w:val="002831CA"/>
    <w:rsid w:val="00284FFD"/>
    <w:rsid w:val="00294E8B"/>
    <w:rsid w:val="002E52AC"/>
    <w:rsid w:val="002F70EC"/>
    <w:rsid w:val="003035C9"/>
    <w:rsid w:val="00306586"/>
    <w:rsid w:val="00311FC7"/>
    <w:rsid w:val="003234AD"/>
    <w:rsid w:val="00326280"/>
    <w:rsid w:val="00335E73"/>
    <w:rsid w:val="00344C8A"/>
    <w:rsid w:val="003549DC"/>
    <w:rsid w:val="00356FAA"/>
    <w:rsid w:val="00366B87"/>
    <w:rsid w:val="003801FF"/>
    <w:rsid w:val="003844B5"/>
    <w:rsid w:val="00391C31"/>
    <w:rsid w:val="003C0223"/>
    <w:rsid w:val="003C593B"/>
    <w:rsid w:val="003C6F31"/>
    <w:rsid w:val="003D1B07"/>
    <w:rsid w:val="003F1BD4"/>
    <w:rsid w:val="003F7EE1"/>
    <w:rsid w:val="004129A7"/>
    <w:rsid w:val="004170DC"/>
    <w:rsid w:val="00423811"/>
    <w:rsid w:val="00432302"/>
    <w:rsid w:val="004335A5"/>
    <w:rsid w:val="004606A3"/>
    <w:rsid w:val="004730ED"/>
    <w:rsid w:val="00475494"/>
    <w:rsid w:val="00476931"/>
    <w:rsid w:val="00480DC6"/>
    <w:rsid w:val="00484FF2"/>
    <w:rsid w:val="00486250"/>
    <w:rsid w:val="00494175"/>
    <w:rsid w:val="004A7986"/>
    <w:rsid w:val="004B25F8"/>
    <w:rsid w:val="004B4337"/>
    <w:rsid w:val="004B5B67"/>
    <w:rsid w:val="004E6378"/>
    <w:rsid w:val="004F07A3"/>
    <w:rsid w:val="004F6910"/>
    <w:rsid w:val="0051480F"/>
    <w:rsid w:val="0052685F"/>
    <w:rsid w:val="005328C9"/>
    <w:rsid w:val="00533469"/>
    <w:rsid w:val="00534512"/>
    <w:rsid w:val="00534AAB"/>
    <w:rsid w:val="00534BB4"/>
    <w:rsid w:val="005350AB"/>
    <w:rsid w:val="00564BE4"/>
    <w:rsid w:val="005741E1"/>
    <w:rsid w:val="0059223B"/>
    <w:rsid w:val="00594AF5"/>
    <w:rsid w:val="005A5A74"/>
    <w:rsid w:val="005B0692"/>
    <w:rsid w:val="005B2E65"/>
    <w:rsid w:val="005C27FB"/>
    <w:rsid w:val="005D702D"/>
    <w:rsid w:val="00612AB2"/>
    <w:rsid w:val="006207C3"/>
    <w:rsid w:val="00621464"/>
    <w:rsid w:val="00623350"/>
    <w:rsid w:val="00630D3B"/>
    <w:rsid w:val="00631CD9"/>
    <w:rsid w:val="00657407"/>
    <w:rsid w:val="0066544C"/>
    <w:rsid w:val="0066774C"/>
    <w:rsid w:val="00677F8B"/>
    <w:rsid w:val="0068306A"/>
    <w:rsid w:val="00685365"/>
    <w:rsid w:val="006913CB"/>
    <w:rsid w:val="00695094"/>
    <w:rsid w:val="00695738"/>
    <w:rsid w:val="00697665"/>
    <w:rsid w:val="006B78D8"/>
    <w:rsid w:val="006C552F"/>
    <w:rsid w:val="006C7B9B"/>
    <w:rsid w:val="006D3B2A"/>
    <w:rsid w:val="006D6747"/>
    <w:rsid w:val="006E11EB"/>
    <w:rsid w:val="006E4EE8"/>
    <w:rsid w:val="006F52F6"/>
    <w:rsid w:val="006F68F0"/>
    <w:rsid w:val="00700191"/>
    <w:rsid w:val="007079C3"/>
    <w:rsid w:val="00711FD8"/>
    <w:rsid w:val="0071527F"/>
    <w:rsid w:val="00717C3E"/>
    <w:rsid w:val="00717D93"/>
    <w:rsid w:val="00721475"/>
    <w:rsid w:val="00726D1D"/>
    <w:rsid w:val="00727782"/>
    <w:rsid w:val="00733583"/>
    <w:rsid w:val="007468AB"/>
    <w:rsid w:val="00752840"/>
    <w:rsid w:val="007548D9"/>
    <w:rsid w:val="00764AA1"/>
    <w:rsid w:val="00773F92"/>
    <w:rsid w:val="00775AA9"/>
    <w:rsid w:val="007803C9"/>
    <w:rsid w:val="007B2F8B"/>
    <w:rsid w:val="007B53AC"/>
    <w:rsid w:val="007C1A88"/>
    <w:rsid w:val="007D0528"/>
    <w:rsid w:val="007E0E65"/>
    <w:rsid w:val="007E4128"/>
    <w:rsid w:val="007F5D19"/>
    <w:rsid w:val="00807FF0"/>
    <w:rsid w:val="00831E0E"/>
    <w:rsid w:val="00843FE1"/>
    <w:rsid w:val="0085281C"/>
    <w:rsid w:val="0085575E"/>
    <w:rsid w:val="008640AD"/>
    <w:rsid w:val="00865ADD"/>
    <w:rsid w:val="00874510"/>
    <w:rsid w:val="008748BC"/>
    <w:rsid w:val="008844D3"/>
    <w:rsid w:val="00890112"/>
    <w:rsid w:val="00894727"/>
    <w:rsid w:val="008B62E0"/>
    <w:rsid w:val="008B6B8C"/>
    <w:rsid w:val="008C3410"/>
    <w:rsid w:val="008C7DB5"/>
    <w:rsid w:val="008D5E3A"/>
    <w:rsid w:val="008E178F"/>
    <w:rsid w:val="008E1883"/>
    <w:rsid w:val="008E53E5"/>
    <w:rsid w:val="008F180C"/>
    <w:rsid w:val="00911046"/>
    <w:rsid w:val="00921B10"/>
    <w:rsid w:val="00931415"/>
    <w:rsid w:val="00934B26"/>
    <w:rsid w:val="0093609E"/>
    <w:rsid w:val="009616C9"/>
    <w:rsid w:val="00965AFA"/>
    <w:rsid w:val="00974931"/>
    <w:rsid w:val="00987822"/>
    <w:rsid w:val="009A0B2D"/>
    <w:rsid w:val="009C38A3"/>
    <w:rsid w:val="009E7AB8"/>
    <w:rsid w:val="00A01D7B"/>
    <w:rsid w:val="00A17CBA"/>
    <w:rsid w:val="00A243F2"/>
    <w:rsid w:val="00A36640"/>
    <w:rsid w:val="00A457A6"/>
    <w:rsid w:val="00A4630C"/>
    <w:rsid w:val="00A465B2"/>
    <w:rsid w:val="00A50BB5"/>
    <w:rsid w:val="00A515D7"/>
    <w:rsid w:val="00A60A96"/>
    <w:rsid w:val="00A71E07"/>
    <w:rsid w:val="00A74172"/>
    <w:rsid w:val="00A93933"/>
    <w:rsid w:val="00A961EF"/>
    <w:rsid w:val="00AA1088"/>
    <w:rsid w:val="00AA72E7"/>
    <w:rsid w:val="00AB49D3"/>
    <w:rsid w:val="00AC2731"/>
    <w:rsid w:val="00AC2C37"/>
    <w:rsid w:val="00AD55FA"/>
    <w:rsid w:val="00AE454A"/>
    <w:rsid w:val="00AE6386"/>
    <w:rsid w:val="00AF5775"/>
    <w:rsid w:val="00B00C8F"/>
    <w:rsid w:val="00B03AE6"/>
    <w:rsid w:val="00B07E7D"/>
    <w:rsid w:val="00B13FD4"/>
    <w:rsid w:val="00B3321C"/>
    <w:rsid w:val="00B33643"/>
    <w:rsid w:val="00B41576"/>
    <w:rsid w:val="00B51E3F"/>
    <w:rsid w:val="00B551C9"/>
    <w:rsid w:val="00B6276C"/>
    <w:rsid w:val="00B86E4A"/>
    <w:rsid w:val="00BA2492"/>
    <w:rsid w:val="00BB10E9"/>
    <w:rsid w:val="00BB3681"/>
    <w:rsid w:val="00BB5113"/>
    <w:rsid w:val="00BC16D5"/>
    <w:rsid w:val="00BC1F60"/>
    <w:rsid w:val="00BC4776"/>
    <w:rsid w:val="00BC625A"/>
    <w:rsid w:val="00BD0704"/>
    <w:rsid w:val="00BE0DEC"/>
    <w:rsid w:val="00BE4C0A"/>
    <w:rsid w:val="00BF66BF"/>
    <w:rsid w:val="00C12251"/>
    <w:rsid w:val="00C20424"/>
    <w:rsid w:val="00C23B51"/>
    <w:rsid w:val="00C24EB1"/>
    <w:rsid w:val="00C379FD"/>
    <w:rsid w:val="00C37B21"/>
    <w:rsid w:val="00C44710"/>
    <w:rsid w:val="00C45290"/>
    <w:rsid w:val="00C57A03"/>
    <w:rsid w:val="00C60E6D"/>
    <w:rsid w:val="00C6628B"/>
    <w:rsid w:val="00C67160"/>
    <w:rsid w:val="00C70270"/>
    <w:rsid w:val="00C72A7B"/>
    <w:rsid w:val="00C91290"/>
    <w:rsid w:val="00CA6D6E"/>
    <w:rsid w:val="00CB584B"/>
    <w:rsid w:val="00CD3546"/>
    <w:rsid w:val="00CD4A61"/>
    <w:rsid w:val="00CE32BD"/>
    <w:rsid w:val="00D00BD2"/>
    <w:rsid w:val="00D05287"/>
    <w:rsid w:val="00D05F83"/>
    <w:rsid w:val="00D223CF"/>
    <w:rsid w:val="00D377ED"/>
    <w:rsid w:val="00D50891"/>
    <w:rsid w:val="00D80D0C"/>
    <w:rsid w:val="00D94650"/>
    <w:rsid w:val="00D97E13"/>
    <w:rsid w:val="00DA100B"/>
    <w:rsid w:val="00DA2917"/>
    <w:rsid w:val="00DB3569"/>
    <w:rsid w:val="00DB66ED"/>
    <w:rsid w:val="00DC1A92"/>
    <w:rsid w:val="00DC1E03"/>
    <w:rsid w:val="00DE06E5"/>
    <w:rsid w:val="00DE1F67"/>
    <w:rsid w:val="00E22682"/>
    <w:rsid w:val="00E24429"/>
    <w:rsid w:val="00E32316"/>
    <w:rsid w:val="00E70772"/>
    <w:rsid w:val="00E70A9A"/>
    <w:rsid w:val="00E7284F"/>
    <w:rsid w:val="00E808B0"/>
    <w:rsid w:val="00E82C7F"/>
    <w:rsid w:val="00E90A82"/>
    <w:rsid w:val="00E97041"/>
    <w:rsid w:val="00EA1FCF"/>
    <w:rsid w:val="00EA249C"/>
    <w:rsid w:val="00EC096E"/>
    <w:rsid w:val="00ED0387"/>
    <w:rsid w:val="00ED5BA9"/>
    <w:rsid w:val="00EE714A"/>
    <w:rsid w:val="00EF1702"/>
    <w:rsid w:val="00EF20FF"/>
    <w:rsid w:val="00F02228"/>
    <w:rsid w:val="00F04D7C"/>
    <w:rsid w:val="00F10BCF"/>
    <w:rsid w:val="00F11808"/>
    <w:rsid w:val="00F179A1"/>
    <w:rsid w:val="00F27533"/>
    <w:rsid w:val="00F3128C"/>
    <w:rsid w:val="00F3194E"/>
    <w:rsid w:val="00F4041B"/>
    <w:rsid w:val="00F42088"/>
    <w:rsid w:val="00F44A22"/>
    <w:rsid w:val="00F47934"/>
    <w:rsid w:val="00F63151"/>
    <w:rsid w:val="00F76F7D"/>
    <w:rsid w:val="00F77D8A"/>
    <w:rsid w:val="00F81E30"/>
    <w:rsid w:val="00F834C7"/>
    <w:rsid w:val="00F91745"/>
    <w:rsid w:val="00F95CBC"/>
    <w:rsid w:val="00FA5A4F"/>
    <w:rsid w:val="00FB6E07"/>
    <w:rsid w:val="00FB7089"/>
    <w:rsid w:val="00FC533B"/>
    <w:rsid w:val="00FC62F3"/>
    <w:rsid w:val="00FD2B4B"/>
    <w:rsid w:val="00FD6EFA"/>
    <w:rsid w:val="00FF743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8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733583"/>
    <w:pPr>
      <w:keepNext/>
      <w:numPr>
        <w:numId w:val="4"/>
      </w:numPr>
      <w:spacing w:after="0" w:line="480" w:lineRule="exact"/>
      <w:jc w:val="center"/>
      <w:outlineLvl w:val="0"/>
    </w:pPr>
    <w:rPr>
      <w:rFonts w:ascii="Times New Roman" w:eastAsia="Times New Roman" w:hAnsi="Times New Roman"/>
      <w:b/>
      <w:caps/>
      <w:kern w:val="28"/>
      <w:sz w:val="24"/>
      <w:szCs w:val="20"/>
      <w:u w:val="single"/>
    </w:rPr>
  </w:style>
  <w:style w:type="paragraph" w:styleId="Heading2">
    <w:name w:val="heading 2"/>
    <w:basedOn w:val="Normal"/>
    <w:next w:val="Normal"/>
    <w:link w:val="Heading2Char"/>
    <w:uiPriority w:val="99"/>
    <w:qFormat/>
    <w:rsid w:val="00733583"/>
    <w:pPr>
      <w:keepNext/>
      <w:widowControl w:val="0"/>
      <w:numPr>
        <w:ilvl w:val="1"/>
        <w:numId w:val="4"/>
      </w:numPr>
      <w:spacing w:after="0" w:line="480" w:lineRule="exact"/>
      <w:outlineLvl w:val="1"/>
    </w:pPr>
    <w:rPr>
      <w:rFonts w:ascii="Times New Roman" w:eastAsia="Times New Roman" w:hAnsi="Times New Roman"/>
      <w:b/>
      <w:sz w:val="24"/>
      <w:szCs w:val="20"/>
      <w:u w:val="single"/>
    </w:rPr>
  </w:style>
  <w:style w:type="paragraph" w:styleId="Heading3">
    <w:name w:val="heading 3"/>
    <w:basedOn w:val="Normal"/>
    <w:next w:val="Normal"/>
    <w:link w:val="Heading3Char"/>
    <w:uiPriority w:val="99"/>
    <w:qFormat/>
    <w:rsid w:val="00733583"/>
    <w:pPr>
      <w:keepNext/>
      <w:widowControl w:val="0"/>
      <w:numPr>
        <w:ilvl w:val="2"/>
        <w:numId w:val="4"/>
      </w:numPr>
      <w:spacing w:after="0" w:line="480" w:lineRule="exact"/>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9"/>
    <w:qFormat/>
    <w:rsid w:val="00733583"/>
    <w:pPr>
      <w:keepNext/>
      <w:widowControl w:val="0"/>
      <w:numPr>
        <w:ilvl w:val="3"/>
        <w:numId w:val="4"/>
      </w:numPr>
      <w:spacing w:after="0" w:line="480" w:lineRule="exact"/>
      <w:outlineLvl w:val="3"/>
    </w:pPr>
    <w:rPr>
      <w:rFonts w:ascii="Times New Roman" w:eastAsia="Times New Roman" w:hAnsi="Times New Roman"/>
      <w:b/>
      <w:sz w:val="24"/>
      <w:szCs w:val="20"/>
    </w:rPr>
  </w:style>
  <w:style w:type="paragraph" w:styleId="Heading5">
    <w:name w:val="heading 5"/>
    <w:basedOn w:val="Normal"/>
    <w:next w:val="Normal"/>
    <w:link w:val="Heading5Char"/>
    <w:uiPriority w:val="99"/>
    <w:qFormat/>
    <w:rsid w:val="00733583"/>
    <w:pPr>
      <w:widowControl w:val="0"/>
      <w:numPr>
        <w:ilvl w:val="4"/>
        <w:numId w:val="4"/>
      </w:numPr>
      <w:spacing w:after="0" w:line="480" w:lineRule="exact"/>
      <w:outlineLvl w:val="4"/>
    </w:pPr>
    <w:rPr>
      <w:rFonts w:ascii="Times New Roman" w:eastAsia="Times New Roman" w:hAnsi="Times New Roman"/>
      <w:b/>
      <w:sz w:val="24"/>
      <w:szCs w:val="20"/>
    </w:rPr>
  </w:style>
  <w:style w:type="paragraph" w:styleId="Heading6">
    <w:name w:val="heading 6"/>
    <w:basedOn w:val="Normal"/>
    <w:next w:val="Normal"/>
    <w:link w:val="Heading6Char"/>
    <w:uiPriority w:val="99"/>
    <w:qFormat/>
    <w:rsid w:val="00733583"/>
    <w:pPr>
      <w:widowControl w:val="0"/>
      <w:numPr>
        <w:ilvl w:val="5"/>
        <w:numId w:val="4"/>
      </w:numPr>
      <w:spacing w:after="0" w:line="480" w:lineRule="exact"/>
      <w:outlineLvl w:val="5"/>
    </w:pPr>
    <w:rPr>
      <w:rFonts w:ascii="Times New Roman" w:eastAsia="Times New Roman" w:hAnsi="Times New Roman"/>
      <w:b/>
      <w:sz w:val="24"/>
      <w:szCs w:val="20"/>
    </w:rPr>
  </w:style>
  <w:style w:type="paragraph" w:styleId="Heading7">
    <w:name w:val="heading 7"/>
    <w:basedOn w:val="Normal"/>
    <w:next w:val="Normal"/>
    <w:link w:val="Heading7Char"/>
    <w:uiPriority w:val="99"/>
    <w:qFormat/>
    <w:rsid w:val="00733583"/>
    <w:pPr>
      <w:widowControl w:val="0"/>
      <w:numPr>
        <w:ilvl w:val="6"/>
        <w:numId w:val="4"/>
      </w:numPr>
      <w:spacing w:before="240" w:after="0" w:line="240" w:lineRule="exact"/>
      <w:outlineLvl w:val="6"/>
    </w:pPr>
    <w:rPr>
      <w:rFonts w:ascii="Times New Roman" w:eastAsia="Times New Roman" w:hAnsi="Times New Roman"/>
      <w:b/>
      <w:sz w:val="24"/>
      <w:szCs w:val="20"/>
    </w:rPr>
  </w:style>
  <w:style w:type="paragraph" w:styleId="Heading8">
    <w:name w:val="heading 8"/>
    <w:basedOn w:val="Normal"/>
    <w:next w:val="Normal"/>
    <w:link w:val="Heading8Char"/>
    <w:uiPriority w:val="99"/>
    <w:qFormat/>
    <w:rsid w:val="00733583"/>
    <w:pPr>
      <w:widowControl w:val="0"/>
      <w:numPr>
        <w:ilvl w:val="7"/>
        <w:numId w:val="4"/>
      </w:numPr>
      <w:spacing w:before="240" w:after="0" w:line="240" w:lineRule="auto"/>
      <w:outlineLvl w:val="7"/>
    </w:pPr>
    <w:rPr>
      <w:rFonts w:ascii="Arial" w:eastAsia="Times New Roman" w:hAnsi="Arial"/>
      <w:i/>
      <w:sz w:val="20"/>
      <w:szCs w:val="20"/>
    </w:rPr>
  </w:style>
  <w:style w:type="paragraph" w:styleId="Heading9">
    <w:name w:val="heading 9"/>
    <w:basedOn w:val="Normal"/>
    <w:next w:val="Normal"/>
    <w:link w:val="Heading9Char"/>
    <w:uiPriority w:val="99"/>
    <w:qFormat/>
    <w:rsid w:val="00733583"/>
    <w:pPr>
      <w:widowControl w:val="0"/>
      <w:numPr>
        <w:ilvl w:val="8"/>
        <w:numId w:val="4"/>
      </w:numPr>
      <w:spacing w:before="240" w:after="60" w:line="240" w:lineRule="auto"/>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733583"/>
    <w:pPr>
      <w:widowControl w:val="0"/>
      <w:spacing w:after="0" w:line="240" w:lineRule="exact"/>
    </w:pPr>
    <w:rPr>
      <w:rFonts w:ascii="Times New Roman" w:eastAsia="Times New Roman" w:hAnsi="Times New Roman"/>
      <w:sz w:val="24"/>
      <w:szCs w:val="20"/>
    </w:rPr>
  </w:style>
  <w:style w:type="paragraph" w:customStyle="1" w:styleId="CourtName">
    <w:name w:val="CourtName"/>
    <w:basedOn w:val="Normal"/>
    <w:uiPriority w:val="99"/>
    <w:rsid w:val="00733583"/>
    <w:pPr>
      <w:widowControl w:val="0"/>
      <w:spacing w:after="0" w:line="480" w:lineRule="exact"/>
      <w:jc w:val="center"/>
    </w:pPr>
    <w:rPr>
      <w:rFonts w:ascii="Times New Roman" w:eastAsia="Times New Roman" w:hAnsi="Times New Roman"/>
      <w:sz w:val="24"/>
      <w:szCs w:val="20"/>
    </w:rPr>
  </w:style>
  <w:style w:type="paragraph" w:styleId="TOC1">
    <w:name w:val="toc 1"/>
    <w:basedOn w:val="Normal"/>
    <w:next w:val="Normal"/>
    <w:autoRedefine/>
    <w:uiPriority w:val="39"/>
    <w:qFormat/>
    <w:rsid w:val="002F70EC"/>
    <w:pPr>
      <w:tabs>
        <w:tab w:val="left" w:pos="440"/>
        <w:tab w:val="right" w:leader="dot" w:pos="8630"/>
      </w:tabs>
      <w:spacing w:before="240" w:after="240" w:line="240" w:lineRule="auto"/>
    </w:pPr>
    <w:rPr>
      <w:rFonts w:ascii="Times New Roman" w:hAnsi="Times New Roman"/>
      <w:sz w:val="24"/>
      <w:szCs w:val="24"/>
    </w:rPr>
  </w:style>
  <w:style w:type="paragraph" w:styleId="TOC2">
    <w:name w:val="toc 2"/>
    <w:basedOn w:val="Normal"/>
    <w:next w:val="Normal"/>
    <w:autoRedefine/>
    <w:uiPriority w:val="39"/>
    <w:qFormat/>
    <w:rsid w:val="00BD0704"/>
    <w:pPr>
      <w:tabs>
        <w:tab w:val="left" w:pos="660"/>
        <w:tab w:val="right" w:leader="dot" w:pos="8630"/>
      </w:tabs>
      <w:spacing w:before="240" w:after="240" w:line="240" w:lineRule="auto"/>
      <w:ind w:left="216"/>
    </w:pPr>
    <w:rPr>
      <w:rFonts w:ascii="Times New Roman" w:hAnsi="Times New Roman"/>
      <w:sz w:val="24"/>
    </w:rPr>
  </w:style>
  <w:style w:type="paragraph" w:styleId="TOC3">
    <w:name w:val="toc 3"/>
    <w:basedOn w:val="Normal"/>
    <w:next w:val="Normal"/>
    <w:autoRedefine/>
    <w:uiPriority w:val="39"/>
    <w:qFormat/>
    <w:rsid w:val="003F1BD4"/>
    <w:pPr>
      <w:spacing w:before="240" w:after="240" w:line="240" w:lineRule="auto"/>
      <w:ind w:left="446"/>
    </w:pPr>
    <w:rPr>
      <w:rFonts w:ascii="Times New Roman" w:hAnsi="Times New Roman"/>
      <w:sz w:val="24"/>
    </w:rPr>
  </w:style>
  <w:style w:type="character" w:styleId="Hyperlink">
    <w:name w:val="Hyperlink"/>
    <w:basedOn w:val="DefaultParagraphFont"/>
    <w:uiPriority w:val="99"/>
    <w:unhideWhenUsed/>
    <w:rsid w:val="00733583"/>
    <w:rPr>
      <w:color w:val="0000FF" w:themeColor="hyperlink"/>
      <w:u w:val="single"/>
    </w:rPr>
  </w:style>
  <w:style w:type="paragraph" w:styleId="FootnoteText">
    <w:name w:val="footnote text"/>
    <w:basedOn w:val="Normal"/>
    <w:link w:val="FootnoteTextChar"/>
    <w:uiPriority w:val="99"/>
    <w:rsid w:val="0073358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33583"/>
    <w:rPr>
      <w:rFonts w:ascii="Times New Roman" w:eastAsia="Times New Roman" w:hAnsi="Times New Roman" w:cs="Times New Roman"/>
      <w:sz w:val="20"/>
      <w:szCs w:val="20"/>
    </w:rPr>
  </w:style>
  <w:style w:type="character" w:styleId="FootnoteReference">
    <w:name w:val="footnote reference"/>
    <w:uiPriority w:val="99"/>
    <w:semiHidden/>
    <w:rsid w:val="00733583"/>
    <w:rPr>
      <w:vertAlign w:val="superscript"/>
    </w:rPr>
  </w:style>
  <w:style w:type="character" w:customStyle="1" w:styleId="Heading1Char">
    <w:name w:val="Heading 1 Char"/>
    <w:basedOn w:val="DefaultParagraphFont"/>
    <w:link w:val="Heading1"/>
    <w:uiPriority w:val="99"/>
    <w:rsid w:val="00733583"/>
    <w:rPr>
      <w:rFonts w:ascii="Times New Roman" w:eastAsia="Times New Roman" w:hAnsi="Times New Roman" w:cs="Times New Roman"/>
      <w:b/>
      <w:caps/>
      <w:kern w:val="28"/>
      <w:szCs w:val="20"/>
      <w:u w:val="single"/>
    </w:rPr>
  </w:style>
  <w:style w:type="character" w:customStyle="1" w:styleId="Heading2Char">
    <w:name w:val="Heading 2 Char"/>
    <w:basedOn w:val="DefaultParagraphFont"/>
    <w:link w:val="Heading2"/>
    <w:uiPriority w:val="99"/>
    <w:rsid w:val="00733583"/>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uiPriority w:val="99"/>
    <w:rsid w:val="00733583"/>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uiPriority w:val="99"/>
    <w:rsid w:val="00733583"/>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733583"/>
    <w:rPr>
      <w:rFonts w:ascii="Times New Roman" w:eastAsia="Times New Roman" w:hAnsi="Times New Roman" w:cs="Times New Roman"/>
      <w:b/>
      <w:szCs w:val="20"/>
    </w:rPr>
  </w:style>
  <w:style w:type="character" w:customStyle="1" w:styleId="Heading6Char">
    <w:name w:val="Heading 6 Char"/>
    <w:basedOn w:val="DefaultParagraphFont"/>
    <w:link w:val="Heading6"/>
    <w:uiPriority w:val="99"/>
    <w:rsid w:val="00733583"/>
    <w:rPr>
      <w:rFonts w:ascii="Times New Roman" w:eastAsia="Times New Roman" w:hAnsi="Times New Roman" w:cs="Times New Roman"/>
      <w:b/>
      <w:szCs w:val="20"/>
    </w:rPr>
  </w:style>
  <w:style w:type="character" w:customStyle="1" w:styleId="Heading7Char">
    <w:name w:val="Heading 7 Char"/>
    <w:basedOn w:val="DefaultParagraphFont"/>
    <w:link w:val="Heading7"/>
    <w:uiPriority w:val="99"/>
    <w:rsid w:val="00733583"/>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9"/>
    <w:rsid w:val="00733583"/>
    <w:rPr>
      <w:rFonts w:ascii="Arial" w:eastAsia="Times New Roman" w:hAnsi="Arial" w:cs="Times New Roman"/>
      <w:i/>
      <w:sz w:val="20"/>
      <w:szCs w:val="20"/>
    </w:rPr>
  </w:style>
  <w:style w:type="character" w:customStyle="1" w:styleId="Heading9Char">
    <w:name w:val="Heading 9 Char"/>
    <w:basedOn w:val="DefaultParagraphFont"/>
    <w:link w:val="Heading9"/>
    <w:uiPriority w:val="99"/>
    <w:rsid w:val="00733583"/>
    <w:rPr>
      <w:rFonts w:ascii="Arial" w:eastAsia="Times New Roman" w:hAnsi="Arial" w:cs="Times New Roman"/>
      <w:i/>
      <w:sz w:val="18"/>
      <w:szCs w:val="20"/>
    </w:rPr>
  </w:style>
  <w:style w:type="paragraph" w:styleId="ListParagraph">
    <w:name w:val="List Paragraph"/>
    <w:basedOn w:val="Normal"/>
    <w:uiPriority w:val="34"/>
    <w:qFormat/>
    <w:rsid w:val="00733583"/>
    <w:pPr>
      <w:widowControl w:val="0"/>
      <w:spacing w:after="0" w:line="480" w:lineRule="exact"/>
      <w:ind w:left="720"/>
      <w:contextualSpacing/>
    </w:pPr>
    <w:rPr>
      <w:rFonts w:ascii="Times New Roman" w:eastAsia="Times New Roman" w:hAnsi="Times New Roman"/>
      <w:sz w:val="24"/>
      <w:szCs w:val="20"/>
    </w:rPr>
  </w:style>
  <w:style w:type="character" w:customStyle="1" w:styleId="documentbody">
    <w:name w:val="documentbody"/>
    <w:basedOn w:val="DefaultParagraphFont"/>
    <w:rsid w:val="00733583"/>
  </w:style>
  <w:style w:type="character" w:styleId="Strong">
    <w:name w:val="Strong"/>
    <w:uiPriority w:val="22"/>
    <w:qFormat/>
    <w:rsid w:val="00733583"/>
    <w:rPr>
      <w:b/>
      <w:bCs/>
    </w:rPr>
  </w:style>
  <w:style w:type="character" w:styleId="Emphasis">
    <w:name w:val="Emphasis"/>
    <w:uiPriority w:val="20"/>
    <w:qFormat/>
    <w:rsid w:val="00733583"/>
    <w:rPr>
      <w:i/>
      <w:iCs/>
    </w:rPr>
  </w:style>
  <w:style w:type="character" w:styleId="CommentReference">
    <w:name w:val="annotation reference"/>
    <w:uiPriority w:val="99"/>
    <w:semiHidden/>
    <w:unhideWhenUsed/>
    <w:rsid w:val="00733583"/>
    <w:rPr>
      <w:sz w:val="16"/>
      <w:szCs w:val="16"/>
    </w:rPr>
  </w:style>
  <w:style w:type="paragraph" w:styleId="CommentText">
    <w:name w:val="annotation text"/>
    <w:basedOn w:val="Normal"/>
    <w:link w:val="CommentTextChar"/>
    <w:uiPriority w:val="99"/>
    <w:semiHidden/>
    <w:unhideWhenUsed/>
    <w:rsid w:val="00733583"/>
    <w:rPr>
      <w:sz w:val="20"/>
      <w:szCs w:val="20"/>
    </w:rPr>
  </w:style>
  <w:style w:type="character" w:customStyle="1" w:styleId="CommentTextChar">
    <w:name w:val="Comment Text Char"/>
    <w:basedOn w:val="DefaultParagraphFont"/>
    <w:link w:val="CommentText"/>
    <w:uiPriority w:val="99"/>
    <w:semiHidden/>
    <w:rsid w:val="0073358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335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583"/>
    <w:rPr>
      <w:rFonts w:ascii="Lucida Grande" w:eastAsia="Calibri" w:hAnsi="Lucida Grande" w:cs="Lucida Grande"/>
      <w:sz w:val="18"/>
      <w:szCs w:val="18"/>
    </w:rPr>
  </w:style>
  <w:style w:type="character" w:styleId="LineNumber">
    <w:name w:val="line number"/>
    <w:basedOn w:val="DefaultParagraphFont"/>
    <w:uiPriority w:val="99"/>
    <w:semiHidden/>
    <w:unhideWhenUsed/>
    <w:rsid w:val="008844D3"/>
  </w:style>
  <w:style w:type="paragraph" w:styleId="Header">
    <w:name w:val="header"/>
    <w:basedOn w:val="Normal"/>
    <w:link w:val="HeaderChar"/>
    <w:uiPriority w:val="99"/>
    <w:unhideWhenUsed/>
    <w:rsid w:val="00ED03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0387"/>
    <w:rPr>
      <w:rFonts w:ascii="Calibri" w:eastAsia="Calibri" w:hAnsi="Calibri" w:cs="Times New Roman"/>
      <w:sz w:val="22"/>
      <w:szCs w:val="22"/>
    </w:rPr>
  </w:style>
  <w:style w:type="paragraph" w:styleId="Footer">
    <w:name w:val="footer"/>
    <w:basedOn w:val="Normal"/>
    <w:link w:val="FooterChar"/>
    <w:uiPriority w:val="99"/>
    <w:unhideWhenUsed/>
    <w:rsid w:val="00ED03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0387"/>
    <w:rPr>
      <w:rFonts w:ascii="Calibri" w:eastAsia="Calibri" w:hAnsi="Calibri" w:cs="Times New Roman"/>
      <w:sz w:val="22"/>
      <w:szCs w:val="22"/>
    </w:rPr>
  </w:style>
  <w:style w:type="character" w:styleId="PageNumber">
    <w:name w:val="page number"/>
    <w:basedOn w:val="DefaultParagraphFont"/>
    <w:uiPriority w:val="99"/>
    <w:semiHidden/>
    <w:unhideWhenUsed/>
    <w:rsid w:val="00ED0387"/>
  </w:style>
  <w:style w:type="paragraph" w:styleId="TOCHeading">
    <w:name w:val="TOC Heading"/>
    <w:basedOn w:val="Heading1"/>
    <w:next w:val="Normal"/>
    <w:uiPriority w:val="39"/>
    <w:unhideWhenUsed/>
    <w:qFormat/>
    <w:rsid w:val="00711FD8"/>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kern w:val="0"/>
      <w:sz w:val="28"/>
      <w:szCs w:val="28"/>
      <w:u w:val="none"/>
    </w:rPr>
  </w:style>
  <w:style w:type="paragraph" w:styleId="TOC4">
    <w:name w:val="toc 4"/>
    <w:basedOn w:val="Normal"/>
    <w:next w:val="Normal"/>
    <w:autoRedefine/>
    <w:uiPriority w:val="39"/>
    <w:unhideWhenUsed/>
    <w:rsid w:val="002F70EC"/>
    <w:pPr>
      <w:tabs>
        <w:tab w:val="left" w:pos="1100"/>
        <w:tab w:val="right" w:leader="dot" w:pos="8630"/>
      </w:tabs>
      <w:spacing w:before="240" w:after="240" w:line="240" w:lineRule="auto"/>
      <w:ind w:left="662"/>
    </w:pPr>
    <w:rPr>
      <w:rFonts w:ascii="Times New Roman" w:hAnsi="Times New Roman"/>
      <w:sz w:val="24"/>
      <w:szCs w:val="20"/>
    </w:rPr>
  </w:style>
  <w:style w:type="paragraph" w:styleId="TOC5">
    <w:name w:val="toc 5"/>
    <w:basedOn w:val="Normal"/>
    <w:next w:val="Normal"/>
    <w:autoRedefine/>
    <w:uiPriority w:val="39"/>
    <w:semiHidden/>
    <w:unhideWhenUsed/>
    <w:rsid w:val="00711FD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711FD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711FD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711FD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711FD8"/>
    <w:pPr>
      <w:spacing w:after="0"/>
      <w:ind w:left="1760"/>
    </w:pPr>
    <w:rPr>
      <w:rFonts w:asciiTheme="minorHAnsi" w:hAnsiTheme="minorHAnsi"/>
      <w:sz w:val="20"/>
      <w:szCs w:val="20"/>
    </w:rPr>
  </w:style>
  <w:style w:type="paragraph" w:customStyle="1" w:styleId="Heading">
    <w:name w:val="Heading"/>
    <w:basedOn w:val="Normal"/>
    <w:qFormat/>
    <w:rsid w:val="00224BDF"/>
    <w:pPr>
      <w:numPr>
        <w:numId w:val="2"/>
      </w:numPr>
      <w:spacing w:after="0" w:line="480" w:lineRule="exact"/>
    </w:pPr>
    <w:rPr>
      <w:rFonts w:ascii="Times New Roman" w:hAnsi="Times New Roman"/>
      <w:b/>
      <w:sz w:val="24"/>
      <w:szCs w:val="24"/>
      <w:u w:val="single"/>
    </w:rPr>
  </w:style>
  <w:style w:type="paragraph" w:customStyle="1" w:styleId="SubHeading1">
    <w:name w:val="SubHeading1"/>
    <w:basedOn w:val="Normal"/>
    <w:qFormat/>
    <w:rsid w:val="00224BDF"/>
    <w:pPr>
      <w:numPr>
        <w:numId w:val="3"/>
      </w:numPr>
      <w:spacing w:after="0" w:line="480" w:lineRule="exact"/>
    </w:pPr>
    <w:rPr>
      <w:rFonts w:ascii="Times New Roman" w:hAnsi="Times New Roman"/>
      <w:b/>
      <w:sz w:val="24"/>
      <w:szCs w:val="24"/>
    </w:rPr>
  </w:style>
  <w:style w:type="paragraph" w:customStyle="1" w:styleId="SubHeading2">
    <w:name w:val="SubHeading2"/>
    <w:basedOn w:val="Normal"/>
    <w:qFormat/>
    <w:rsid w:val="00E7284F"/>
    <w:pPr>
      <w:numPr>
        <w:ilvl w:val="1"/>
        <w:numId w:val="5"/>
      </w:numPr>
      <w:spacing w:before="240" w:after="240" w:line="240" w:lineRule="auto"/>
    </w:pPr>
    <w:rPr>
      <w:rFonts w:ascii="Times New Roman" w:hAnsi="Times New Roman"/>
      <w:sz w:val="24"/>
      <w:szCs w:val="24"/>
      <w:u w:val="single"/>
    </w:rPr>
  </w:style>
  <w:style w:type="paragraph" w:customStyle="1" w:styleId="SubHeading3">
    <w:name w:val="SubHeading3"/>
    <w:basedOn w:val="ListParagraph"/>
    <w:qFormat/>
    <w:rsid w:val="008B62E0"/>
    <w:pPr>
      <w:numPr>
        <w:numId w:val="6"/>
      </w:numPr>
      <w:spacing w:before="240" w:after="120" w:line="240" w:lineRule="auto"/>
      <w:ind w:left="1988" w:hanging="634"/>
    </w:pPr>
    <w:rPr>
      <w:i/>
      <w:szCs w:val="24"/>
    </w:rPr>
  </w:style>
  <w:style w:type="character" w:customStyle="1" w:styleId="groupheading">
    <w:name w:val="groupheading"/>
    <w:basedOn w:val="DefaultParagraphFont"/>
    <w:rsid w:val="0059223B"/>
  </w:style>
  <w:style w:type="paragraph" w:styleId="TOAHeading">
    <w:name w:val="toa heading"/>
    <w:basedOn w:val="Normal"/>
    <w:next w:val="Normal"/>
    <w:uiPriority w:val="99"/>
    <w:semiHidden/>
    <w:unhideWhenUsed/>
    <w:rsid w:val="00BD0704"/>
    <w:pPr>
      <w:spacing w:before="120"/>
    </w:pPr>
    <w:rPr>
      <w:rFonts w:ascii="Times New Roman" w:eastAsiaTheme="majorEastAsia" w:hAnsi="Times New Roman" w:cstheme="majorBidi"/>
      <w:b/>
      <w:bCs/>
      <w:sz w:val="24"/>
      <w:szCs w:val="24"/>
    </w:rPr>
  </w:style>
  <w:style w:type="paragraph" w:styleId="TableofAuthorities">
    <w:name w:val="table of authorities"/>
    <w:basedOn w:val="Normal"/>
    <w:next w:val="Normal"/>
    <w:uiPriority w:val="99"/>
    <w:semiHidden/>
    <w:unhideWhenUsed/>
    <w:rsid w:val="00BD0704"/>
    <w:pPr>
      <w:spacing w:after="0"/>
      <w:ind w:left="220" w:hanging="220"/>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E82C7F"/>
    <w:pPr>
      <w:spacing w:line="240" w:lineRule="auto"/>
    </w:pPr>
    <w:rPr>
      <w:b/>
      <w:bCs/>
    </w:rPr>
  </w:style>
  <w:style w:type="character" w:customStyle="1" w:styleId="CommentSubjectChar">
    <w:name w:val="Comment Subject Char"/>
    <w:basedOn w:val="CommentTextChar"/>
    <w:link w:val="CommentSubject"/>
    <w:uiPriority w:val="99"/>
    <w:semiHidden/>
    <w:rsid w:val="00E82C7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8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733583"/>
    <w:pPr>
      <w:keepNext/>
      <w:numPr>
        <w:numId w:val="4"/>
      </w:numPr>
      <w:spacing w:after="0" w:line="480" w:lineRule="exact"/>
      <w:jc w:val="center"/>
      <w:outlineLvl w:val="0"/>
    </w:pPr>
    <w:rPr>
      <w:rFonts w:ascii="Times New Roman" w:eastAsia="Times New Roman" w:hAnsi="Times New Roman"/>
      <w:b/>
      <w:caps/>
      <w:kern w:val="28"/>
      <w:sz w:val="24"/>
      <w:szCs w:val="20"/>
      <w:u w:val="single"/>
    </w:rPr>
  </w:style>
  <w:style w:type="paragraph" w:styleId="Heading2">
    <w:name w:val="heading 2"/>
    <w:basedOn w:val="Normal"/>
    <w:next w:val="Normal"/>
    <w:link w:val="Heading2Char"/>
    <w:uiPriority w:val="99"/>
    <w:qFormat/>
    <w:rsid w:val="00733583"/>
    <w:pPr>
      <w:keepNext/>
      <w:widowControl w:val="0"/>
      <w:numPr>
        <w:ilvl w:val="1"/>
        <w:numId w:val="4"/>
      </w:numPr>
      <w:spacing w:after="0" w:line="480" w:lineRule="exact"/>
      <w:outlineLvl w:val="1"/>
    </w:pPr>
    <w:rPr>
      <w:rFonts w:ascii="Times New Roman" w:eastAsia="Times New Roman" w:hAnsi="Times New Roman"/>
      <w:b/>
      <w:sz w:val="24"/>
      <w:szCs w:val="20"/>
      <w:u w:val="single"/>
    </w:rPr>
  </w:style>
  <w:style w:type="paragraph" w:styleId="Heading3">
    <w:name w:val="heading 3"/>
    <w:basedOn w:val="Normal"/>
    <w:next w:val="Normal"/>
    <w:link w:val="Heading3Char"/>
    <w:uiPriority w:val="99"/>
    <w:qFormat/>
    <w:rsid w:val="00733583"/>
    <w:pPr>
      <w:keepNext/>
      <w:widowControl w:val="0"/>
      <w:numPr>
        <w:ilvl w:val="2"/>
        <w:numId w:val="4"/>
      </w:numPr>
      <w:spacing w:after="0" w:line="480" w:lineRule="exact"/>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9"/>
    <w:qFormat/>
    <w:rsid w:val="00733583"/>
    <w:pPr>
      <w:keepNext/>
      <w:widowControl w:val="0"/>
      <w:numPr>
        <w:ilvl w:val="3"/>
        <w:numId w:val="4"/>
      </w:numPr>
      <w:spacing w:after="0" w:line="480" w:lineRule="exact"/>
      <w:outlineLvl w:val="3"/>
    </w:pPr>
    <w:rPr>
      <w:rFonts w:ascii="Times New Roman" w:eastAsia="Times New Roman" w:hAnsi="Times New Roman"/>
      <w:b/>
      <w:sz w:val="24"/>
      <w:szCs w:val="20"/>
    </w:rPr>
  </w:style>
  <w:style w:type="paragraph" w:styleId="Heading5">
    <w:name w:val="heading 5"/>
    <w:basedOn w:val="Normal"/>
    <w:next w:val="Normal"/>
    <w:link w:val="Heading5Char"/>
    <w:uiPriority w:val="99"/>
    <w:qFormat/>
    <w:rsid w:val="00733583"/>
    <w:pPr>
      <w:widowControl w:val="0"/>
      <w:numPr>
        <w:ilvl w:val="4"/>
        <w:numId w:val="4"/>
      </w:numPr>
      <w:spacing w:after="0" w:line="480" w:lineRule="exact"/>
      <w:outlineLvl w:val="4"/>
    </w:pPr>
    <w:rPr>
      <w:rFonts w:ascii="Times New Roman" w:eastAsia="Times New Roman" w:hAnsi="Times New Roman"/>
      <w:b/>
      <w:sz w:val="24"/>
      <w:szCs w:val="20"/>
    </w:rPr>
  </w:style>
  <w:style w:type="paragraph" w:styleId="Heading6">
    <w:name w:val="heading 6"/>
    <w:basedOn w:val="Normal"/>
    <w:next w:val="Normal"/>
    <w:link w:val="Heading6Char"/>
    <w:uiPriority w:val="99"/>
    <w:qFormat/>
    <w:rsid w:val="00733583"/>
    <w:pPr>
      <w:widowControl w:val="0"/>
      <w:numPr>
        <w:ilvl w:val="5"/>
        <w:numId w:val="4"/>
      </w:numPr>
      <w:spacing w:after="0" w:line="480" w:lineRule="exact"/>
      <w:outlineLvl w:val="5"/>
    </w:pPr>
    <w:rPr>
      <w:rFonts w:ascii="Times New Roman" w:eastAsia="Times New Roman" w:hAnsi="Times New Roman"/>
      <w:b/>
      <w:sz w:val="24"/>
      <w:szCs w:val="20"/>
    </w:rPr>
  </w:style>
  <w:style w:type="paragraph" w:styleId="Heading7">
    <w:name w:val="heading 7"/>
    <w:basedOn w:val="Normal"/>
    <w:next w:val="Normal"/>
    <w:link w:val="Heading7Char"/>
    <w:uiPriority w:val="99"/>
    <w:qFormat/>
    <w:rsid w:val="00733583"/>
    <w:pPr>
      <w:widowControl w:val="0"/>
      <w:numPr>
        <w:ilvl w:val="6"/>
        <w:numId w:val="4"/>
      </w:numPr>
      <w:spacing w:before="240" w:after="0" w:line="240" w:lineRule="exact"/>
      <w:outlineLvl w:val="6"/>
    </w:pPr>
    <w:rPr>
      <w:rFonts w:ascii="Times New Roman" w:eastAsia="Times New Roman" w:hAnsi="Times New Roman"/>
      <w:b/>
      <w:sz w:val="24"/>
      <w:szCs w:val="20"/>
    </w:rPr>
  </w:style>
  <w:style w:type="paragraph" w:styleId="Heading8">
    <w:name w:val="heading 8"/>
    <w:basedOn w:val="Normal"/>
    <w:next w:val="Normal"/>
    <w:link w:val="Heading8Char"/>
    <w:uiPriority w:val="99"/>
    <w:qFormat/>
    <w:rsid w:val="00733583"/>
    <w:pPr>
      <w:widowControl w:val="0"/>
      <w:numPr>
        <w:ilvl w:val="7"/>
        <w:numId w:val="4"/>
      </w:numPr>
      <w:spacing w:before="240" w:after="0" w:line="240" w:lineRule="auto"/>
      <w:outlineLvl w:val="7"/>
    </w:pPr>
    <w:rPr>
      <w:rFonts w:ascii="Arial" w:eastAsia="Times New Roman" w:hAnsi="Arial"/>
      <w:i/>
      <w:sz w:val="20"/>
      <w:szCs w:val="20"/>
    </w:rPr>
  </w:style>
  <w:style w:type="paragraph" w:styleId="Heading9">
    <w:name w:val="heading 9"/>
    <w:basedOn w:val="Normal"/>
    <w:next w:val="Normal"/>
    <w:link w:val="Heading9Char"/>
    <w:uiPriority w:val="99"/>
    <w:qFormat/>
    <w:rsid w:val="00733583"/>
    <w:pPr>
      <w:widowControl w:val="0"/>
      <w:numPr>
        <w:ilvl w:val="8"/>
        <w:numId w:val="4"/>
      </w:numPr>
      <w:spacing w:before="240" w:after="60" w:line="240" w:lineRule="auto"/>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733583"/>
    <w:pPr>
      <w:widowControl w:val="0"/>
      <w:spacing w:after="0" w:line="240" w:lineRule="exact"/>
    </w:pPr>
    <w:rPr>
      <w:rFonts w:ascii="Times New Roman" w:eastAsia="Times New Roman" w:hAnsi="Times New Roman"/>
      <w:sz w:val="24"/>
      <w:szCs w:val="20"/>
    </w:rPr>
  </w:style>
  <w:style w:type="paragraph" w:customStyle="1" w:styleId="CourtName">
    <w:name w:val="CourtName"/>
    <w:basedOn w:val="Normal"/>
    <w:uiPriority w:val="99"/>
    <w:rsid w:val="00733583"/>
    <w:pPr>
      <w:widowControl w:val="0"/>
      <w:spacing w:after="0" w:line="480" w:lineRule="exact"/>
      <w:jc w:val="center"/>
    </w:pPr>
    <w:rPr>
      <w:rFonts w:ascii="Times New Roman" w:eastAsia="Times New Roman" w:hAnsi="Times New Roman"/>
      <w:sz w:val="24"/>
      <w:szCs w:val="20"/>
    </w:rPr>
  </w:style>
  <w:style w:type="paragraph" w:styleId="TOC1">
    <w:name w:val="toc 1"/>
    <w:basedOn w:val="Normal"/>
    <w:next w:val="Normal"/>
    <w:autoRedefine/>
    <w:uiPriority w:val="39"/>
    <w:rsid w:val="00335E73"/>
    <w:pPr>
      <w:tabs>
        <w:tab w:val="left" w:pos="440"/>
        <w:tab w:val="right" w:leader="dot" w:pos="8630"/>
      </w:tabs>
      <w:spacing w:before="120" w:after="0" w:line="480" w:lineRule="auto"/>
    </w:pPr>
    <w:rPr>
      <w:rFonts w:asciiTheme="minorHAnsi" w:hAnsiTheme="minorHAnsi"/>
      <w:b/>
      <w:sz w:val="24"/>
      <w:szCs w:val="24"/>
    </w:rPr>
  </w:style>
  <w:style w:type="paragraph" w:styleId="TOC2">
    <w:name w:val="toc 2"/>
    <w:basedOn w:val="Normal"/>
    <w:next w:val="Normal"/>
    <w:autoRedefine/>
    <w:uiPriority w:val="39"/>
    <w:rsid w:val="00733583"/>
    <w:pPr>
      <w:spacing w:after="0"/>
      <w:ind w:left="220"/>
    </w:pPr>
    <w:rPr>
      <w:rFonts w:asciiTheme="minorHAnsi" w:hAnsiTheme="minorHAnsi"/>
      <w:b/>
    </w:rPr>
  </w:style>
  <w:style w:type="paragraph" w:styleId="TOC3">
    <w:name w:val="toc 3"/>
    <w:basedOn w:val="Normal"/>
    <w:next w:val="Normal"/>
    <w:autoRedefine/>
    <w:uiPriority w:val="39"/>
    <w:rsid w:val="00733583"/>
    <w:pPr>
      <w:spacing w:after="0"/>
      <w:ind w:left="440"/>
    </w:pPr>
    <w:rPr>
      <w:rFonts w:asciiTheme="minorHAnsi" w:hAnsiTheme="minorHAnsi"/>
    </w:rPr>
  </w:style>
  <w:style w:type="character" w:styleId="Hyperlink">
    <w:name w:val="Hyperlink"/>
    <w:basedOn w:val="DefaultParagraphFont"/>
    <w:uiPriority w:val="99"/>
    <w:unhideWhenUsed/>
    <w:rsid w:val="00733583"/>
    <w:rPr>
      <w:color w:val="0000FF" w:themeColor="hyperlink"/>
      <w:u w:val="single"/>
    </w:rPr>
  </w:style>
  <w:style w:type="paragraph" w:styleId="FootnoteText">
    <w:name w:val="footnote text"/>
    <w:basedOn w:val="Normal"/>
    <w:link w:val="FootnoteTextChar"/>
    <w:uiPriority w:val="99"/>
    <w:rsid w:val="0073358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33583"/>
    <w:rPr>
      <w:rFonts w:ascii="Times New Roman" w:eastAsia="Times New Roman" w:hAnsi="Times New Roman" w:cs="Times New Roman"/>
      <w:sz w:val="20"/>
      <w:szCs w:val="20"/>
    </w:rPr>
  </w:style>
  <w:style w:type="character" w:styleId="FootnoteReference">
    <w:name w:val="footnote reference"/>
    <w:uiPriority w:val="99"/>
    <w:semiHidden/>
    <w:rsid w:val="00733583"/>
    <w:rPr>
      <w:vertAlign w:val="superscript"/>
    </w:rPr>
  </w:style>
  <w:style w:type="character" w:customStyle="1" w:styleId="Heading1Char">
    <w:name w:val="Heading 1 Char"/>
    <w:basedOn w:val="DefaultParagraphFont"/>
    <w:link w:val="Heading1"/>
    <w:uiPriority w:val="99"/>
    <w:rsid w:val="00733583"/>
    <w:rPr>
      <w:rFonts w:ascii="Times New Roman" w:eastAsia="Times New Roman" w:hAnsi="Times New Roman" w:cs="Times New Roman"/>
      <w:b/>
      <w:caps/>
      <w:kern w:val="28"/>
      <w:szCs w:val="20"/>
      <w:u w:val="single"/>
    </w:rPr>
  </w:style>
  <w:style w:type="character" w:customStyle="1" w:styleId="Heading2Char">
    <w:name w:val="Heading 2 Char"/>
    <w:basedOn w:val="DefaultParagraphFont"/>
    <w:link w:val="Heading2"/>
    <w:uiPriority w:val="99"/>
    <w:rsid w:val="00733583"/>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uiPriority w:val="99"/>
    <w:rsid w:val="00733583"/>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uiPriority w:val="99"/>
    <w:rsid w:val="00733583"/>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733583"/>
    <w:rPr>
      <w:rFonts w:ascii="Times New Roman" w:eastAsia="Times New Roman" w:hAnsi="Times New Roman" w:cs="Times New Roman"/>
      <w:b/>
      <w:szCs w:val="20"/>
    </w:rPr>
  </w:style>
  <w:style w:type="character" w:customStyle="1" w:styleId="Heading6Char">
    <w:name w:val="Heading 6 Char"/>
    <w:basedOn w:val="DefaultParagraphFont"/>
    <w:link w:val="Heading6"/>
    <w:uiPriority w:val="99"/>
    <w:rsid w:val="00733583"/>
    <w:rPr>
      <w:rFonts w:ascii="Times New Roman" w:eastAsia="Times New Roman" w:hAnsi="Times New Roman" w:cs="Times New Roman"/>
      <w:b/>
      <w:szCs w:val="20"/>
    </w:rPr>
  </w:style>
  <w:style w:type="character" w:customStyle="1" w:styleId="Heading7Char">
    <w:name w:val="Heading 7 Char"/>
    <w:basedOn w:val="DefaultParagraphFont"/>
    <w:link w:val="Heading7"/>
    <w:uiPriority w:val="99"/>
    <w:rsid w:val="00733583"/>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9"/>
    <w:rsid w:val="00733583"/>
    <w:rPr>
      <w:rFonts w:ascii="Arial" w:eastAsia="Times New Roman" w:hAnsi="Arial" w:cs="Times New Roman"/>
      <w:i/>
      <w:sz w:val="20"/>
      <w:szCs w:val="20"/>
    </w:rPr>
  </w:style>
  <w:style w:type="character" w:customStyle="1" w:styleId="Heading9Char">
    <w:name w:val="Heading 9 Char"/>
    <w:basedOn w:val="DefaultParagraphFont"/>
    <w:link w:val="Heading9"/>
    <w:uiPriority w:val="99"/>
    <w:rsid w:val="00733583"/>
    <w:rPr>
      <w:rFonts w:ascii="Arial" w:eastAsia="Times New Roman" w:hAnsi="Arial" w:cs="Times New Roman"/>
      <w:i/>
      <w:sz w:val="18"/>
      <w:szCs w:val="20"/>
    </w:rPr>
  </w:style>
  <w:style w:type="paragraph" w:styleId="ListParagraph">
    <w:name w:val="List Paragraph"/>
    <w:basedOn w:val="Normal"/>
    <w:uiPriority w:val="34"/>
    <w:qFormat/>
    <w:rsid w:val="00733583"/>
    <w:pPr>
      <w:widowControl w:val="0"/>
      <w:spacing w:after="0" w:line="480" w:lineRule="exact"/>
      <w:ind w:left="720"/>
      <w:contextualSpacing/>
    </w:pPr>
    <w:rPr>
      <w:rFonts w:ascii="Times New Roman" w:eastAsia="Times New Roman" w:hAnsi="Times New Roman"/>
      <w:sz w:val="24"/>
      <w:szCs w:val="20"/>
    </w:rPr>
  </w:style>
  <w:style w:type="character" w:customStyle="1" w:styleId="documentbody">
    <w:name w:val="documentbody"/>
    <w:basedOn w:val="DefaultParagraphFont"/>
    <w:rsid w:val="00733583"/>
  </w:style>
  <w:style w:type="character" w:styleId="Strong">
    <w:name w:val="Strong"/>
    <w:uiPriority w:val="22"/>
    <w:qFormat/>
    <w:rsid w:val="00733583"/>
    <w:rPr>
      <w:b/>
      <w:bCs/>
    </w:rPr>
  </w:style>
  <w:style w:type="character" w:styleId="Emphasis">
    <w:name w:val="Emphasis"/>
    <w:uiPriority w:val="20"/>
    <w:qFormat/>
    <w:rsid w:val="00733583"/>
    <w:rPr>
      <w:i/>
      <w:iCs/>
    </w:rPr>
  </w:style>
  <w:style w:type="character" w:styleId="CommentReference">
    <w:name w:val="annotation reference"/>
    <w:uiPriority w:val="99"/>
    <w:semiHidden/>
    <w:unhideWhenUsed/>
    <w:rsid w:val="00733583"/>
    <w:rPr>
      <w:sz w:val="16"/>
      <w:szCs w:val="16"/>
    </w:rPr>
  </w:style>
  <w:style w:type="paragraph" w:styleId="CommentText">
    <w:name w:val="annotation text"/>
    <w:basedOn w:val="Normal"/>
    <w:link w:val="CommentTextChar"/>
    <w:uiPriority w:val="99"/>
    <w:semiHidden/>
    <w:unhideWhenUsed/>
    <w:rsid w:val="00733583"/>
    <w:rPr>
      <w:sz w:val="20"/>
      <w:szCs w:val="20"/>
    </w:rPr>
  </w:style>
  <w:style w:type="character" w:customStyle="1" w:styleId="CommentTextChar">
    <w:name w:val="Comment Text Char"/>
    <w:basedOn w:val="DefaultParagraphFont"/>
    <w:link w:val="CommentText"/>
    <w:uiPriority w:val="99"/>
    <w:semiHidden/>
    <w:rsid w:val="0073358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335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583"/>
    <w:rPr>
      <w:rFonts w:ascii="Lucida Grande" w:eastAsia="Calibri" w:hAnsi="Lucida Grande" w:cs="Lucida Grande"/>
      <w:sz w:val="18"/>
      <w:szCs w:val="18"/>
    </w:rPr>
  </w:style>
  <w:style w:type="character" w:styleId="LineNumber">
    <w:name w:val="line number"/>
    <w:basedOn w:val="DefaultParagraphFont"/>
    <w:uiPriority w:val="99"/>
    <w:semiHidden/>
    <w:unhideWhenUsed/>
    <w:rsid w:val="008844D3"/>
  </w:style>
  <w:style w:type="paragraph" w:styleId="Header">
    <w:name w:val="header"/>
    <w:basedOn w:val="Normal"/>
    <w:link w:val="HeaderChar"/>
    <w:uiPriority w:val="99"/>
    <w:unhideWhenUsed/>
    <w:rsid w:val="00ED03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0387"/>
    <w:rPr>
      <w:rFonts w:ascii="Calibri" w:eastAsia="Calibri" w:hAnsi="Calibri" w:cs="Times New Roman"/>
      <w:sz w:val="22"/>
      <w:szCs w:val="22"/>
    </w:rPr>
  </w:style>
  <w:style w:type="paragraph" w:styleId="Footer">
    <w:name w:val="footer"/>
    <w:basedOn w:val="Normal"/>
    <w:link w:val="FooterChar"/>
    <w:uiPriority w:val="99"/>
    <w:unhideWhenUsed/>
    <w:rsid w:val="00ED03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0387"/>
    <w:rPr>
      <w:rFonts w:ascii="Calibri" w:eastAsia="Calibri" w:hAnsi="Calibri" w:cs="Times New Roman"/>
      <w:sz w:val="22"/>
      <w:szCs w:val="22"/>
    </w:rPr>
  </w:style>
  <w:style w:type="character" w:styleId="PageNumber">
    <w:name w:val="page number"/>
    <w:basedOn w:val="DefaultParagraphFont"/>
    <w:uiPriority w:val="99"/>
    <w:semiHidden/>
    <w:unhideWhenUsed/>
    <w:rsid w:val="00ED0387"/>
  </w:style>
  <w:style w:type="paragraph" w:styleId="TOCHeading">
    <w:name w:val="TOC Heading"/>
    <w:basedOn w:val="Heading1"/>
    <w:next w:val="Normal"/>
    <w:uiPriority w:val="39"/>
    <w:unhideWhenUsed/>
    <w:qFormat/>
    <w:rsid w:val="00711FD8"/>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kern w:val="0"/>
      <w:sz w:val="28"/>
      <w:szCs w:val="28"/>
      <w:u w:val="none"/>
    </w:rPr>
  </w:style>
  <w:style w:type="paragraph" w:styleId="TOC4">
    <w:name w:val="toc 4"/>
    <w:basedOn w:val="Normal"/>
    <w:next w:val="Normal"/>
    <w:autoRedefine/>
    <w:uiPriority w:val="39"/>
    <w:semiHidden/>
    <w:unhideWhenUsed/>
    <w:rsid w:val="00711FD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711FD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711FD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711FD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711FD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711FD8"/>
    <w:pPr>
      <w:spacing w:after="0"/>
      <w:ind w:left="1760"/>
    </w:pPr>
    <w:rPr>
      <w:rFonts w:asciiTheme="minorHAnsi" w:hAnsiTheme="minorHAnsi"/>
      <w:sz w:val="20"/>
      <w:szCs w:val="20"/>
    </w:rPr>
  </w:style>
  <w:style w:type="paragraph" w:customStyle="1" w:styleId="Heading">
    <w:name w:val="Heading"/>
    <w:basedOn w:val="Normal"/>
    <w:qFormat/>
    <w:rsid w:val="00711FD8"/>
    <w:pPr>
      <w:numPr>
        <w:numId w:val="2"/>
      </w:numPr>
      <w:spacing w:after="0" w:line="480" w:lineRule="auto"/>
    </w:pPr>
    <w:rPr>
      <w:rFonts w:ascii="Times New Roman" w:hAnsi="Times New Roman"/>
      <w:b/>
      <w:sz w:val="24"/>
      <w:szCs w:val="24"/>
      <w:u w:val="single"/>
    </w:rPr>
  </w:style>
  <w:style w:type="paragraph" w:customStyle="1" w:styleId="SubHeading1">
    <w:name w:val="SubHeading1"/>
    <w:basedOn w:val="Normal"/>
    <w:qFormat/>
    <w:rsid w:val="009E7AB8"/>
    <w:pPr>
      <w:numPr>
        <w:numId w:val="3"/>
      </w:numPr>
      <w:spacing w:after="0" w:line="480" w:lineRule="auto"/>
    </w:pPr>
    <w:rPr>
      <w:rFonts w:ascii="Times New Roman" w:hAnsi="Times New Roman"/>
      <w:b/>
      <w:sz w:val="24"/>
      <w:szCs w:val="24"/>
    </w:rPr>
  </w:style>
  <w:style w:type="paragraph" w:customStyle="1" w:styleId="SubHeading2">
    <w:name w:val="SubHeading2"/>
    <w:basedOn w:val="Normal"/>
    <w:qFormat/>
    <w:rsid w:val="009E7AB8"/>
    <w:pPr>
      <w:numPr>
        <w:ilvl w:val="1"/>
        <w:numId w:val="5"/>
      </w:numPr>
      <w:spacing w:after="240" w:line="240" w:lineRule="auto"/>
    </w:pPr>
    <w:rPr>
      <w:rFonts w:ascii="Times New Roman" w:hAnsi="Times New Roman"/>
      <w:sz w:val="24"/>
      <w:szCs w:val="24"/>
      <w:u w:val="single"/>
    </w:rPr>
  </w:style>
  <w:style w:type="paragraph" w:customStyle="1" w:styleId="SubHeading3">
    <w:name w:val="SubHeading3"/>
    <w:basedOn w:val="ListParagraph"/>
    <w:qFormat/>
    <w:rsid w:val="009E7AB8"/>
    <w:pPr>
      <w:numPr>
        <w:numId w:val="6"/>
      </w:numPr>
      <w:spacing w:after="240" w:line="240" w:lineRule="auto"/>
      <w:ind w:left="1988" w:hanging="634"/>
    </w:pPr>
    <w:rPr>
      <w:i/>
      <w:szCs w:val="24"/>
    </w:rPr>
  </w:style>
  <w:style w:type="character" w:customStyle="1" w:styleId="groupheading">
    <w:name w:val="groupheading"/>
    <w:basedOn w:val="DefaultParagraphFont"/>
    <w:rsid w:val="0059223B"/>
  </w:style>
  <w:style w:type="paragraph" w:styleId="TOAHeading">
    <w:name w:val="toa heading"/>
    <w:basedOn w:val="Normal"/>
    <w:next w:val="Normal"/>
    <w:uiPriority w:val="99"/>
    <w:semiHidden/>
    <w:unhideWhenUsed/>
    <w:rsid w:val="00657407"/>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657407"/>
    <w:pPr>
      <w:spacing w:after="0"/>
      <w:ind w:left="220" w:hanging="220"/>
    </w:pPr>
  </w:style>
  <w:style w:type="paragraph" w:styleId="CommentSubject">
    <w:name w:val="annotation subject"/>
    <w:basedOn w:val="CommentText"/>
    <w:next w:val="CommentText"/>
    <w:link w:val="CommentSubjectChar"/>
    <w:uiPriority w:val="99"/>
    <w:semiHidden/>
    <w:unhideWhenUsed/>
    <w:rsid w:val="00E82C7F"/>
    <w:pPr>
      <w:spacing w:line="240" w:lineRule="auto"/>
    </w:pPr>
    <w:rPr>
      <w:b/>
      <w:bCs/>
    </w:rPr>
  </w:style>
  <w:style w:type="character" w:customStyle="1" w:styleId="CommentSubjectChar">
    <w:name w:val="Comment Subject Char"/>
    <w:basedOn w:val="CommentTextChar"/>
    <w:link w:val="CommentSubject"/>
    <w:uiPriority w:val="99"/>
    <w:semiHidden/>
    <w:rsid w:val="00E82C7F"/>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84249561">
      <w:bodyDiv w:val="1"/>
      <w:marLeft w:val="0"/>
      <w:marRight w:val="0"/>
      <w:marTop w:val="0"/>
      <w:marBottom w:val="0"/>
      <w:divBdr>
        <w:top w:val="none" w:sz="0" w:space="0" w:color="auto"/>
        <w:left w:val="none" w:sz="0" w:space="0" w:color="auto"/>
        <w:bottom w:val="none" w:sz="0" w:space="0" w:color="auto"/>
        <w:right w:val="none" w:sz="0" w:space="0" w:color="auto"/>
      </w:divBdr>
    </w:div>
    <w:div w:id="708380949">
      <w:bodyDiv w:val="1"/>
      <w:marLeft w:val="0"/>
      <w:marRight w:val="0"/>
      <w:marTop w:val="0"/>
      <w:marBottom w:val="0"/>
      <w:divBdr>
        <w:top w:val="none" w:sz="0" w:space="0" w:color="auto"/>
        <w:left w:val="none" w:sz="0" w:space="0" w:color="auto"/>
        <w:bottom w:val="none" w:sz="0" w:space="0" w:color="auto"/>
        <w:right w:val="none" w:sz="0" w:space="0" w:color="auto"/>
      </w:divBdr>
    </w:div>
    <w:div w:id="988364573">
      <w:bodyDiv w:val="1"/>
      <w:marLeft w:val="0"/>
      <w:marRight w:val="0"/>
      <w:marTop w:val="0"/>
      <w:marBottom w:val="0"/>
      <w:divBdr>
        <w:top w:val="none" w:sz="0" w:space="0" w:color="auto"/>
        <w:left w:val="none" w:sz="0" w:space="0" w:color="auto"/>
        <w:bottom w:val="none" w:sz="0" w:space="0" w:color="auto"/>
        <w:right w:val="none" w:sz="0" w:space="0" w:color="auto"/>
      </w:divBdr>
    </w:div>
    <w:div w:id="1028408529">
      <w:bodyDiv w:val="1"/>
      <w:marLeft w:val="0"/>
      <w:marRight w:val="0"/>
      <w:marTop w:val="0"/>
      <w:marBottom w:val="0"/>
      <w:divBdr>
        <w:top w:val="none" w:sz="0" w:space="0" w:color="auto"/>
        <w:left w:val="none" w:sz="0" w:space="0" w:color="auto"/>
        <w:bottom w:val="none" w:sz="0" w:space="0" w:color="auto"/>
        <w:right w:val="none" w:sz="0" w:space="0" w:color="auto"/>
      </w:divBdr>
    </w:div>
    <w:div w:id="1203522155">
      <w:bodyDiv w:val="1"/>
      <w:marLeft w:val="0"/>
      <w:marRight w:val="0"/>
      <w:marTop w:val="0"/>
      <w:marBottom w:val="0"/>
      <w:divBdr>
        <w:top w:val="none" w:sz="0" w:space="0" w:color="auto"/>
        <w:left w:val="none" w:sz="0" w:space="0" w:color="auto"/>
        <w:bottom w:val="none" w:sz="0" w:space="0" w:color="auto"/>
        <w:right w:val="none" w:sz="0" w:space="0" w:color="auto"/>
      </w:divBdr>
    </w:div>
    <w:div w:id="1669022953">
      <w:bodyDiv w:val="1"/>
      <w:marLeft w:val="0"/>
      <w:marRight w:val="0"/>
      <w:marTop w:val="0"/>
      <w:marBottom w:val="0"/>
      <w:divBdr>
        <w:top w:val="none" w:sz="0" w:space="0" w:color="auto"/>
        <w:left w:val="none" w:sz="0" w:space="0" w:color="auto"/>
        <w:bottom w:val="none" w:sz="0" w:space="0" w:color="auto"/>
        <w:right w:val="none" w:sz="0" w:space="0" w:color="auto"/>
      </w:divBdr>
    </w:div>
    <w:div w:id="1825581373">
      <w:bodyDiv w:val="1"/>
      <w:marLeft w:val="0"/>
      <w:marRight w:val="0"/>
      <w:marTop w:val="0"/>
      <w:marBottom w:val="0"/>
      <w:divBdr>
        <w:top w:val="none" w:sz="0" w:space="0" w:color="auto"/>
        <w:left w:val="none" w:sz="0" w:space="0" w:color="auto"/>
        <w:bottom w:val="none" w:sz="0" w:space="0" w:color="auto"/>
        <w:right w:val="none" w:sz="0" w:space="0" w:color="auto"/>
      </w:divBdr>
    </w:div>
    <w:div w:id="203627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la.deiss@usdoj.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ms.gov/Manuals/PBM/itemdetail.asp?filterType=none&amp;filterByDID=-99&amp;sortByDID=1&amp;sortOrder=ascending&amp;itemID=CMS021927&amp;intNumPerPag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2983-B8A0-4550-BFD7-48B40250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8360</Words>
  <Characters>47657</Characters>
  <Application>Microsoft Office Word</Application>
  <DocSecurity>0</DocSecurity>
  <Lines>397</Lines>
  <Paragraphs>111</Paragraphs>
  <ScaleCrop>false</ScaleCrop>
  <Company/>
  <LinksUpToDate>false</LinksUpToDate>
  <CharactersWithSpaces>55906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2011-07-14T21:49:00Z</dcterms:created>
  <dcterms:modified xsi:type="dcterms:W3CDTF">2011-07-14T21:49:00Z</dcterms:modified>
</cp:coreProperties>
</file>