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BA" w:rsidRPr="00225530" w:rsidRDefault="009A1CBA" w:rsidP="00B243E6">
      <w:pPr>
        <w:rPr>
          <w:szCs w:val="24"/>
        </w:rPr>
      </w:pPr>
      <w:r w:rsidRPr="00225530">
        <w:rPr>
          <w:szCs w:val="24"/>
        </w:rPr>
        <w:t>UNITED STATES DISTRICT COURT</w:t>
      </w:r>
    </w:p>
    <w:p w:rsidR="009A1CBA" w:rsidRPr="00225530" w:rsidRDefault="009A1CBA" w:rsidP="00B243E6">
      <w:pPr>
        <w:rPr>
          <w:szCs w:val="24"/>
        </w:rPr>
      </w:pPr>
      <w:r w:rsidRPr="00225530">
        <w:rPr>
          <w:szCs w:val="24"/>
        </w:rPr>
        <w:t>SOUTHERN DISTRICT OF NEW YORK</w:t>
      </w:r>
    </w:p>
    <w:p w:rsidR="009A1CBA" w:rsidRPr="00225530" w:rsidRDefault="009A1CBA" w:rsidP="00B243E6">
      <w:pPr>
        <w:rPr>
          <w:szCs w:val="24"/>
        </w:rPr>
      </w:pPr>
      <w:r w:rsidRPr="00225530">
        <w:rPr>
          <w:szCs w:val="24"/>
        </w:rPr>
        <w:t>- - - - - - - - - - - - - - -</w:t>
      </w:r>
      <w:r w:rsidR="00FA41DC" w:rsidRPr="00225530">
        <w:rPr>
          <w:szCs w:val="24"/>
        </w:rPr>
        <w:t xml:space="preserve"> - - - - - - - - - - - - - - - - </w:t>
      </w:r>
      <w:r w:rsidR="004F5DBE">
        <w:rPr>
          <w:szCs w:val="24"/>
        </w:rPr>
        <w:t xml:space="preserve">- - - - </w:t>
      </w:r>
      <w:r w:rsidRPr="00225530">
        <w:rPr>
          <w:szCs w:val="24"/>
        </w:rPr>
        <w:t>- x</w:t>
      </w:r>
    </w:p>
    <w:p w:rsidR="004F5DBE" w:rsidRDefault="004F5DBE" w:rsidP="00B243E6">
      <w:pPr>
        <w:ind w:left="3600" w:hanging="3600"/>
        <w:rPr>
          <w:szCs w:val="24"/>
        </w:rPr>
      </w:pPr>
      <w:r>
        <w:rPr>
          <w:szCs w:val="24"/>
        </w:rPr>
        <w:tab/>
      </w:r>
      <w:r>
        <w:rPr>
          <w:szCs w:val="24"/>
        </w:rPr>
        <w:tab/>
      </w:r>
      <w:r>
        <w:rPr>
          <w:szCs w:val="24"/>
        </w:rPr>
        <w:tab/>
        <w:t>:</w:t>
      </w:r>
    </w:p>
    <w:p w:rsidR="005652C2" w:rsidRPr="00225530" w:rsidRDefault="00F2009E" w:rsidP="00B243E6">
      <w:pPr>
        <w:ind w:left="3600" w:hanging="3600"/>
        <w:rPr>
          <w:szCs w:val="24"/>
        </w:rPr>
      </w:pPr>
      <w:r w:rsidRPr="00225530">
        <w:rPr>
          <w:szCs w:val="24"/>
        </w:rPr>
        <w:t>DIANA WILLIAMS</w:t>
      </w:r>
      <w:r w:rsidR="005652C2" w:rsidRPr="00225530">
        <w:rPr>
          <w:szCs w:val="24"/>
        </w:rPr>
        <w:t>,</w:t>
      </w:r>
      <w:r w:rsidR="00BF418B" w:rsidRPr="00225530">
        <w:rPr>
          <w:szCs w:val="24"/>
        </w:rPr>
        <w:tab/>
      </w:r>
      <w:r w:rsidR="005652C2" w:rsidRPr="00225530">
        <w:rPr>
          <w:szCs w:val="24"/>
        </w:rPr>
        <w:tab/>
      </w:r>
      <w:r w:rsidRPr="00225530">
        <w:rPr>
          <w:szCs w:val="24"/>
        </w:rPr>
        <w:tab/>
      </w:r>
      <w:r w:rsidR="005652C2" w:rsidRPr="00225530">
        <w:rPr>
          <w:szCs w:val="24"/>
        </w:rPr>
        <w:t>:</w:t>
      </w:r>
    </w:p>
    <w:p w:rsidR="004F5DBE" w:rsidRDefault="004F5DBE" w:rsidP="004F5DBE">
      <w:pPr>
        <w:ind w:left="3600" w:hanging="3600"/>
        <w:rPr>
          <w:szCs w:val="24"/>
        </w:rPr>
      </w:pPr>
      <w:r>
        <w:rPr>
          <w:szCs w:val="24"/>
        </w:rPr>
        <w:tab/>
      </w:r>
      <w:r>
        <w:rPr>
          <w:szCs w:val="24"/>
        </w:rPr>
        <w:tab/>
      </w:r>
      <w:r>
        <w:rPr>
          <w:szCs w:val="24"/>
        </w:rPr>
        <w:tab/>
        <w:t>:</w:t>
      </w:r>
    </w:p>
    <w:p w:rsidR="00A66903" w:rsidRPr="00225530" w:rsidRDefault="004F5DBE" w:rsidP="004F5DBE">
      <w:pPr>
        <w:ind w:left="3600" w:hanging="3600"/>
        <w:rPr>
          <w:szCs w:val="24"/>
        </w:rPr>
      </w:pPr>
      <w:r>
        <w:rPr>
          <w:szCs w:val="24"/>
        </w:rPr>
        <w:tab/>
      </w:r>
      <w:r w:rsidR="00F2009E" w:rsidRPr="00225530">
        <w:rPr>
          <w:szCs w:val="24"/>
        </w:rPr>
        <w:t>Plaintiff</w:t>
      </w:r>
      <w:r w:rsidR="009A1CBA" w:rsidRPr="00225530">
        <w:rPr>
          <w:szCs w:val="24"/>
        </w:rPr>
        <w:t>,</w:t>
      </w:r>
      <w:r w:rsidR="009A1CBA" w:rsidRPr="00225530">
        <w:rPr>
          <w:szCs w:val="24"/>
        </w:rPr>
        <w:tab/>
        <w:t>:</w:t>
      </w:r>
      <w:r w:rsidR="009A1CBA" w:rsidRPr="00225530">
        <w:rPr>
          <w:szCs w:val="24"/>
        </w:rPr>
        <w:tab/>
      </w:r>
      <w:r w:rsidR="00F2009E" w:rsidRPr="00225530">
        <w:rPr>
          <w:szCs w:val="24"/>
        </w:rPr>
        <w:tab/>
      </w:r>
    </w:p>
    <w:p w:rsidR="009A1CBA" w:rsidRPr="00225530" w:rsidRDefault="009A1CBA" w:rsidP="00B243E6">
      <w:pPr>
        <w:tabs>
          <w:tab w:val="left" w:pos="720"/>
          <w:tab w:val="left" w:pos="1440"/>
          <w:tab w:val="left" w:pos="2160"/>
          <w:tab w:val="left" w:pos="2880"/>
          <w:tab w:val="left" w:pos="3600"/>
          <w:tab w:val="left" w:pos="4320"/>
          <w:tab w:val="left" w:pos="5040"/>
        </w:tabs>
        <w:ind w:left="5040" w:hanging="5040"/>
        <w:rPr>
          <w:szCs w:val="24"/>
        </w:rPr>
      </w:pPr>
      <w:r w:rsidRPr="00225530">
        <w:rPr>
          <w:szCs w:val="24"/>
        </w:rPr>
        <w:tab/>
      </w:r>
      <w:r w:rsidRPr="00225530">
        <w:rPr>
          <w:szCs w:val="24"/>
        </w:rPr>
        <w:tab/>
      </w:r>
      <w:r w:rsidRPr="00225530">
        <w:rPr>
          <w:szCs w:val="24"/>
        </w:rPr>
        <w:tab/>
      </w:r>
      <w:r w:rsidRPr="00225530">
        <w:rPr>
          <w:szCs w:val="24"/>
        </w:rPr>
        <w:tab/>
      </w:r>
      <w:r w:rsidRPr="00225530">
        <w:rPr>
          <w:szCs w:val="24"/>
        </w:rPr>
        <w:tab/>
      </w:r>
      <w:r w:rsidRPr="00225530">
        <w:rPr>
          <w:szCs w:val="24"/>
        </w:rPr>
        <w:tab/>
      </w:r>
      <w:r w:rsidRPr="00225530">
        <w:rPr>
          <w:szCs w:val="24"/>
        </w:rPr>
        <w:tab/>
        <w:t>:</w:t>
      </w:r>
    </w:p>
    <w:p w:rsidR="00A66903" w:rsidRPr="00225530" w:rsidRDefault="009A1CBA" w:rsidP="00B243E6">
      <w:pPr>
        <w:tabs>
          <w:tab w:val="left" w:pos="720"/>
          <w:tab w:val="left" w:pos="1440"/>
          <w:tab w:val="left" w:pos="2160"/>
          <w:tab w:val="left" w:pos="2880"/>
          <w:tab w:val="left" w:pos="3600"/>
          <w:tab w:val="left" w:pos="4320"/>
          <w:tab w:val="left" w:pos="5040"/>
        </w:tabs>
        <w:ind w:left="5040" w:hanging="5040"/>
        <w:rPr>
          <w:szCs w:val="24"/>
        </w:rPr>
      </w:pPr>
      <w:r w:rsidRPr="00225530">
        <w:rPr>
          <w:szCs w:val="24"/>
        </w:rPr>
        <w:tab/>
      </w:r>
      <w:r w:rsidRPr="00225530">
        <w:rPr>
          <w:szCs w:val="24"/>
        </w:rPr>
        <w:tab/>
        <w:t>- against -</w:t>
      </w:r>
      <w:r w:rsidRPr="00225530">
        <w:rPr>
          <w:szCs w:val="24"/>
        </w:rPr>
        <w:tab/>
      </w:r>
      <w:r w:rsidRPr="00225530">
        <w:rPr>
          <w:szCs w:val="24"/>
        </w:rPr>
        <w:tab/>
      </w:r>
      <w:r w:rsidRPr="00225530">
        <w:rPr>
          <w:szCs w:val="24"/>
        </w:rPr>
        <w:tab/>
      </w:r>
      <w:r w:rsidRPr="00225530">
        <w:rPr>
          <w:szCs w:val="24"/>
        </w:rPr>
        <w:tab/>
        <w:t>:</w:t>
      </w:r>
      <w:r w:rsidR="004F5DBE">
        <w:rPr>
          <w:szCs w:val="24"/>
        </w:rPr>
        <w:tab/>
      </w:r>
      <w:r w:rsidR="004F5DBE">
        <w:rPr>
          <w:szCs w:val="24"/>
        </w:rPr>
        <w:tab/>
      </w:r>
      <w:r w:rsidR="004F5DBE" w:rsidRPr="00225530">
        <w:rPr>
          <w:szCs w:val="24"/>
        </w:rPr>
        <w:t>12 Civ. 6805 (VEC)</w:t>
      </w:r>
    </w:p>
    <w:p w:rsidR="009A1CBA" w:rsidRPr="00225530" w:rsidRDefault="009A1CBA" w:rsidP="00B243E6">
      <w:pPr>
        <w:tabs>
          <w:tab w:val="left" w:pos="720"/>
          <w:tab w:val="left" w:pos="1440"/>
          <w:tab w:val="left" w:pos="2160"/>
          <w:tab w:val="left" w:pos="2880"/>
          <w:tab w:val="left" w:pos="3600"/>
          <w:tab w:val="left" w:pos="4320"/>
          <w:tab w:val="left" w:pos="5040"/>
        </w:tabs>
        <w:ind w:left="5040" w:hanging="5040"/>
        <w:rPr>
          <w:szCs w:val="24"/>
        </w:rPr>
      </w:pPr>
      <w:r w:rsidRPr="00225530">
        <w:rPr>
          <w:szCs w:val="24"/>
        </w:rPr>
        <w:tab/>
      </w:r>
      <w:r w:rsidRPr="00225530">
        <w:rPr>
          <w:szCs w:val="24"/>
        </w:rPr>
        <w:tab/>
      </w:r>
      <w:r w:rsidRPr="00225530">
        <w:rPr>
          <w:szCs w:val="24"/>
        </w:rPr>
        <w:tab/>
      </w:r>
      <w:r w:rsidRPr="00225530">
        <w:rPr>
          <w:szCs w:val="24"/>
        </w:rPr>
        <w:tab/>
      </w:r>
      <w:r w:rsidRPr="00225530">
        <w:rPr>
          <w:szCs w:val="24"/>
        </w:rPr>
        <w:tab/>
      </w:r>
      <w:r w:rsidRPr="00225530">
        <w:rPr>
          <w:szCs w:val="24"/>
        </w:rPr>
        <w:tab/>
      </w:r>
      <w:r w:rsidR="00A66903" w:rsidRPr="00225530">
        <w:rPr>
          <w:szCs w:val="24"/>
        </w:rPr>
        <w:tab/>
        <w:t>:</w:t>
      </w:r>
    </w:p>
    <w:p w:rsidR="009A1CBA" w:rsidRPr="00225530" w:rsidRDefault="00F2009E" w:rsidP="00B243E6">
      <w:pPr>
        <w:tabs>
          <w:tab w:val="left" w:pos="5040"/>
        </w:tabs>
        <w:rPr>
          <w:szCs w:val="24"/>
        </w:rPr>
      </w:pPr>
      <w:r w:rsidRPr="00225530">
        <w:rPr>
          <w:szCs w:val="24"/>
        </w:rPr>
        <w:t xml:space="preserve">THE </w:t>
      </w:r>
      <w:r w:rsidR="005652C2" w:rsidRPr="00225530">
        <w:rPr>
          <w:szCs w:val="24"/>
        </w:rPr>
        <w:t>CITY OF NEW YORK,</w:t>
      </w:r>
      <w:r w:rsidR="009A1CBA" w:rsidRPr="00225530">
        <w:rPr>
          <w:szCs w:val="24"/>
        </w:rPr>
        <w:tab/>
        <w:t>:</w:t>
      </w:r>
    </w:p>
    <w:p w:rsidR="009A1CBA" w:rsidRPr="00225530" w:rsidRDefault="009A1CBA" w:rsidP="00B243E6">
      <w:pPr>
        <w:tabs>
          <w:tab w:val="left" w:pos="720"/>
          <w:tab w:val="left" w:pos="1440"/>
          <w:tab w:val="left" w:pos="2160"/>
          <w:tab w:val="left" w:pos="2880"/>
          <w:tab w:val="left" w:pos="3600"/>
          <w:tab w:val="left" w:pos="4320"/>
          <w:tab w:val="left" w:pos="5040"/>
        </w:tabs>
        <w:ind w:left="5040" w:hanging="5040"/>
        <w:rPr>
          <w:szCs w:val="24"/>
        </w:rPr>
      </w:pPr>
      <w:r w:rsidRPr="00225530">
        <w:rPr>
          <w:szCs w:val="24"/>
        </w:rPr>
        <w:tab/>
      </w:r>
      <w:r w:rsidRPr="00225530">
        <w:rPr>
          <w:szCs w:val="24"/>
        </w:rPr>
        <w:tab/>
      </w:r>
      <w:r w:rsidRPr="00225530">
        <w:rPr>
          <w:szCs w:val="24"/>
        </w:rPr>
        <w:tab/>
      </w:r>
      <w:r w:rsidRPr="00225530">
        <w:rPr>
          <w:szCs w:val="24"/>
        </w:rPr>
        <w:tab/>
      </w:r>
      <w:r w:rsidRPr="00225530">
        <w:rPr>
          <w:szCs w:val="24"/>
        </w:rPr>
        <w:tab/>
      </w:r>
      <w:r w:rsidRPr="00225530">
        <w:rPr>
          <w:szCs w:val="24"/>
        </w:rPr>
        <w:tab/>
      </w:r>
      <w:r w:rsidRPr="00225530">
        <w:rPr>
          <w:szCs w:val="24"/>
        </w:rPr>
        <w:tab/>
        <w:t>:</w:t>
      </w:r>
    </w:p>
    <w:p w:rsidR="009A1CBA" w:rsidRPr="00225530" w:rsidRDefault="00FA41DC" w:rsidP="00B243E6">
      <w:pPr>
        <w:tabs>
          <w:tab w:val="left" w:pos="720"/>
          <w:tab w:val="left" w:pos="1440"/>
          <w:tab w:val="left" w:pos="2160"/>
          <w:tab w:val="left" w:pos="2880"/>
          <w:tab w:val="left" w:pos="3600"/>
          <w:tab w:val="left" w:pos="4320"/>
          <w:tab w:val="left" w:pos="5040"/>
        </w:tabs>
        <w:ind w:left="5040" w:hanging="5040"/>
        <w:rPr>
          <w:szCs w:val="24"/>
        </w:rPr>
      </w:pPr>
      <w:r w:rsidRPr="00225530">
        <w:rPr>
          <w:szCs w:val="24"/>
        </w:rPr>
        <w:tab/>
      </w:r>
      <w:r w:rsidRPr="00225530">
        <w:rPr>
          <w:szCs w:val="24"/>
        </w:rPr>
        <w:tab/>
      </w:r>
      <w:r w:rsidRPr="00225530">
        <w:rPr>
          <w:szCs w:val="24"/>
        </w:rPr>
        <w:tab/>
      </w:r>
      <w:r w:rsidRPr="00225530">
        <w:rPr>
          <w:szCs w:val="24"/>
        </w:rPr>
        <w:tab/>
      </w:r>
      <w:r w:rsidRPr="00225530">
        <w:rPr>
          <w:szCs w:val="24"/>
        </w:rPr>
        <w:tab/>
        <w:t>Defendant</w:t>
      </w:r>
      <w:r w:rsidR="00A66903" w:rsidRPr="00225530">
        <w:rPr>
          <w:szCs w:val="24"/>
        </w:rPr>
        <w:t>.</w:t>
      </w:r>
      <w:r w:rsidR="00A66903" w:rsidRPr="00225530">
        <w:rPr>
          <w:szCs w:val="24"/>
        </w:rPr>
        <w:tab/>
        <w:t>:</w:t>
      </w:r>
    </w:p>
    <w:p w:rsidR="004F5DBE" w:rsidRDefault="004F5DBE" w:rsidP="00B243E6">
      <w:pPr>
        <w:tabs>
          <w:tab w:val="left" w:pos="5040"/>
        </w:tabs>
        <w:rPr>
          <w:szCs w:val="24"/>
        </w:rPr>
      </w:pPr>
      <w:r>
        <w:rPr>
          <w:szCs w:val="24"/>
        </w:rPr>
        <w:tab/>
        <w:t>:</w:t>
      </w:r>
    </w:p>
    <w:p w:rsidR="009A1CBA" w:rsidRPr="00225530" w:rsidRDefault="009A1CBA" w:rsidP="00B243E6">
      <w:pPr>
        <w:tabs>
          <w:tab w:val="left" w:pos="5040"/>
        </w:tabs>
        <w:rPr>
          <w:szCs w:val="24"/>
        </w:rPr>
      </w:pPr>
      <w:r w:rsidRPr="00225530">
        <w:rPr>
          <w:szCs w:val="24"/>
        </w:rPr>
        <w:t>- - - - - - - - - - - - - - - - - - - - - - - - - - - - - - - - - - - - x</w:t>
      </w:r>
    </w:p>
    <w:p w:rsidR="00F70597" w:rsidRPr="00225530" w:rsidRDefault="00F70597" w:rsidP="00B243E6">
      <w:pPr>
        <w:widowControl w:val="0"/>
        <w:jc w:val="center"/>
        <w:rPr>
          <w:b/>
          <w:szCs w:val="24"/>
          <w:u w:val="single"/>
        </w:rPr>
      </w:pPr>
    </w:p>
    <w:p w:rsidR="00A35207" w:rsidRDefault="00A35207" w:rsidP="00B243E6">
      <w:pPr>
        <w:widowControl w:val="0"/>
        <w:jc w:val="center"/>
        <w:rPr>
          <w:b/>
          <w:szCs w:val="24"/>
          <w:u w:val="single"/>
        </w:rPr>
      </w:pPr>
    </w:p>
    <w:p w:rsidR="004F5DBE" w:rsidRDefault="004F5DBE" w:rsidP="00B243E6">
      <w:pPr>
        <w:widowControl w:val="0"/>
        <w:jc w:val="center"/>
        <w:rPr>
          <w:b/>
          <w:szCs w:val="24"/>
          <w:u w:val="single"/>
        </w:rPr>
      </w:pPr>
    </w:p>
    <w:p w:rsidR="004F5DBE" w:rsidRDefault="004F5DBE" w:rsidP="00B243E6">
      <w:pPr>
        <w:widowControl w:val="0"/>
        <w:jc w:val="center"/>
        <w:rPr>
          <w:b/>
          <w:szCs w:val="24"/>
          <w:u w:val="single"/>
        </w:rPr>
      </w:pPr>
    </w:p>
    <w:p w:rsidR="004F5DBE" w:rsidRDefault="004F5DBE" w:rsidP="00B243E6">
      <w:pPr>
        <w:widowControl w:val="0"/>
        <w:jc w:val="center"/>
        <w:rPr>
          <w:b/>
          <w:szCs w:val="24"/>
          <w:u w:val="single"/>
        </w:rPr>
      </w:pPr>
    </w:p>
    <w:p w:rsidR="004F5DBE" w:rsidRDefault="004F5DBE" w:rsidP="00B243E6">
      <w:pPr>
        <w:widowControl w:val="0"/>
        <w:jc w:val="center"/>
        <w:rPr>
          <w:b/>
          <w:szCs w:val="24"/>
          <w:u w:val="single"/>
        </w:rPr>
      </w:pPr>
    </w:p>
    <w:p w:rsidR="004F5DBE" w:rsidRPr="00225530" w:rsidRDefault="004F5DBE" w:rsidP="00B243E6">
      <w:pPr>
        <w:widowControl w:val="0"/>
        <w:jc w:val="center"/>
        <w:rPr>
          <w:b/>
          <w:szCs w:val="24"/>
          <w:u w:val="single"/>
        </w:rPr>
      </w:pPr>
    </w:p>
    <w:p w:rsidR="009A2F5F" w:rsidRPr="00225530" w:rsidRDefault="009A2F5F" w:rsidP="00B243E6">
      <w:pPr>
        <w:widowControl w:val="0"/>
        <w:jc w:val="center"/>
        <w:rPr>
          <w:b/>
          <w:szCs w:val="24"/>
        </w:rPr>
      </w:pPr>
      <w:r w:rsidRPr="00225530">
        <w:rPr>
          <w:b/>
          <w:szCs w:val="24"/>
        </w:rPr>
        <w:t>STATEMENT OF INTEREST</w:t>
      </w:r>
    </w:p>
    <w:p w:rsidR="00F70597" w:rsidRPr="00F83D22" w:rsidRDefault="00F70597" w:rsidP="00B243E6">
      <w:pPr>
        <w:widowControl w:val="0"/>
        <w:jc w:val="center"/>
        <w:rPr>
          <w:b/>
          <w:szCs w:val="24"/>
        </w:rPr>
      </w:pPr>
      <w:r w:rsidRPr="00F83D22">
        <w:rPr>
          <w:b/>
          <w:szCs w:val="24"/>
        </w:rPr>
        <w:t>OF THE UNITED STATES OF AMERICA</w:t>
      </w:r>
    </w:p>
    <w:p w:rsidR="005C2B57" w:rsidRPr="00225530" w:rsidRDefault="005C2B57" w:rsidP="00B243E6">
      <w:pPr>
        <w:rPr>
          <w:szCs w:val="24"/>
        </w:rPr>
      </w:pPr>
    </w:p>
    <w:p w:rsidR="009A2F5F" w:rsidRPr="00225530" w:rsidRDefault="009A2F5F" w:rsidP="00B243E6">
      <w:pPr>
        <w:rPr>
          <w:szCs w:val="24"/>
        </w:rPr>
      </w:pPr>
    </w:p>
    <w:p w:rsidR="009A2F5F" w:rsidRDefault="009A2F5F" w:rsidP="00B243E6">
      <w:pPr>
        <w:rPr>
          <w:szCs w:val="24"/>
        </w:rPr>
      </w:pPr>
    </w:p>
    <w:p w:rsidR="004F5DBE" w:rsidRDefault="004F5DBE" w:rsidP="00B243E6">
      <w:pPr>
        <w:rPr>
          <w:szCs w:val="24"/>
        </w:rPr>
      </w:pPr>
    </w:p>
    <w:p w:rsidR="004F5DBE" w:rsidRDefault="004F5DBE" w:rsidP="00B243E6">
      <w:pPr>
        <w:rPr>
          <w:szCs w:val="24"/>
        </w:rPr>
      </w:pPr>
    </w:p>
    <w:p w:rsidR="004F5DBE" w:rsidRDefault="004F5DBE" w:rsidP="00B243E6">
      <w:pPr>
        <w:rPr>
          <w:szCs w:val="24"/>
        </w:rPr>
      </w:pPr>
    </w:p>
    <w:p w:rsidR="004F5DBE" w:rsidRDefault="004F5DBE" w:rsidP="00B243E6">
      <w:pPr>
        <w:rPr>
          <w:szCs w:val="24"/>
        </w:rPr>
      </w:pPr>
    </w:p>
    <w:p w:rsidR="004F5DBE" w:rsidRPr="00225530" w:rsidRDefault="004F5DBE" w:rsidP="00B243E6">
      <w:pPr>
        <w:rPr>
          <w:szCs w:val="24"/>
        </w:rPr>
      </w:pPr>
    </w:p>
    <w:p w:rsidR="009A2F5F" w:rsidRPr="00225530" w:rsidRDefault="009A2F5F" w:rsidP="00B243E6">
      <w:pPr>
        <w:rPr>
          <w:szCs w:val="24"/>
        </w:rPr>
      </w:pPr>
    </w:p>
    <w:p w:rsidR="009A2F5F" w:rsidRPr="00225530" w:rsidRDefault="009A2F5F" w:rsidP="00B24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rPr>
          <w:color w:val="000000"/>
          <w:szCs w:val="24"/>
        </w:rPr>
      </w:pPr>
      <w:r w:rsidRPr="00225530">
        <w:rPr>
          <w:color w:val="000000"/>
          <w:szCs w:val="24"/>
        </w:rPr>
        <w:t>PREET BHARARA</w:t>
      </w:r>
    </w:p>
    <w:p w:rsidR="009A2F5F" w:rsidRPr="00225530" w:rsidRDefault="009A2F5F" w:rsidP="00B24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rPr>
          <w:color w:val="000000"/>
          <w:szCs w:val="24"/>
        </w:rPr>
      </w:pPr>
      <w:r w:rsidRPr="00225530">
        <w:rPr>
          <w:color w:val="000000"/>
          <w:szCs w:val="24"/>
        </w:rPr>
        <w:t>United States Attorney for the</w:t>
      </w:r>
    </w:p>
    <w:p w:rsidR="009A2F5F" w:rsidRPr="00225530" w:rsidRDefault="009A2F5F" w:rsidP="00B24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rPr>
          <w:color w:val="000000"/>
          <w:szCs w:val="24"/>
        </w:rPr>
      </w:pPr>
      <w:r w:rsidRPr="00225530">
        <w:rPr>
          <w:color w:val="000000"/>
          <w:szCs w:val="24"/>
        </w:rPr>
        <w:t>Southern District of New York</w:t>
      </w:r>
    </w:p>
    <w:p w:rsidR="009A2F5F" w:rsidRPr="00225530" w:rsidRDefault="009A2F5F" w:rsidP="00B24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rPr>
          <w:color w:val="000000"/>
          <w:szCs w:val="24"/>
        </w:rPr>
      </w:pPr>
      <w:r w:rsidRPr="00225530">
        <w:rPr>
          <w:color w:val="000000"/>
          <w:szCs w:val="24"/>
        </w:rPr>
        <w:t>86 Chambers Street, Third Floor</w:t>
      </w:r>
    </w:p>
    <w:p w:rsidR="009A2F5F" w:rsidRPr="00225530" w:rsidRDefault="009A2F5F" w:rsidP="00B24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rPr>
          <w:color w:val="000000"/>
          <w:szCs w:val="24"/>
        </w:rPr>
      </w:pPr>
      <w:r w:rsidRPr="00225530">
        <w:rPr>
          <w:color w:val="000000"/>
          <w:szCs w:val="24"/>
        </w:rPr>
        <w:t>New York, New York 10007</w:t>
      </w:r>
    </w:p>
    <w:p w:rsidR="009A2F5F" w:rsidRPr="00225530" w:rsidRDefault="00F2009E" w:rsidP="00B24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rPr>
          <w:color w:val="000000"/>
          <w:szCs w:val="24"/>
        </w:rPr>
      </w:pPr>
      <w:r w:rsidRPr="00225530">
        <w:rPr>
          <w:color w:val="000000"/>
          <w:szCs w:val="24"/>
        </w:rPr>
        <w:t>Tel.: (212) 637-2733</w:t>
      </w:r>
    </w:p>
    <w:p w:rsidR="009A2F5F" w:rsidRPr="00225530" w:rsidRDefault="004F5DBE" w:rsidP="00B24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rPr>
          <w:color w:val="000000"/>
          <w:szCs w:val="24"/>
        </w:rPr>
      </w:pPr>
      <w:r>
        <w:rPr>
          <w:color w:val="000000"/>
          <w:szCs w:val="24"/>
        </w:rPr>
        <w:t xml:space="preserve">Fax: </w:t>
      </w:r>
      <w:r w:rsidR="00F2009E" w:rsidRPr="00225530">
        <w:rPr>
          <w:color w:val="000000"/>
          <w:szCs w:val="24"/>
        </w:rPr>
        <w:t>(212) 637-0033</w:t>
      </w:r>
    </w:p>
    <w:p w:rsidR="009A2F5F" w:rsidRPr="00225530" w:rsidRDefault="009A2F5F" w:rsidP="00B243E6">
      <w:pPr>
        <w:tabs>
          <w:tab w:val="left" w:pos="720"/>
          <w:tab w:val="left" w:pos="1440"/>
          <w:tab w:val="left" w:pos="2160"/>
          <w:tab w:val="left" w:pos="2880"/>
          <w:tab w:val="left" w:pos="3600"/>
          <w:tab w:val="left" w:pos="4320"/>
          <w:tab w:val="left" w:pos="5850"/>
          <w:tab w:val="left" w:pos="6480"/>
          <w:tab w:val="left" w:pos="7200"/>
          <w:tab w:val="left" w:pos="7920"/>
          <w:tab w:val="left" w:pos="8640"/>
        </w:tabs>
        <w:ind w:left="5040"/>
        <w:rPr>
          <w:color w:val="000000"/>
          <w:szCs w:val="24"/>
        </w:rPr>
      </w:pPr>
      <w:r w:rsidRPr="00225530">
        <w:rPr>
          <w:color w:val="000000"/>
          <w:szCs w:val="24"/>
        </w:rPr>
        <w:t xml:space="preserve">Email: </w:t>
      </w:r>
      <w:r w:rsidR="00F2009E" w:rsidRPr="00225530">
        <w:rPr>
          <w:szCs w:val="24"/>
        </w:rPr>
        <w:t>david.kennedy2</w:t>
      </w:r>
      <w:r w:rsidRPr="00225530">
        <w:rPr>
          <w:szCs w:val="24"/>
        </w:rPr>
        <w:t>@usdoj.gov</w:t>
      </w:r>
    </w:p>
    <w:p w:rsidR="009A2F5F" w:rsidRPr="00225530" w:rsidRDefault="009A2F5F" w:rsidP="00B24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9A2F5F" w:rsidRPr="00225530" w:rsidRDefault="009A2F5F" w:rsidP="00B24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w:rsidR="009A2F5F" w:rsidRPr="00225530" w:rsidRDefault="00F2009E" w:rsidP="00B24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25530">
        <w:rPr>
          <w:color w:val="000000"/>
          <w:szCs w:val="24"/>
        </w:rPr>
        <w:t>DAVID J. KENNEDY</w:t>
      </w:r>
    </w:p>
    <w:p w:rsidR="009A2F5F" w:rsidRPr="00225530" w:rsidRDefault="009A2F5F" w:rsidP="00B24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25530">
        <w:rPr>
          <w:color w:val="000000"/>
          <w:szCs w:val="24"/>
        </w:rPr>
        <w:t>Assistant United States Attorney</w:t>
      </w:r>
    </w:p>
    <w:p w:rsidR="00F734C1" w:rsidRPr="00225530" w:rsidRDefault="00EC70EE" w:rsidP="00B243E6">
      <w:pPr>
        <w:ind w:firstLine="720"/>
        <w:rPr>
          <w:bCs/>
          <w:szCs w:val="24"/>
        </w:rPr>
      </w:pPr>
      <w:r w:rsidRPr="00225530">
        <w:rPr>
          <w:bCs/>
          <w:szCs w:val="24"/>
        </w:rPr>
        <w:t>- Of Counsel</w:t>
      </w:r>
      <w:r w:rsidR="009C502A" w:rsidRPr="00225530">
        <w:rPr>
          <w:bCs/>
          <w:szCs w:val="24"/>
        </w:rPr>
        <w:t xml:space="preserve"> -</w:t>
      </w:r>
      <w:r w:rsidRPr="00225530">
        <w:rPr>
          <w:bCs/>
          <w:szCs w:val="24"/>
        </w:rPr>
        <w:t xml:space="preserve"> </w:t>
      </w:r>
    </w:p>
    <w:p w:rsidR="008D2243" w:rsidRPr="00225530" w:rsidRDefault="00F734C1" w:rsidP="008D2243">
      <w:pPr>
        <w:widowControl w:val="0"/>
        <w:numPr>
          <w:ilvl w:val="12"/>
          <w:numId w:val="0"/>
        </w:numPr>
        <w:ind w:right="90"/>
        <w:jc w:val="center"/>
        <w:rPr>
          <w:szCs w:val="24"/>
        </w:rPr>
      </w:pPr>
      <w:r w:rsidRPr="00225530">
        <w:rPr>
          <w:bCs/>
          <w:szCs w:val="24"/>
        </w:rPr>
        <w:br w:type="page"/>
      </w:r>
      <w:r w:rsidR="008D2243" w:rsidRPr="00225530">
        <w:rPr>
          <w:b/>
          <w:bCs/>
          <w:szCs w:val="24"/>
        </w:rPr>
        <w:lastRenderedPageBreak/>
        <w:t>TABLE OF CONTENTS</w:t>
      </w:r>
    </w:p>
    <w:p w:rsidR="008D2243" w:rsidRPr="00225530" w:rsidRDefault="008D2243" w:rsidP="008D2243">
      <w:pPr>
        <w:pStyle w:val="QuickA"/>
        <w:widowControl w:val="0"/>
        <w:tabs>
          <w:tab w:val="left" w:pos="720"/>
        </w:tabs>
        <w:ind w:left="0" w:right="180"/>
        <w:rPr>
          <w:rFonts w:ascii="Times New Roman" w:hAnsi="Times New Roman" w:cs="Times New Roman"/>
        </w:rPr>
      </w:pPr>
    </w:p>
    <w:p w:rsidR="008D2243" w:rsidRPr="00225530" w:rsidRDefault="008D2243" w:rsidP="003C0059">
      <w:pPr>
        <w:tabs>
          <w:tab w:val="left" w:pos="720"/>
          <w:tab w:val="right" w:leader="dot" w:pos="9360"/>
        </w:tabs>
        <w:ind w:right="180"/>
        <w:rPr>
          <w:szCs w:val="24"/>
        </w:rPr>
      </w:pPr>
      <w:r w:rsidRPr="00225530">
        <w:rPr>
          <w:szCs w:val="24"/>
        </w:rPr>
        <w:t>PRELIMINARY STATEMENT</w:t>
      </w:r>
      <w:r w:rsidRPr="00225530">
        <w:rPr>
          <w:szCs w:val="24"/>
        </w:rPr>
        <w:tab/>
        <w:t>1</w:t>
      </w:r>
    </w:p>
    <w:p w:rsidR="008D2243" w:rsidRPr="00225530" w:rsidRDefault="008D2243" w:rsidP="008D2243">
      <w:pPr>
        <w:tabs>
          <w:tab w:val="left" w:pos="720"/>
        </w:tabs>
        <w:ind w:right="180"/>
        <w:rPr>
          <w:szCs w:val="24"/>
        </w:rPr>
      </w:pPr>
    </w:p>
    <w:p w:rsidR="008D2243" w:rsidRPr="00225530" w:rsidRDefault="008D2243" w:rsidP="003C0059">
      <w:pPr>
        <w:tabs>
          <w:tab w:val="left" w:pos="720"/>
          <w:tab w:val="right" w:leader="dot" w:pos="9360"/>
        </w:tabs>
        <w:ind w:right="180"/>
        <w:rPr>
          <w:szCs w:val="24"/>
        </w:rPr>
      </w:pPr>
      <w:r w:rsidRPr="00225530">
        <w:rPr>
          <w:szCs w:val="24"/>
        </w:rPr>
        <w:t>STATU</w:t>
      </w:r>
      <w:r>
        <w:rPr>
          <w:szCs w:val="24"/>
        </w:rPr>
        <w:t>TORY AND REGULATORY BACKGROUND</w:t>
      </w:r>
      <w:r>
        <w:rPr>
          <w:szCs w:val="24"/>
        </w:rPr>
        <w:tab/>
        <w:t>3</w:t>
      </w:r>
    </w:p>
    <w:p w:rsidR="008D2243" w:rsidRPr="00225530" w:rsidRDefault="008D2243" w:rsidP="008D2243">
      <w:pPr>
        <w:tabs>
          <w:tab w:val="left" w:pos="720"/>
          <w:tab w:val="right" w:leader="dot" w:pos="8640"/>
        </w:tabs>
        <w:ind w:right="180"/>
        <w:rPr>
          <w:szCs w:val="24"/>
        </w:rPr>
      </w:pPr>
    </w:p>
    <w:p w:rsidR="008D2243" w:rsidRPr="00225530" w:rsidRDefault="008D2243" w:rsidP="003C0059">
      <w:pPr>
        <w:tabs>
          <w:tab w:val="left" w:pos="720"/>
          <w:tab w:val="right" w:leader="dot" w:pos="9360"/>
        </w:tabs>
        <w:ind w:right="180"/>
        <w:rPr>
          <w:szCs w:val="24"/>
        </w:rPr>
      </w:pPr>
      <w:r>
        <w:rPr>
          <w:szCs w:val="24"/>
        </w:rPr>
        <w:t>A.</w:t>
      </w:r>
      <w:r>
        <w:rPr>
          <w:szCs w:val="24"/>
        </w:rPr>
        <w:tab/>
        <w:t>Title II of the ADA</w:t>
      </w:r>
      <w:r>
        <w:rPr>
          <w:szCs w:val="24"/>
        </w:rPr>
        <w:tab/>
        <w:t>3</w:t>
      </w:r>
    </w:p>
    <w:p w:rsidR="008D2243" w:rsidRPr="00225530" w:rsidRDefault="008D2243" w:rsidP="008D2243">
      <w:pPr>
        <w:tabs>
          <w:tab w:val="left" w:pos="720"/>
          <w:tab w:val="right" w:leader="dot" w:pos="8640"/>
        </w:tabs>
        <w:ind w:right="180"/>
        <w:rPr>
          <w:szCs w:val="24"/>
        </w:rPr>
      </w:pPr>
    </w:p>
    <w:p w:rsidR="008D2243" w:rsidRPr="00225530" w:rsidRDefault="008D2243" w:rsidP="003C0059">
      <w:pPr>
        <w:tabs>
          <w:tab w:val="left" w:pos="720"/>
          <w:tab w:val="right" w:leader="dot" w:pos="9360"/>
        </w:tabs>
        <w:ind w:right="180"/>
        <w:rPr>
          <w:szCs w:val="24"/>
        </w:rPr>
      </w:pPr>
      <w:r w:rsidRPr="00225530">
        <w:rPr>
          <w:szCs w:val="24"/>
        </w:rPr>
        <w:t>B.</w:t>
      </w:r>
      <w:r w:rsidRPr="00225530">
        <w:rPr>
          <w:szCs w:val="24"/>
        </w:rPr>
        <w:tab/>
      </w:r>
      <w:r w:rsidRPr="00F83D22">
        <w:rPr>
          <w:szCs w:val="24"/>
        </w:rPr>
        <w:t>The DOJ Regulations Implementing Title II of the ADA</w:t>
      </w:r>
      <w:r>
        <w:rPr>
          <w:szCs w:val="24"/>
        </w:rPr>
        <w:tab/>
        <w:t>5</w:t>
      </w:r>
    </w:p>
    <w:p w:rsidR="008D2243" w:rsidRPr="00225530" w:rsidRDefault="008D2243" w:rsidP="008D2243">
      <w:pPr>
        <w:tabs>
          <w:tab w:val="left" w:pos="720"/>
          <w:tab w:val="right" w:leader="dot" w:pos="8640"/>
        </w:tabs>
        <w:ind w:right="180"/>
        <w:rPr>
          <w:szCs w:val="24"/>
        </w:rPr>
      </w:pPr>
    </w:p>
    <w:p w:rsidR="008D2243" w:rsidRDefault="008D2243" w:rsidP="008D2243">
      <w:pPr>
        <w:tabs>
          <w:tab w:val="left" w:pos="720"/>
          <w:tab w:val="right" w:leader="dot" w:pos="8640"/>
        </w:tabs>
        <w:ind w:right="180"/>
        <w:rPr>
          <w:szCs w:val="24"/>
        </w:rPr>
      </w:pPr>
      <w:r w:rsidRPr="00225530">
        <w:rPr>
          <w:szCs w:val="24"/>
        </w:rPr>
        <w:t>C.</w:t>
      </w:r>
      <w:r w:rsidRPr="00225530">
        <w:rPr>
          <w:szCs w:val="24"/>
        </w:rPr>
        <w:tab/>
      </w:r>
      <w:r w:rsidRPr="00344DD7">
        <w:rPr>
          <w:szCs w:val="24"/>
        </w:rPr>
        <w:t xml:space="preserve">The NYPD’s Prior Agreement with the United States to Provide Auxiliary </w:t>
      </w:r>
    </w:p>
    <w:p w:rsidR="008D2243" w:rsidRPr="00225530" w:rsidRDefault="008D2243" w:rsidP="003C0059">
      <w:pPr>
        <w:tabs>
          <w:tab w:val="left" w:pos="720"/>
          <w:tab w:val="right" w:leader="dot" w:pos="9360"/>
        </w:tabs>
        <w:ind w:right="180"/>
        <w:rPr>
          <w:szCs w:val="24"/>
        </w:rPr>
      </w:pPr>
      <w:r>
        <w:rPr>
          <w:szCs w:val="24"/>
        </w:rPr>
        <w:tab/>
      </w:r>
      <w:r w:rsidRPr="00344DD7">
        <w:rPr>
          <w:szCs w:val="24"/>
        </w:rPr>
        <w:t>Aids and Services to People With Hearing Impairments</w:t>
      </w:r>
      <w:r>
        <w:rPr>
          <w:szCs w:val="24"/>
        </w:rPr>
        <w:tab/>
        <w:t>7</w:t>
      </w:r>
    </w:p>
    <w:p w:rsidR="008D2243" w:rsidRDefault="008D2243" w:rsidP="008D2243">
      <w:pPr>
        <w:tabs>
          <w:tab w:val="left" w:pos="720"/>
        </w:tabs>
        <w:ind w:right="180"/>
        <w:rPr>
          <w:szCs w:val="24"/>
        </w:rPr>
      </w:pPr>
    </w:p>
    <w:p w:rsidR="008D2243" w:rsidRPr="00225530" w:rsidRDefault="008D2243" w:rsidP="003C0059">
      <w:pPr>
        <w:tabs>
          <w:tab w:val="right" w:leader="dot" w:pos="9360"/>
        </w:tabs>
        <w:contextualSpacing/>
        <w:rPr>
          <w:szCs w:val="24"/>
        </w:rPr>
      </w:pPr>
      <w:r>
        <w:rPr>
          <w:szCs w:val="24"/>
        </w:rPr>
        <w:t>STATEMENT OF FACTS</w:t>
      </w:r>
      <w:r>
        <w:rPr>
          <w:szCs w:val="24"/>
        </w:rPr>
        <w:tab/>
      </w:r>
      <w:r w:rsidR="00F7329B">
        <w:rPr>
          <w:szCs w:val="24"/>
        </w:rPr>
        <w:t>10</w:t>
      </w:r>
    </w:p>
    <w:p w:rsidR="008D2243" w:rsidRPr="00225530" w:rsidRDefault="008D2243" w:rsidP="008D2243">
      <w:pPr>
        <w:tabs>
          <w:tab w:val="left" w:pos="720"/>
        </w:tabs>
        <w:ind w:right="180"/>
        <w:rPr>
          <w:szCs w:val="24"/>
        </w:rPr>
      </w:pPr>
    </w:p>
    <w:p w:rsidR="008D2243" w:rsidRPr="00225530" w:rsidRDefault="008D2243" w:rsidP="003C0059">
      <w:pPr>
        <w:tabs>
          <w:tab w:val="right" w:leader="dot" w:pos="9360"/>
        </w:tabs>
        <w:contextualSpacing/>
        <w:rPr>
          <w:szCs w:val="24"/>
        </w:rPr>
      </w:pPr>
      <w:r>
        <w:rPr>
          <w:szCs w:val="24"/>
        </w:rPr>
        <w:t>ARGUMENT</w:t>
      </w:r>
      <w:r>
        <w:rPr>
          <w:szCs w:val="24"/>
        </w:rPr>
        <w:tab/>
        <w:t>11</w:t>
      </w:r>
    </w:p>
    <w:p w:rsidR="008D2243" w:rsidRPr="00225530" w:rsidRDefault="008D2243" w:rsidP="008D2243">
      <w:pPr>
        <w:tabs>
          <w:tab w:val="right" w:leader="dot" w:pos="8640"/>
        </w:tabs>
        <w:contextualSpacing/>
        <w:rPr>
          <w:szCs w:val="24"/>
        </w:rPr>
      </w:pPr>
    </w:p>
    <w:p w:rsidR="008D2243" w:rsidRPr="002E6A0F" w:rsidRDefault="008D2243" w:rsidP="008D2243">
      <w:pPr>
        <w:rPr>
          <w:szCs w:val="24"/>
        </w:rPr>
      </w:pPr>
      <w:r w:rsidRPr="002E6A0F">
        <w:rPr>
          <w:szCs w:val="24"/>
        </w:rPr>
        <w:t xml:space="preserve">THE ADA APPLIES TO LAW ENFORCEMENT ACTIVITIES, </w:t>
      </w:r>
    </w:p>
    <w:p w:rsidR="008D2243" w:rsidRPr="002E6A0F" w:rsidRDefault="008D2243" w:rsidP="008D2243">
      <w:pPr>
        <w:rPr>
          <w:szCs w:val="24"/>
        </w:rPr>
      </w:pPr>
      <w:r w:rsidRPr="002E6A0F">
        <w:rPr>
          <w:szCs w:val="24"/>
        </w:rPr>
        <w:t xml:space="preserve">INCLUDING ARRESTS, </w:t>
      </w:r>
      <w:r w:rsidR="00F7329B">
        <w:rPr>
          <w:szCs w:val="24"/>
        </w:rPr>
        <w:t>AND</w:t>
      </w:r>
      <w:r w:rsidRPr="002E6A0F">
        <w:rPr>
          <w:szCs w:val="24"/>
        </w:rPr>
        <w:t xml:space="preserve"> REQUIRE</w:t>
      </w:r>
      <w:r w:rsidR="00F7329B">
        <w:rPr>
          <w:szCs w:val="24"/>
        </w:rPr>
        <w:t>S</w:t>
      </w:r>
      <w:r w:rsidRPr="002E6A0F">
        <w:rPr>
          <w:szCs w:val="24"/>
        </w:rPr>
        <w:t xml:space="preserve"> THAT OFFICERS COMMUNICATE </w:t>
      </w:r>
    </w:p>
    <w:p w:rsidR="008D2243" w:rsidRPr="00225530" w:rsidRDefault="008D2243" w:rsidP="003C0059">
      <w:pPr>
        <w:tabs>
          <w:tab w:val="right" w:leader="dot" w:pos="9360"/>
        </w:tabs>
        <w:contextualSpacing/>
        <w:jc w:val="both"/>
        <w:rPr>
          <w:szCs w:val="24"/>
        </w:rPr>
      </w:pPr>
      <w:r w:rsidRPr="002E6A0F">
        <w:rPr>
          <w:szCs w:val="24"/>
        </w:rPr>
        <w:t>EFFECTIVELY WITH PEOPLE WITH DISABILITIES</w:t>
      </w:r>
      <w:r>
        <w:rPr>
          <w:szCs w:val="24"/>
        </w:rPr>
        <w:tab/>
        <w:t>11</w:t>
      </w:r>
    </w:p>
    <w:p w:rsidR="008D2243" w:rsidRPr="00225530" w:rsidRDefault="008D2243" w:rsidP="008D2243">
      <w:pPr>
        <w:contextualSpacing/>
        <w:rPr>
          <w:szCs w:val="24"/>
        </w:rPr>
      </w:pPr>
    </w:p>
    <w:p w:rsidR="008D2243" w:rsidRDefault="008D2243" w:rsidP="008D2243">
      <w:pPr>
        <w:tabs>
          <w:tab w:val="left" w:pos="720"/>
          <w:tab w:val="left" w:pos="1440"/>
          <w:tab w:val="right" w:leader="dot" w:pos="8640"/>
        </w:tabs>
        <w:contextualSpacing/>
        <w:rPr>
          <w:szCs w:val="24"/>
        </w:rPr>
      </w:pPr>
      <w:r>
        <w:rPr>
          <w:szCs w:val="24"/>
        </w:rPr>
        <w:tab/>
      </w:r>
      <w:r w:rsidRPr="00225530">
        <w:rPr>
          <w:szCs w:val="24"/>
        </w:rPr>
        <w:t>A.</w:t>
      </w:r>
      <w:r w:rsidRPr="00225530">
        <w:rPr>
          <w:szCs w:val="24"/>
        </w:rPr>
        <w:tab/>
      </w:r>
      <w:r>
        <w:rPr>
          <w:szCs w:val="24"/>
        </w:rPr>
        <w:t xml:space="preserve">Title II Applies To All Law Enforcement Activities, </w:t>
      </w:r>
    </w:p>
    <w:p w:rsidR="008D2243" w:rsidRDefault="008D2243" w:rsidP="003C0059">
      <w:pPr>
        <w:tabs>
          <w:tab w:val="left" w:pos="720"/>
          <w:tab w:val="left" w:pos="1440"/>
          <w:tab w:val="right" w:leader="dot" w:pos="9360"/>
        </w:tabs>
        <w:contextualSpacing/>
        <w:rPr>
          <w:szCs w:val="24"/>
        </w:rPr>
      </w:pPr>
      <w:r>
        <w:rPr>
          <w:szCs w:val="24"/>
        </w:rPr>
        <w:tab/>
      </w:r>
      <w:r>
        <w:rPr>
          <w:szCs w:val="24"/>
        </w:rPr>
        <w:tab/>
        <w:t>Including Arrests</w:t>
      </w:r>
      <w:r w:rsidRPr="00225530">
        <w:rPr>
          <w:szCs w:val="24"/>
        </w:rPr>
        <w:tab/>
      </w:r>
      <w:r>
        <w:rPr>
          <w:szCs w:val="24"/>
        </w:rPr>
        <w:t>11</w:t>
      </w:r>
    </w:p>
    <w:p w:rsidR="008D2243" w:rsidRDefault="008D2243" w:rsidP="008D2243">
      <w:pPr>
        <w:tabs>
          <w:tab w:val="left" w:pos="720"/>
          <w:tab w:val="left" w:pos="1440"/>
          <w:tab w:val="right" w:leader="dot" w:pos="8640"/>
        </w:tabs>
        <w:contextualSpacing/>
        <w:rPr>
          <w:szCs w:val="24"/>
        </w:rPr>
      </w:pPr>
    </w:p>
    <w:p w:rsidR="008D2243" w:rsidRPr="00BC16FC" w:rsidRDefault="008D2243" w:rsidP="008D2243">
      <w:pPr>
        <w:contextualSpacing/>
        <w:rPr>
          <w:rFonts w:ascii="CenturyExpandedBT-Roman" w:eastAsia="Calibri" w:hAnsi="CenturyExpandedBT-Roman" w:cs="CenturyExpandedBT-Roman"/>
          <w:szCs w:val="24"/>
        </w:rPr>
      </w:pPr>
      <w:r>
        <w:rPr>
          <w:szCs w:val="24"/>
        </w:rPr>
        <w:tab/>
      </w:r>
      <w:r>
        <w:rPr>
          <w:szCs w:val="24"/>
        </w:rPr>
        <w:tab/>
        <w:t>1</w:t>
      </w:r>
      <w:r w:rsidRPr="00225530">
        <w:rPr>
          <w:szCs w:val="24"/>
        </w:rPr>
        <w:t>.</w:t>
      </w:r>
      <w:r w:rsidRPr="00225530">
        <w:rPr>
          <w:szCs w:val="24"/>
        </w:rPr>
        <w:tab/>
      </w:r>
      <w:r w:rsidRPr="00BC16FC">
        <w:rPr>
          <w:rFonts w:ascii="CenturyExpandedBT-Roman" w:eastAsia="Calibri" w:hAnsi="CenturyExpandedBT-Roman" w:cs="CenturyExpandedBT-Roman"/>
          <w:szCs w:val="24"/>
        </w:rPr>
        <w:t xml:space="preserve">The Language of the Statute, and the Department of Justice </w:t>
      </w:r>
      <w:r w:rsidRPr="00BC16FC">
        <w:rPr>
          <w:rFonts w:ascii="CenturyExpandedBT-Roman" w:eastAsia="Calibri" w:hAnsi="CenturyExpandedBT-Roman" w:cs="CenturyExpandedBT-Roman"/>
          <w:szCs w:val="24"/>
        </w:rPr>
        <w:tab/>
      </w:r>
      <w:r w:rsidRPr="00BC16FC">
        <w:rPr>
          <w:rFonts w:ascii="CenturyExpandedBT-Roman" w:eastAsia="Calibri" w:hAnsi="CenturyExpandedBT-Roman" w:cs="CenturyExpandedBT-Roman"/>
          <w:szCs w:val="24"/>
        </w:rPr>
        <w:tab/>
      </w:r>
      <w:r w:rsidRPr="00BC16FC">
        <w:rPr>
          <w:rFonts w:ascii="CenturyExpandedBT-Roman" w:eastAsia="Calibri" w:hAnsi="CenturyExpandedBT-Roman" w:cs="CenturyExpandedBT-Roman"/>
          <w:szCs w:val="24"/>
        </w:rPr>
        <w:tab/>
      </w:r>
      <w:r w:rsidRPr="00BC16FC">
        <w:rPr>
          <w:rFonts w:ascii="CenturyExpandedBT-Roman" w:eastAsia="Calibri" w:hAnsi="CenturyExpandedBT-Roman" w:cs="CenturyExpandedBT-Roman"/>
          <w:szCs w:val="24"/>
        </w:rPr>
        <w:tab/>
      </w:r>
      <w:r w:rsidRPr="00BC16FC">
        <w:rPr>
          <w:rFonts w:ascii="CenturyExpandedBT-Roman" w:eastAsia="Calibri" w:hAnsi="CenturyExpandedBT-Roman" w:cs="CenturyExpandedBT-Roman"/>
          <w:szCs w:val="24"/>
        </w:rPr>
        <w:tab/>
        <w:t xml:space="preserve">Regulations and Guidance, Make Plain That Title II </w:t>
      </w:r>
    </w:p>
    <w:p w:rsidR="008D2243" w:rsidRPr="00225530" w:rsidRDefault="008D2243" w:rsidP="003C0059">
      <w:pPr>
        <w:tabs>
          <w:tab w:val="left" w:pos="720"/>
          <w:tab w:val="left" w:pos="1440"/>
          <w:tab w:val="right" w:leader="dot" w:pos="9360"/>
        </w:tabs>
        <w:contextualSpacing/>
        <w:rPr>
          <w:szCs w:val="24"/>
        </w:rPr>
      </w:pPr>
      <w:r w:rsidRPr="00BC16FC">
        <w:rPr>
          <w:rFonts w:ascii="CenturyExpandedBT-Roman" w:eastAsia="Calibri" w:hAnsi="CenturyExpandedBT-Roman" w:cs="CenturyExpandedBT-Roman"/>
          <w:szCs w:val="24"/>
        </w:rPr>
        <w:tab/>
      </w:r>
      <w:r w:rsidRPr="00BC16FC">
        <w:rPr>
          <w:rFonts w:ascii="CenturyExpandedBT-Roman" w:eastAsia="Calibri" w:hAnsi="CenturyExpandedBT-Roman" w:cs="CenturyExpandedBT-Roman"/>
          <w:szCs w:val="24"/>
        </w:rPr>
        <w:tab/>
        <w:t xml:space="preserve">            Applies to Arrests</w:t>
      </w:r>
      <w:r>
        <w:rPr>
          <w:szCs w:val="24"/>
        </w:rPr>
        <w:tab/>
        <w:t>11</w:t>
      </w:r>
    </w:p>
    <w:p w:rsidR="008D2243" w:rsidRDefault="008D2243" w:rsidP="008D2243">
      <w:pPr>
        <w:tabs>
          <w:tab w:val="left" w:pos="720"/>
          <w:tab w:val="left" w:pos="1440"/>
          <w:tab w:val="right" w:leader="dot" w:pos="8640"/>
        </w:tabs>
        <w:contextualSpacing/>
        <w:rPr>
          <w:szCs w:val="24"/>
        </w:rPr>
      </w:pPr>
    </w:p>
    <w:p w:rsidR="008D2243" w:rsidRPr="00AB78E9" w:rsidRDefault="008D2243" w:rsidP="008D2243">
      <w:pPr>
        <w:tabs>
          <w:tab w:val="left" w:pos="720"/>
          <w:tab w:val="left" w:pos="1440"/>
          <w:tab w:val="right" w:leader="dot" w:pos="8640"/>
        </w:tabs>
        <w:contextualSpacing/>
        <w:rPr>
          <w:rFonts w:ascii="CenturyExpandedBT-Bold" w:eastAsia="Calibri" w:hAnsi="CenturyExpandedBT-Bold" w:cs="CenturyExpandedBT-Bold"/>
          <w:bCs/>
          <w:szCs w:val="24"/>
        </w:rPr>
      </w:pPr>
      <w:r>
        <w:rPr>
          <w:szCs w:val="24"/>
        </w:rPr>
        <w:tab/>
      </w:r>
      <w:r>
        <w:rPr>
          <w:szCs w:val="24"/>
        </w:rPr>
        <w:tab/>
      </w:r>
      <w:r w:rsidRPr="00AB78E9">
        <w:rPr>
          <w:szCs w:val="24"/>
        </w:rPr>
        <w:t xml:space="preserve">2.         </w:t>
      </w:r>
      <w:r w:rsidRPr="00AB78E9">
        <w:rPr>
          <w:rFonts w:ascii="CenturyExpandedBT-Bold" w:eastAsia="Calibri" w:hAnsi="CenturyExpandedBT-Bold" w:cs="CenturyExpandedBT-Bold"/>
          <w:bCs/>
          <w:szCs w:val="24"/>
        </w:rPr>
        <w:t xml:space="preserve">Defendant’s Assertion that Arrests Do Not Fall Within </w:t>
      </w:r>
    </w:p>
    <w:p w:rsidR="008D2243" w:rsidRPr="00AB78E9" w:rsidRDefault="008D2243" w:rsidP="003C0059">
      <w:pPr>
        <w:tabs>
          <w:tab w:val="left" w:pos="720"/>
          <w:tab w:val="left" w:pos="1440"/>
          <w:tab w:val="right" w:leader="dot" w:pos="9360"/>
        </w:tabs>
        <w:contextualSpacing/>
        <w:rPr>
          <w:szCs w:val="24"/>
        </w:rPr>
      </w:pPr>
      <w:r w:rsidRPr="00AB78E9">
        <w:rPr>
          <w:rFonts w:ascii="CenturyExpandedBT-Bold" w:eastAsia="Calibri" w:hAnsi="CenturyExpandedBT-Bold" w:cs="CenturyExpandedBT-Bold"/>
          <w:bCs/>
          <w:szCs w:val="24"/>
        </w:rPr>
        <w:tab/>
      </w:r>
      <w:r w:rsidRPr="00AB78E9">
        <w:rPr>
          <w:rFonts w:ascii="CenturyExpandedBT-Bold" w:eastAsia="Calibri" w:hAnsi="CenturyExpandedBT-Bold" w:cs="CenturyExpandedBT-Bold"/>
          <w:bCs/>
          <w:szCs w:val="24"/>
        </w:rPr>
        <w:tab/>
        <w:t xml:space="preserve">            the Scope of Title II Is Clearly Erroneous</w:t>
      </w:r>
      <w:r>
        <w:rPr>
          <w:szCs w:val="24"/>
        </w:rPr>
        <w:tab/>
        <w:t>15</w:t>
      </w:r>
    </w:p>
    <w:p w:rsidR="008D2243" w:rsidRPr="00AB78E9" w:rsidRDefault="008D2243" w:rsidP="008D2243">
      <w:pPr>
        <w:tabs>
          <w:tab w:val="left" w:pos="720"/>
          <w:tab w:val="left" w:pos="1440"/>
          <w:tab w:val="right" w:leader="dot" w:pos="8640"/>
        </w:tabs>
        <w:contextualSpacing/>
        <w:rPr>
          <w:szCs w:val="24"/>
        </w:rPr>
      </w:pPr>
    </w:p>
    <w:p w:rsidR="008D2243" w:rsidRDefault="008D2243" w:rsidP="008D2243">
      <w:pPr>
        <w:tabs>
          <w:tab w:val="left" w:pos="720"/>
          <w:tab w:val="left" w:pos="1440"/>
          <w:tab w:val="right" w:leader="dot" w:pos="8640"/>
        </w:tabs>
        <w:contextualSpacing/>
        <w:rPr>
          <w:rFonts w:ascii="CenturyExpandedBT-Bold" w:eastAsia="Calibri" w:hAnsi="CenturyExpandedBT-Bold" w:cs="CenturyExpandedBT-Bold"/>
          <w:bCs/>
          <w:szCs w:val="24"/>
        </w:rPr>
      </w:pPr>
      <w:r w:rsidRPr="00AB78E9">
        <w:rPr>
          <w:szCs w:val="24"/>
        </w:rPr>
        <w:tab/>
        <w:t>B.</w:t>
      </w:r>
      <w:r w:rsidRPr="00AB78E9">
        <w:rPr>
          <w:szCs w:val="24"/>
        </w:rPr>
        <w:tab/>
      </w:r>
      <w:r w:rsidRPr="00AB78E9">
        <w:rPr>
          <w:rFonts w:ascii="CenturyExpandedBT-Bold" w:eastAsia="Calibri" w:hAnsi="CenturyExpandedBT-Bold" w:cs="CenturyExpandedBT-Bold"/>
          <w:bCs/>
          <w:szCs w:val="24"/>
        </w:rPr>
        <w:t xml:space="preserve">Title II Requires Law Enforcement Entities To </w:t>
      </w:r>
      <w:r>
        <w:rPr>
          <w:rFonts w:ascii="CenturyExpandedBT-Bold" w:eastAsia="Calibri" w:hAnsi="CenturyExpandedBT-Bold" w:cs="CenturyExpandedBT-Bold"/>
          <w:bCs/>
          <w:szCs w:val="24"/>
        </w:rPr>
        <w:t xml:space="preserve">Provide Effective </w:t>
      </w:r>
    </w:p>
    <w:p w:rsidR="008D2243" w:rsidRPr="00AB78E9" w:rsidRDefault="008D2243" w:rsidP="003C0059">
      <w:pPr>
        <w:tabs>
          <w:tab w:val="left" w:pos="720"/>
          <w:tab w:val="left" w:pos="1440"/>
          <w:tab w:val="right" w:leader="dot" w:pos="9360"/>
        </w:tabs>
        <w:contextualSpacing/>
        <w:rPr>
          <w:rFonts w:ascii="CenturyExpandedBT-Bold" w:eastAsia="Calibri" w:hAnsi="CenturyExpandedBT-Bold" w:cs="CenturyExpandedBT-Bold"/>
          <w:bCs/>
          <w:szCs w:val="24"/>
        </w:rPr>
      </w:pPr>
      <w:r>
        <w:rPr>
          <w:rFonts w:ascii="CenturyExpandedBT-Bold" w:eastAsia="Calibri" w:hAnsi="CenturyExpandedBT-Bold" w:cs="CenturyExpandedBT-Bold"/>
          <w:bCs/>
          <w:szCs w:val="24"/>
        </w:rPr>
        <w:tab/>
      </w:r>
      <w:r>
        <w:rPr>
          <w:rFonts w:ascii="CenturyExpandedBT-Bold" w:eastAsia="Calibri" w:hAnsi="CenturyExpandedBT-Bold" w:cs="CenturyExpandedBT-Bold"/>
          <w:bCs/>
          <w:szCs w:val="24"/>
        </w:rPr>
        <w:tab/>
        <w:t xml:space="preserve">Communication </w:t>
      </w:r>
      <w:r w:rsidRPr="00AB78E9">
        <w:rPr>
          <w:rFonts w:ascii="CenturyExpandedBT-Bold" w:eastAsia="Calibri" w:hAnsi="CenturyExpandedBT-Bold" w:cs="CenturyExpandedBT-Bold"/>
          <w:bCs/>
          <w:szCs w:val="24"/>
        </w:rPr>
        <w:t>When Arresting An Individual With a Disab</w:t>
      </w:r>
      <w:r>
        <w:rPr>
          <w:rFonts w:ascii="CenturyExpandedBT-Bold" w:eastAsia="Calibri" w:hAnsi="CenturyExpandedBT-Bold" w:cs="CenturyExpandedBT-Bold"/>
          <w:bCs/>
          <w:szCs w:val="24"/>
        </w:rPr>
        <w:t xml:space="preserve">ility </w:t>
      </w:r>
      <w:r>
        <w:rPr>
          <w:szCs w:val="24"/>
        </w:rPr>
        <w:tab/>
        <w:t>18</w:t>
      </w:r>
    </w:p>
    <w:p w:rsidR="008D2243" w:rsidRDefault="008D2243" w:rsidP="008D2243">
      <w:pPr>
        <w:contextualSpacing/>
        <w:rPr>
          <w:szCs w:val="24"/>
        </w:rPr>
      </w:pPr>
    </w:p>
    <w:p w:rsidR="008D2243" w:rsidRPr="00807D60" w:rsidRDefault="008D2243" w:rsidP="008D2243">
      <w:pPr>
        <w:rPr>
          <w:rFonts w:ascii="CenturyExpandedBT-Bold" w:eastAsia="Calibri" w:hAnsi="CenturyExpandedBT-Bold" w:cs="CenturyExpandedBT-Bold"/>
          <w:bCs/>
          <w:szCs w:val="24"/>
        </w:rPr>
      </w:pPr>
      <w:r>
        <w:rPr>
          <w:szCs w:val="24"/>
        </w:rPr>
        <w:tab/>
      </w:r>
      <w:r>
        <w:rPr>
          <w:szCs w:val="24"/>
        </w:rPr>
        <w:tab/>
        <w:t xml:space="preserve">1.        </w:t>
      </w:r>
      <w:r w:rsidRPr="00807D60">
        <w:rPr>
          <w:szCs w:val="24"/>
        </w:rPr>
        <w:t xml:space="preserve"> </w:t>
      </w:r>
      <w:r w:rsidRPr="00AB78E9">
        <w:rPr>
          <w:rFonts w:ascii="CenturyExpandedBT-Roman" w:eastAsia="Calibri" w:hAnsi="CenturyExpandedBT-Roman" w:cs="CenturyExpandedBT-Roman"/>
          <w:szCs w:val="24"/>
        </w:rPr>
        <w:t xml:space="preserve">The Language of the Statute, and the Department of Justice </w:t>
      </w:r>
      <w:r w:rsidRPr="00AB78E9">
        <w:rPr>
          <w:rFonts w:ascii="CenturyExpandedBT-Roman" w:eastAsia="Calibri" w:hAnsi="CenturyExpandedBT-Roman" w:cs="CenturyExpandedBT-Roman"/>
          <w:szCs w:val="24"/>
        </w:rPr>
        <w:tab/>
      </w:r>
      <w:r w:rsidRPr="00AB78E9">
        <w:rPr>
          <w:rFonts w:ascii="CenturyExpandedBT-Roman" w:eastAsia="Calibri" w:hAnsi="CenturyExpandedBT-Roman" w:cs="CenturyExpandedBT-Roman"/>
          <w:szCs w:val="24"/>
        </w:rPr>
        <w:tab/>
      </w:r>
      <w:r w:rsidRPr="00AB78E9">
        <w:rPr>
          <w:rFonts w:ascii="CenturyExpandedBT-Roman" w:eastAsia="Calibri" w:hAnsi="CenturyExpandedBT-Roman" w:cs="CenturyExpandedBT-Roman"/>
          <w:szCs w:val="24"/>
        </w:rPr>
        <w:tab/>
      </w:r>
      <w:r w:rsidRPr="00AB78E9">
        <w:rPr>
          <w:rFonts w:ascii="CenturyExpandedBT-Roman" w:eastAsia="Calibri" w:hAnsi="CenturyExpandedBT-Roman" w:cs="CenturyExpandedBT-Roman"/>
          <w:szCs w:val="24"/>
        </w:rPr>
        <w:tab/>
      </w:r>
      <w:r w:rsidRPr="00AB78E9">
        <w:rPr>
          <w:rFonts w:ascii="CenturyExpandedBT-Roman" w:eastAsia="Calibri" w:hAnsi="CenturyExpandedBT-Roman" w:cs="CenturyExpandedBT-Roman"/>
          <w:szCs w:val="24"/>
        </w:rPr>
        <w:tab/>
        <w:t xml:space="preserve">Regulations and Guidance, as Well as the Settlement </w:t>
      </w:r>
      <w:r>
        <w:rPr>
          <w:rFonts w:ascii="CenturyExpandedBT-Roman" w:eastAsia="Calibri" w:hAnsi="CenturyExpandedBT-Roman" w:cs="CenturyExpandedBT-Roman"/>
          <w:szCs w:val="24"/>
        </w:rPr>
        <w:t>Agreement,</w:t>
      </w:r>
      <w:r w:rsidRPr="00807D60">
        <w:rPr>
          <w:rFonts w:ascii="CenturyExpandedBT-Bold" w:eastAsia="Calibri" w:hAnsi="CenturyExpandedBT-Bold" w:cs="CenturyExpandedBT-Bold"/>
          <w:bCs/>
          <w:szCs w:val="24"/>
        </w:rPr>
        <w:t xml:space="preserve"> </w:t>
      </w:r>
    </w:p>
    <w:p w:rsidR="008D2243" w:rsidRPr="00AB78E9" w:rsidRDefault="008D2243" w:rsidP="003C0059">
      <w:pPr>
        <w:tabs>
          <w:tab w:val="left" w:pos="720"/>
          <w:tab w:val="left" w:pos="1440"/>
          <w:tab w:val="right" w:leader="dot" w:pos="9360"/>
        </w:tabs>
        <w:contextualSpacing/>
        <w:rPr>
          <w:rFonts w:ascii="CenturyExpandedBT-Bold" w:eastAsia="Calibri" w:hAnsi="CenturyExpandedBT-Bold" w:cs="CenturyExpandedBT-Bold"/>
          <w:bCs/>
          <w:szCs w:val="24"/>
        </w:rPr>
      </w:pPr>
      <w:r w:rsidRPr="00807D60">
        <w:rPr>
          <w:rFonts w:ascii="CenturyExpandedBT-Bold" w:eastAsia="Calibri" w:hAnsi="CenturyExpandedBT-Bold" w:cs="CenturyExpandedBT-Bold"/>
          <w:bCs/>
          <w:szCs w:val="24"/>
        </w:rPr>
        <w:tab/>
      </w:r>
      <w:r w:rsidRPr="00807D60">
        <w:rPr>
          <w:rFonts w:ascii="CenturyExpandedBT-Bold" w:eastAsia="Calibri" w:hAnsi="CenturyExpandedBT-Bold" w:cs="CenturyExpandedBT-Bold"/>
          <w:bCs/>
          <w:szCs w:val="24"/>
        </w:rPr>
        <w:tab/>
        <w:t xml:space="preserve">            </w:t>
      </w:r>
      <w:r>
        <w:rPr>
          <w:rFonts w:ascii="CenturyExpandedBT-Roman" w:eastAsia="Calibri" w:hAnsi="CenturyExpandedBT-Roman" w:cs="CenturyExpandedBT-Roman"/>
          <w:szCs w:val="24"/>
        </w:rPr>
        <w:t>Require the Provision of Effective Communication</w:t>
      </w:r>
      <w:r w:rsidRPr="00807D60">
        <w:rPr>
          <w:rFonts w:ascii="CenturyExpandedBT-Bold" w:eastAsia="Calibri" w:hAnsi="CenturyExpandedBT-Bold" w:cs="CenturyExpandedBT-Bold"/>
          <w:bCs/>
          <w:szCs w:val="24"/>
        </w:rPr>
        <w:t xml:space="preserve">  </w:t>
      </w:r>
      <w:r>
        <w:rPr>
          <w:szCs w:val="24"/>
        </w:rPr>
        <w:tab/>
        <w:t>1</w:t>
      </w:r>
      <w:r w:rsidR="00C92C0C">
        <w:rPr>
          <w:szCs w:val="24"/>
        </w:rPr>
        <w:t>8</w:t>
      </w:r>
    </w:p>
    <w:p w:rsidR="008D2243" w:rsidRPr="00AB78E9" w:rsidRDefault="008D2243" w:rsidP="008D2243">
      <w:pPr>
        <w:contextualSpacing/>
        <w:rPr>
          <w:szCs w:val="24"/>
        </w:rPr>
      </w:pPr>
    </w:p>
    <w:p w:rsidR="008D2243" w:rsidRPr="00807D60" w:rsidRDefault="008D2243" w:rsidP="008D2243">
      <w:pPr>
        <w:rPr>
          <w:rFonts w:ascii="CenturyExpandedBT-Bold" w:eastAsia="Calibri" w:hAnsi="CenturyExpandedBT-Bold" w:cs="CenturyExpandedBT-Bold"/>
          <w:bCs/>
          <w:szCs w:val="24"/>
        </w:rPr>
      </w:pPr>
      <w:r>
        <w:rPr>
          <w:szCs w:val="24"/>
        </w:rPr>
        <w:tab/>
      </w:r>
      <w:r>
        <w:rPr>
          <w:szCs w:val="24"/>
        </w:rPr>
        <w:tab/>
        <w:t xml:space="preserve">2.        </w:t>
      </w:r>
      <w:r w:rsidRPr="00807D60">
        <w:rPr>
          <w:szCs w:val="24"/>
        </w:rPr>
        <w:t xml:space="preserve"> </w:t>
      </w:r>
      <w:r w:rsidRPr="00807D60">
        <w:rPr>
          <w:rFonts w:ascii="CenturyExpandedBT-Bold" w:eastAsia="Calibri" w:hAnsi="CenturyExpandedBT-Bold" w:cs="CenturyExpandedBT-Bold"/>
          <w:bCs/>
          <w:szCs w:val="24"/>
        </w:rPr>
        <w:t xml:space="preserve">Defendant’s Argument That A Categorical Exclusion </w:t>
      </w:r>
    </w:p>
    <w:p w:rsidR="008D2243" w:rsidRPr="00AB78E9" w:rsidRDefault="008D2243" w:rsidP="003C0059">
      <w:pPr>
        <w:tabs>
          <w:tab w:val="left" w:pos="720"/>
          <w:tab w:val="left" w:pos="1440"/>
          <w:tab w:val="right" w:leader="dot" w:pos="9360"/>
        </w:tabs>
        <w:contextualSpacing/>
        <w:rPr>
          <w:rFonts w:ascii="CenturyExpandedBT-Bold" w:eastAsia="Calibri" w:hAnsi="CenturyExpandedBT-Bold" w:cs="CenturyExpandedBT-Bold"/>
          <w:bCs/>
          <w:szCs w:val="24"/>
        </w:rPr>
      </w:pPr>
      <w:r w:rsidRPr="00807D60">
        <w:rPr>
          <w:rFonts w:ascii="CenturyExpandedBT-Bold" w:eastAsia="Calibri" w:hAnsi="CenturyExpandedBT-Bold" w:cs="CenturyExpandedBT-Bold"/>
          <w:bCs/>
          <w:szCs w:val="24"/>
        </w:rPr>
        <w:tab/>
      </w:r>
      <w:r w:rsidRPr="00807D60">
        <w:rPr>
          <w:rFonts w:ascii="CenturyExpandedBT-Bold" w:eastAsia="Calibri" w:hAnsi="CenturyExpandedBT-Bold" w:cs="CenturyExpandedBT-Bold"/>
          <w:bCs/>
          <w:szCs w:val="24"/>
        </w:rPr>
        <w:tab/>
        <w:t xml:space="preserve">            Exists for “Exigent Circumstances” Is </w:t>
      </w:r>
      <w:r>
        <w:rPr>
          <w:rFonts w:ascii="CenturyExpandedBT-Bold" w:eastAsia="Calibri" w:hAnsi="CenturyExpandedBT-Bold" w:cs="CenturyExpandedBT-Bold"/>
          <w:bCs/>
          <w:szCs w:val="24"/>
        </w:rPr>
        <w:t>Incorrect</w:t>
      </w:r>
      <w:r w:rsidRPr="00807D60">
        <w:rPr>
          <w:rFonts w:ascii="CenturyExpandedBT-Bold" w:eastAsia="Calibri" w:hAnsi="CenturyExpandedBT-Bold" w:cs="CenturyExpandedBT-Bold"/>
          <w:bCs/>
          <w:szCs w:val="24"/>
        </w:rPr>
        <w:t xml:space="preserve"> </w:t>
      </w:r>
      <w:r>
        <w:rPr>
          <w:szCs w:val="24"/>
        </w:rPr>
        <w:tab/>
        <w:t>21</w:t>
      </w:r>
    </w:p>
    <w:p w:rsidR="008D2243" w:rsidRPr="00225530" w:rsidRDefault="008D2243" w:rsidP="008D2243">
      <w:pPr>
        <w:rPr>
          <w:szCs w:val="24"/>
        </w:rPr>
      </w:pPr>
      <w:r>
        <w:rPr>
          <w:rFonts w:ascii="CenturyExpandedBT-Bold" w:eastAsia="Calibri" w:hAnsi="CenturyExpandedBT-Bold" w:cs="CenturyExpandedBT-Bold"/>
          <w:bCs/>
          <w:szCs w:val="24"/>
        </w:rPr>
        <w:tab/>
      </w:r>
      <w:r>
        <w:rPr>
          <w:szCs w:val="24"/>
        </w:rPr>
        <w:tab/>
      </w:r>
    </w:p>
    <w:p w:rsidR="008D2243" w:rsidRPr="00807D60" w:rsidRDefault="008D2243" w:rsidP="008D2243">
      <w:pPr>
        <w:tabs>
          <w:tab w:val="left" w:pos="720"/>
          <w:tab w:val="left" w:pos="1440"/>
          <w:tab w:val="right" w:leader="dot" w:pos="8640"/>
        </w:tabs>
        <w:contextualSpacing/>
        <w:rPr>
          <w:rFonts w:ascii="CenturyExpandedBT-Bold" w:eastAsia="Calibri" w:hAnsi="CenturyExpandedBT-Bold" w:cs="CenturyExpandedBT-Bold"/>
          <w:bCs/>
          <w:szCs w:val="24"/>
        </w:rPr>
      </w:pPr>
      <w:r>
        <w:rPr>
          <w:szCs w:val="24"/>
        </w:rPr>
        <w:tab/>
      </w:r>
      <w:r w:rsidRPr="00225530">
        <w:rPr>
          <w:szCs w:val="24"/>
        </w:rPr>
        <w:t xml:space="preserve">C. </w:t>
      </w:r>
      <w:r w:rsidRPr="00225530">
        <w:rPr>
          <w:szCs w:val="24"/>
        </w:rPr>
        <w:tab/>
      </w:r>
      <w:r w:rsidRPr="00807D60">
        <w:rPr>
          <w:rFonts w:ascii="CenturyExpandedBT-Bold" w:eastAsia="Calibri" w:hAnsi="CenturyExpandedBT-Bold" w:cs="CenturyExpandedBT-Bold"/>
          <w:bCs/>
          <w:szCs w:val="24"/>
        </w:rPr>
        <w:t>Because There Are Genuine Issues of Material Fact</w:t>
      </w:r>
      <w:r>
        <w:rPr>
          <w:rFonts w:ascii="CenturyExpandedBT-Bold" w:eastAsia="Calibri" w:hAnsi="CenturyExpandedBT-Bold" w:cs="CenturyExpandedBT-Bold"/>
          <w:bCs/>
          <w:szCs w:val="24"/>
        </w:rPr>
        <w:t>,</w:t>
      </w:r>
    </w:p>
    <w:p w:rsidR="008D2243" w:rsidRPr="00225530" w:rsidRDefault="008D2243" w:rsidP="003C0059">
      <w:pPr>
        <w:tabs>
          <w:tab w:val="left" w:pos="720"/>
          <w:tab w:val="left" w:pos="1440"/>
          <w:tab w:val="right" w:leader="dot" w:pos="9360"/>
        </w:tabs>
        <w:contextualSpacing/>
        <w:rPr>
          <w:szCs w:val="24"/>
        </w:rPr>
      </w:pPr>
      <w:r>
        <w:rPr>
          <w:rFonts w:ascii="CenturyExpandedBT-Bold" w:eastAsia="Calibri" w:hAnsi="CenturyExpandedBT-Bold" w:cs="CenturyExpandedBT-Bold"/>
          <w:bCs/>
          <w:szCs w:val="24"/>
        </w:rPr>
        <w:tab/>
      </w:r>
      <w:r>
        <w:rPr>
          <w:rFonts w:ascii="CenturyExpandedBT-Bold" w:eastAsia="Calibri" w:hAnsi="CenturyExpandedBT-Bold" w:cs="CenturyExpandedBT-Bold"/>
          <w:bCs/>
          <w:szCs w:val="24"/>
        </w:rPr>
        <w:tab/>
      </w:r>
      <w:r w:rsidRPr="00807D60">
        <w:rPr>
          <w:rFonts w:ascii="CenturyExpandedBT-Bold" w:eastAsia="Calibri" w:hAnsi="CenturyExpandedBT-Bold" w:cs="CenturyExpandedBT-Bold"/>
          <w:bCs/>
          <w:szCs w:val="24"/>
        </w:rPr>
        <w:t>Summary Judgment Should be Denied</w:t>
      </w:r>
      <w:r w:rsidRPr="00807D60">
        <w:rPr>
          <w:szCs w:val="24"/>
        </w:rPr>
        <w:t xml:space="preserve"> </w:t>
      </w:r>
      <w:r w:rsidRPr="00225530">
        <w:rPr>
          <w:szCs w:val="24"/>
        </w:rPr>
        <w:tab/>
      </w:r>
      <w:r>
        <w:rPr>
          <w:szCs w:val="24"/>
        </w:rPr>
        <w:t>22</w:t>
      </w:r>
      <w:r w:rsidRPr="00225530">
        <w:rPr>
          <w:szCs w:val="24"/>
        </w:rPr>
        <w:tab/>
      </w:r>
    </w:p>
    <w:p w:rsidR="008D2243" w:rsidRPr="00225530" w:rsidRDefault="008D2243" w:rsidP="008D2243">
      <w:pPr>
        <w:contextualSpacing/>
        <w:rPr>
          <w:szCs w:val="24"/>
        </w:rPr>
      </w:pPr>
    </w:p>
    <w:p w:rsidR="008D2243" w:rsidRPr="00225530" w:rsidRDefault="008D2243" w:rsidP="003C0059">
      <w:pPr>
        <w:tabs>
          <w:tab w:val="left" w:pos="720"/>
          <w:tab w:val="left" w:pos="1440"/>
          <w:tab w:val="right" w:leader="dot" w:pos="9360"/>
        </w:tabs>
        <w:contextualSpacing/>
        <w:rPr>
          <w:szCs w:val="24"/>
        </w:rPr>
      </w:pPr>
      <w:r w:rsidRPr="00225530">
        <w:rPr>
          <w:szCs w:val="24"/>
        </w:rPr>
        <w:t>CONCLUSION</w:t>
      </w:r>
      <w:r w:rsidRPr="00225530">
        <w:rPr>
          <w:szCs w:val="24"/>
        </w:rPr>
        <w:tab/>
        <w:t>25</w:t>
      </w:r>
    </w:p>
    <w:p w:rsidR="008D2243" w:rsidRPr="00225530" w:rsidRDefault="008D2243" w:rsidP="008D2243">
      <w:pPr>
        <w:jc w:val="center"/>
        <w:rPr>
          <w:szCs w:val="24"/>
        </w:rPr>
      </w:pPr>
      <w:r w:rsidRPr="00225530">
        <w:rPr>
          <w:szCs w:val="24"/>
        </w:rPr>
        <w:br w:type="page"/>
      </w:r>
      <w:r w:rsidRPr="00225530">
        <w:rPr>
          <w:b/>
          <w:bCs/>
          <w:szCs w:val="24"/>
        </w:rPr>
        <w:lastRenderedPageBreak/>
        <w:t>TABLE OF AUTHORITIES</w:t>
      </w:r>
    </w:p>
    <w:p w:rsidR="008D2243" w:rsidRPr="00225530" w:rsidRDefault="008D2243" w:rsidP="008D2243">
      <w:pPr>
        <w:rPr>
          <w:szCs w:val="24"/>
        </w:rPr>
      </w:pPr>
    </w:p>
    <w:p w:rsidR="008D2243" w:rsidRPr="00225530" w:rsidRDefault="008D2243" w:rsidP="008D2243">
      <w:pPr>
        <w:rPr>
          <w:szCs w:val="24"/>
        </w:rPr>
      </w:pPr>
      <w:r w:rsidRPr="00225530">
        <w:rPr>
          <w:b/>
          <w:bCs/>
          <w:szCs w:val="24"/>
        </w:rPr>
        <w:t>CASES</w:t>
      </w:r>
      <w:r w:rsidRPr="00225530">
        <w:rPr>
          <w:b/>
          <w:bCs/>
          <w:szCs w:val="24"/>
        </w:rPr>
        <w:tab/>
      </w:r>
      <w:r w:rsidRPr="00225530">
        <w:rPr>
          <w:b/>
          <w:bCs/>
          <w:szCs w:val="24"/>
        </w:rPr>
        <w:tab/>
      </w:r>
      <w:r w:rsidRPr="00225530">
        <w:rPr>
          <w:b/>
          <w:bCs/>
          <w:szCs w:val="24"/>
        </w:rPr>
        <w:tab/>
      </w:r>
      <w:r w:rsidRPr="00225530">
        <w:rPr>
          <w:b/>
          <w:bCs/>
          <w:szCs w:val="24"/>
        </w:rPr>
        <w:tab/>
      </w:r>
      <w:r w:rsidRPr="00225530">
        <w:rPr>
          <w:b/>
          <w:bCs/>
          <w:szCs w:val="24"/>
        </w:rPr>
        <w:tab/>
      </w:r>
      <w:r w:rsidRPr="00225530">
        <w:rPr>
          <w:b/>
          <w:bCs/>
          <w:szCs w:val="24"/>
        </w:rPr>
        <w:tab/>
      </w:r>
      <w:r w:rsidRPr="00225530">
        <w:rPr>
          <w:b/>
          <w:bCs/>
          <w:szCs w:val="24"/>
        </w:rPr>
        <w:tab/>
      </w:r>
      <w:r w:rsidRPr="00225530">
        <w:rPr>
          <w:b/>
          <w:bCs/>
          <w:szCs w:val="24"/>
        </w:rPr>
        <w:tab/>
      </w:r>
      <w:r w:rsidRPr="00225530">
        <w:rPr>
          <w:b/>
          <w:bCs/>
          <w:szCs w:val="24"/>
        </w:rPr>
        <w:tab/>
      </w:r>
      <w:r w:rsidRPr="00225530">
        <w:rPr>
          <w:b/>
          <w:bCs/>
          <w:szCs w:val="24"/>
        </w:rPr>
        <w:tab/>
      </w:r>
      <w:r w:rsidRPr="00225530">
        <w:rPr>
          <w:b/>
          <w:bCs/>
          <w:szCs w:val="24"/>
        </w:rPr>
        <w:tab/>
        <w:t>PAGE</w:t>
      </w:r>
    </w:p>
    <w:p w:rsidR="008D2243" w:rsidRPr="00225530" w:rsidRDefault="008D2243" w:rsidP="008D2243">
      <w:pPr>
        <w:rPr>
          <w:szCs w:val="24"/>
        </w:rPr>
      </w:pPr>
    </w:p>
    <w:p w:rsidR="008D2243" w:rsidRDefault="008D2243" w:rsidP="008D2243">
      <w:pPr>
        <w:tabs>
          <w:tab w:val="right" w:leader="dot" w:pos="9360"/>
        </w:tabs>
        <w:ind w:left="720" w:right="750" w:hanging="720"/>
        <w:rPr>
          <w:rFonts w:ascii="CenturyExpandedBT-Roman" w:eastAsia="Calibri" w:hAnsi="CenturyExpandedBT-Roman" w:cs="CenturyExpandedBT-Roman"/>
          <w:szCs w:val="24"/>
        </w:rPr>
      </w:pPr>
      <w:r w:rsidRPr="00225530">
        <w:rPr>
          <w:rFonts w:ascii="CenturyExpandedBT-Italic" w:eastAsia="Calibri" w:hAnsi="CenturyExpandedBT-Italic" w:cs="CenturyExpandedBT-Italic"/>
          <w:i/>
          <w:iCs/>
          <w:szCs w:val="24"/>
        </w:rPr>
        <w:t>ABF Freight Sys., Inc.</w:t>
      </w:r>
      <w:r w:rsidRPr="003E7078">
        <w:rPr>
          <w:rFonts w:ascii="CenturyExpandedBT-Italic" w:eastAsia="Calibri" w:hAnsi="CenturyExpandedBT-Italic" w:cs="CenturyExpandedBT-Italic"/>
          <w:i/>
          <w:iCs/>
          <w:szCs w:val="24"/>
        </w:rPr>
        <w:t xml:space="preserve"> </w:t>
      </w:r>
      <w:r w:rsidRPr="003E7078">
        <w:rPr>
          <w:rFonts w:ascii="CenturyExpandedBT-Roman" w:eastAsia="Calibri" w:hAnsi="CenturyExpandedBT-Roman" w:cs="CenturyExpandedBT-Roman"/>
          <w:i/>
          <w:szCs w:val="24"/>
        </w:rPr>
        <w:t xml:space="preserve">v. </w:t>
      </w:r>
      <w:r w:rsidRPr="00225530">
        <w:rPr>
          <w:rFonts w:ascii="CenturyExpandedBT-Italic" w:eastAsia="Calibri" w:hAnsi="CenturyExpandedBT-Italic" w:cs="CenturyExpandedBT-Italic"/>
          <w:i/>
          <w:iCs/>
          <w:szCs w:val="24"/>
        </w:rPr>
        <w:t>NLRB</w:t>
      </w:r>
      <w:r w:rsidRPr="00225530">
        <w:rPr>
          <w:rFonts w:ascii="CenturyExpandedBT-Roman" w:eastAsia="Calibri" w:hAnsi="CenturyExpandedBT-Roman" w:cs="CenturyExpandedBT-Roman"/>
          <w:szCs w:val="24"/>
        </w:rPr>
        <w:t xml:space="preserve">, </w:t>
      </w:r>
    </w:p>
    <w:p w:rsidR="008D2243" w:rsidRDefault="008D2243" w:rsidP="008D2243">
      <w:pPr>
        <w:tabs>
          <w:tab w:val="right" w:leader="dot" w:pos="9360"/>
        </w:tabs>
        <w:ind w:left="720" w:right="750" w:hanging="720"/>
        <w:rPr>
          <w:szCs w:val="24"/>
        </w:rPr>
      </w:pPr>
      <w:r>
        <w:rPr>
          <w:rFonts w:ascii="CenturyExpandedBT-Italic" w:eastAsia="Calibri" w:hAnsi="CenturyExpandedBT-Italic" w:cs="CenturyExpandedBT-Italic"/>
          <w:i/>
          <w:iCs/>
          <w:szCs w:val="24"/>
        </w:rPr>
        <w:tab/>
      </w:r>
      <w:r>
        <w:rPr>
          <w:rFonts w:ascii="CenturyExpandedBT-Roman" w:eastAsia="Calibri" w:hAnsi="CenturyExpandedBT-Roman" w:cs="CenturyExpandedBT-Roman"/>
          <w:szCs w:val="24"/>
        </w:rPr>
        <w:t>510 U.S. 317</w:t>
      </w:r>
      <w:r w:rsidRPr="00225530">
        <w:rPr>
          <w:rFonts w:ascii="CenturyExpandedBT-Roman" w:eastAsia="Calibri" w:hAnsi="CenturyExpandedBT-Roman" w:cs="CenturyExpandedBT-Roman"/>
          <w:szCs w:val="24"/>
        </w:rPr>
        <w:t xml:space="preserve"> (1994)</w:t>
      </w:r>
      <w:r>
        <w:rPr>
          <w:szCs w:val="24"/>
        </w:rPr>
        <w:tab/>
        <w:t>14</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Roman" w:eastAsia="Calibri" w:hAnsi="CenturyExpandedBT-Roman" w:cs="CenturyExpandedBT-Roman"/>
          <w:szCs w:val="24"/>
        </w:rPr>
      </w:pPr>
      <w:proofErr w:type="spellStart"/>
      <w:r w:rsidRPr="00225530">
        <w:rPr>
          <w:rFonts w:ascii="CenturyExpandedBT-Italic" w:eastAsia="Calibri" w:hAnsi="CenturyExpandedBT-Italic" w:cs="CenturyExpandedBT-Italic"/>
          <w:i/>
          <w:iCs/>
          <w:szCs w:val="24"/>
        </w:rPr>
        <w:t>Bircol</w:t>
      </w:r>
      <w:r w:rsidRPr="001A4AA4">
        <w:rPr>
          <w:rFonts w:ascii="CenturyExpandedBT-Italic" w:eastAsia="Calibri" w:hAnsi="CenturyExpandedBT-Italic" w:cs="CenturyExpandedBT-Italic"/>
          <w:i/>
          <w:iCs/>
          <w:szCs w:val="24"/>
        </w:rPr>
        <w:t>l</w:t>
      </w:r>
      <w:proofErr w:type="spellEnd"/>
      <w:r w:rsidRPr="001A4AA4">
        <w:rPr>
          <w:rFonts w:ascii="CenturyExpandedBT-Italic" w:eastAsia="Calibri" w:hAnsi="CenturyExpandedBT-Italic" w:cs="CenturyExpandedBT-Italic"/>
          <w:i/>
          <w:iCs/>
          <w:szCs w:val="24"/>
        </w:rPr>
        <w:t xml:space="preserve"> </w:t>
      </w:r>
      <w:r w:rsidRPr="001A4AA4">
        <w:rPr>
          <w:rFonts w:ascii="CenturyExpandedBT-Roman" w:eastAsia="Calibri" w:hAnsi="CenturyExpandedBT-Roman" w:cs="CenturyExpandedBT-Roman"/>
          <w:i/>
          <w:szCs w:val="24"/>
        </w:rPr>
        <w:t xml:space="preserve">v. </w:t>
      </w:r>
      <w:r w:rsidRPr="001A4AA4">
        <w:rPr>
          <w:rFonts w:ascii="CenturyExpandedBT-Italic" w:eastAsia="Calibri" w:hAnsi="CenturyExpandedBT-Italic" w:cs="CenturyExpandedBT-Italic"/>
          <w:i/>
          <w:iCs/>
          <w:szCs w:val="24"/>
        </w:rPr>
        <w:t>M</w:t>
      </w:r>
      <w:r w:rsidRPr="00225530">
        <w:rPr>
          <w:rFonts w:ascii="CenturyExpandedBT-Italic" w:eastAsia="Calibri" w:hAnsi="CenturyExpandedBT-Italic" w:cs="CenturyExpandedBT-Italic"/>
          <w:i/>
          <w:iCs/>
          <w:szCs w:val="24"/>
        </w:rPr>
        <w:t xml:space="preserve">iami-Dade </w:t>
      </w:r>
      <w:proofErr w:type="spellStart"/>
      <w:r w:rsidRPr="00225530">
        <w:rPr>
          <w:rFonts w:ascii="CenturyExpandedBT-Italic" w:eastAsia="Calibri" w:hAnsi="CenturyExpandedBT-Italic" w:cs="CenturyExpandedBT-Italic"/>
          <w:i/>
          <w:iCs/>
          <w:szCs w:val="24"/>
        </w:rPr>
        <w:t>Cnty</w:t>
      </w:r>
      <w:proofErr w:type="spellEnd"/>
      <w:r w:rsidRPr="00225530">
        <w:rPr>
          <w:rFonts w:ascii="CenturyExpandedBT-Italic" w:eastAsia="Calibri" w:hAnsi="CenturyExpandedBT-Italic" w:cs="CenturyExpandedBT-Italic"/>
          <w:i/>
          <w:iCs/>
          <w:szCs w:val="24"/>
        </w:rPr>
        <w:t>.</w:t>
      </w:r>
      <w:r w:rsidRPr="00225530">
        <w:rPr>
          <w:rFonts w:ascii="CenturyExpandedBT-Roman" w:eastAsia="Calibri" w:hAnsi="CenturyExpandedBT-Roman" w:cs="CenturyExpandedBT-Roman"/>
          <w:szCs w:val="24"/>
        </w:rPr>
        <w:t xml:space="preserve">, </w:t>
      </w:r>
    </w:p>
    <w:p w:rsidR="008D2243" w:rsidRDefault="008D2243" w:rsidP="008D2243">
      <w:pPr>
        <w:tabs>
          <w:tab w:val="right" w:leader="dot" w:pos="9360"/>
        </w:tabs>
        <w:ind w:left="720" w:right="750" w:hanging="720"/>
        <w:rPr>
          <w:szCs w:val="24"/>
        </w:rPr>
      </w:pPr>
      <w:r>
        <w:rPr>
          <w:rFonts w:ascii="CenturyExpandedBT-Italic" w:eastAsia="Calibri" w:hAnsi="CenturyExpandedBT-Italic" w:cs="CenturyExpandedBT-Italic"/>
          <w:i/>
          <w:iCs/>
          <w:szCs w:val="24"/>
        </w:rPr>
        <w:tab/>
      </w:r>
      <w:r w:rsidRPr="00225530">
        <w:rPr>
          <w:rFonts w:ascii="CenturyExpandedBT-Roman" w:eastAsia="Calibri" w:hAnsi="CenturyExpandedBT-Roman" w:cs="CenturyExpandedBT-Roman"/>
          <w:szCs w:val="24"/>
        </w:rPr>
        <w:t>480 F.3d 1072</w:t>
      </w:r>
      <w:r>
        <w:rPr>
          <w:rFonts w:ascii="CenturyExpandedBT-Roman" w:eastAsia="Calibri" w:hAnsi="CenturyExpandedBT-Roman" w:cs="CenturyExpandedBT-Roman"/>
          <w:szCs w:val="24"/>
        </w:rPr>
        <w:t xml:space="preserve"> (11th Cir. 2007)</w:t>
      </w:r>
      <w:r>
        <w:rPr>
          <w:szCs w:val="24"/>
        </w:rPr>
        <w:tab/>
        <w:t>19, 21, 22</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Roman" w:eastAsia="Calibri" w:hAnsi="CenturyExpandedBT-Roman" w:cs="CenturyExpandedBT-Roman"/>
          <w:szCs w:val="24"/>
        </w:rPr>
      </w:pPr>
      <w:proofErr w:type="spellStart"/>
      <w:r w:rsidRPr="00225530">
        <w:rPr>
          <w:rFonts w:ascii="CenturyExpandedBT-Italic" w:eastAsia="Calibri" w:hAnsi="CenturyExpandedBT-Italic" w:cs="CenturyExpandedBT-Italic"/>
          <w:i/>
          <w:iCs/>
          <w:szCs w:val="24"/>
        </w:rPr>
        <w:t>Bragdo</w:t>
      </w:r>
      <w:r w:rsidRPr="00013427">
        <w:rPr>
          <w:rFonts w:ascii="CenturyExpandedBT-Italic" w:eastAsia="Calibri" w:hAnsi="CenturyExpandedBT-Italic" w:cs="CenturyExpandedBT-Italic"/>
          <w:i/>
          <w:iCs/>
          <w:szCs w:val="24"/>
        </w:rPr>
        <w:t>n</w:t>
      </w:r>
      <w:proofErr w:type="spellEnd"/>
      <w:r w:rsidRPr="00013427">
        <w:rPr>
          <w:rFonts w:ascii="CenturyExpandedBT-Italic" w:eastAsia="Calibri" w:hAnsi="CenturyExpandedBT-Italic" w:cs="CenturyExpandedBT-Italic"/>
          <w:i/>
          <w:iCs/>
          <w:szCs w:val="24"/>
        </w:rPr>
        <w:t xml:space="preserve"> </w:t>
      </w:r>
      <w:r w:rsidRPr="00013427">
        <w:rPr>
          <w:rFonts w:ascii="CenturyExpandedBT-Roman" w:eastAsia="Calibri" w:hAnsi="CenturyExpandedBT-Roman" w:cs="CenturyExpandedBT-Roman"/>
          <w:i/>
          <w:szCs w:val="24"/>
        </w:rPr>
        <w:t xml:space="preserve">v. </w:t>
      </w:r>
      <w:r w:rsidRPr="00225530">
        <w:rPr>
          <w:rFonts w:ascii="CenturyExpandedBT-Italic" w:eastAsia="Calibri" w:hAnsi="CenturyExpandedBT-Italic" w:cs="CenturyExpandedBT-Italic"/>
          <w:i/>
          <w:iCs/>
          <w:szCs w:val="24"/>
        </w:rPr>
        <w:t>Abbott</w:t>
      </w:r>
      <w:r>
        <w:rPr>
          <w:rFonts w:ascii="CenturyExpandedBT-Roman" w:eastAsia="Calibri" w:hAnsi="CenturyExpandedBT-Roman" w:cs="CenturyExpandedBT-Roman"/>
          <w:szCs w:val="24"/>
        </w:rPr>
        <w:t xml:space="preserve">, </w:t>
      </w:r>
    </w:p>
    <w:p w:rsidR="008D2243" w:rsidRDefault="008D2243" w:rsidP="008D2243">
      <w:pPr>
        <w:tabs>
          <w:tab w:val="right" w:leader="dot" w:pos="9360"/>
        </w:tabs>
        <w:ind w:left="720" w:right="750" w:hanging="720"/>
        <w:rPr>
          <w:szCs w:val="24"/>
        </w:rPr>
      </w:pPr>
      <w:r>
        <w:rPr>
          <w:rFonts w:ascii="CenturyExpandedBT-Italic" w:eastAsia="Calibri" w:hAnsi="CenturyExpandedBT-Italic" w:cs="CenturyExpandedBT-Italic"/>
          <w:i/>
          <w:iCs/>
          <w:szCs w:val="24"/>
        </w:rPr>
        <w:tab/>
      </w:r>
      <w:r>
        <w:rPr>
          <w:rFonts w:ascii="CenturyExpandedBT-Roman" w:eastAsia="Calibri" w:hAnsi="CenturyExpandedBT-Roman" w:cs="CenturyExpandedBT-Roman"/>
          <w:szCs w:val="24"/>
        </w:rPr>
        <w:t>524 U.S. 624 (1998)</w:t>
      </w:r>
      <w:r>
        <w:rPr>
          <w:szCs w:val="24"/>
        </w:rPr>
        <w:tab/>
      </w:r>
      <w:r w:rsidR="00F7329B">
        <w:rPr>
          <w:szCs w:val="24"/>
        </w:rPr>
        <w:t xml:space="preserve">5, </w:t>
      </w:r>
      <w:r>
        <w:rPr>
          <w:szCs w:val="24"/>
        </w:rPr>
        <w:t>12, 14</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1D7D4F">
        <w:rPr>
          <w:i/>
          <w:szCs w:val="24"/>
        </w:rPr>
        <w:t>Brooklyn Center for Independence of Disabled v. Bloomberg</w:t>
      </w:r>
      <w:r w:rsidRPr="001D7D4F">
        <w:rPr>
          <w:szCs w:val="24"/>
        </w:rPr>
        <w:t xml:space="preserve">, </w:t>
      </w:r>
    </w:p>
    <w:p w:rsidR="008D2243" w:rsidRPr="00225530" w:rsidRDefault="008D2243" w:rsidP="008D2243">
      <w:pPr>
        <w:tabs>
          <w:tab w:val="right" w:leader="dot" w:pos="9360"/>
        </w:tabs>
        <w:ind w:left="720" w:right="750" w:hanging="720"/>
        <w:rPr>
          <w:szCs w:val="24"/>
        </w:rPr>
      </w:pPr>
      <w:r>
        <w:rPr>
          <w:i/>
          <w:szCs w:val="24"/>
        </w:rPr>
        <w:tab/>
      </w:r>
      <w:r>
        <w:rPr>
          <w:szCs w:val="24"/>
        </w:rPr>
        <w:t>980 F. Supp. 2d 588</w:t>
      </w:r>
      <w:r w:rsidRPr="001D7D4F">
        <w:rPr>
          <w:szCs w:val="24"/>
        </w:rPr>
        <w:t xml:space="preserve"> (S.D.N.Y. 2013)</w:t>
      </w:r>
      <w:r>
        <w:rPr>
          <w:szCs w:val="24"/>
        </w:rPr>
        <w:tab/>
        <w:t>1</w:t>
      </w:r>
    </w:p>
    <w:p w:rsidR="008D2243" w:rsidRDefault="008D2243" w:rsidP="008D2243">
      <w:pPr>
        <w:ind w:left="720" w:hanging="720"/>
        <w:rPr>
          <w:szCs w:val="24"/>
        </w:rPr>
      </w:pPr>
    </w:p>
    <w:p w:rsidR="008D2243" w:rsidRDefault="008D2243" w:rsidP="008D2243">
      <w:pPr>
        <w:ind w:left="720" w:hanging="720"/>
        <w:rPr>
          <w:rFonts w:ascii="CenturyExpandedBT-Roman" w:eastAsia="Calibri" w:hAnsi="CenturyExpandedBT-Roman" w:cs="CenturyExpandedBT-Roman"/>
          <w:szCs w:val="24"/>
        </w:rPr>
      </w:pPr>
      <w:r w:rsidRPr="00225530">
        <w:rPr>
          <w:rFonts w:ascii="CenturyExpandedBT-Italic" w:eastAsia="Calibri" w:hAnsi="CenturyExpandedBT-Italic" w:cs="CenturyExpandedBT-Italic"/>
          <w:i/>
          <w:iCs/>
          <w:szCs w:val="24"/>
        </w:rPr>
        <w:t>Calloway</w:t>
      </w:r>
      <w:r w:rsidRPr="003E7078">
        <w:rPr>
          <w:rFonts w:ascii="CenturyExpandedBT-Italic" w:eastAsia="Calibri" w:hAnsi="CenturyExpandedBT-Italic" w:cs="CenturyExpandedBT-Italic"/>
          <w:i/>
          <w:iCs/>
          <w:szCs w:val="24"/>
        </w:rPr>
        <w:t xml:space="preserve"> </w:t>
      </w:r>
      <w:r w:rsidRPr="003E7078">
        <w:rPr>
          <w:rFonts w:ascii="CenturyExpandedBT-Roman" w:eastAsia="Calibri" w:hAnsi="CenturyExpandedBT-Roman" w:cs="CenturyExpandedBT-Roman"/>
          <w:i/>
          <w:szCs w:val="24"/>
        </w:rPr>
        <w:t xml:space="preserve">v. </w:t>
      </w:r>
      <w:proofErr w:type="spellStart"/>
      <w:r w:rsidRPr="00225530">
        <w:rPr>
          <w:rFonts w:ascii="CenturyExpandedBT-Italic" w:eastAsia="Calibri" w:hAnsi="CenturyExpandedBT-Italic" w:cs="CenturyExpandedBT-Italic"/>
          <w:i/>
          <w:iCs/>
          <w:szCs w:val="24"/>
        </w:rPr>
        <w:t>Boro</w:t>
      </w:r>
      <w:proofErr w:type="spellEnd"/>
      <w:r w:rsidRPr="00225530">
        <w:rPr>
          <w:rFonts w:ascii="CenturyExpandedBT-Italic" w:eastAsia="Calibri" w:hAnsi="CenturyExpandedBT-Italic" w:cs="CenturyExpandedBT-Italic"/>
          <w:i/>
          <w:iCs/>
          <w:szCs w:val="24"/>
        </w:rPr>
        <w:t xml:space="preserve"> of Glassboro Dep’t of Police</w:t>
      </w:r>
      <w:r>
        <w:rPr>
          <w:rFonts w:ascii="CenturyExpandedBT-Roman" w:eastAsia="Calibri" w:hAnsi="CenturyExpandedBT-Roman" w:cs="CenturyExpandedBT-Roman"/>
          <w:szCs w:val="24"/>
        </w:rPr>
        <w:t xml:space="preserve">, </w:t>
      </w:r>
    </w:p>
    <w:p w:rsidR="008D2243" w:rsidRDefault="008D2243" w:rsidP="008D2243">
      <w:pPr>
        <w:tabs>
          <w:tab w:val="right" w:leader="dot" w:pos="9360"/>
        </w:tabs>
        <w:ind w:left="720" w:right="750" w:hanging="720"/>
        <w:rPr>
          <w:szCs w:val="24"/>
        </w:rPr>
      </w:pPr>
      <w:r>
        <w:rPr>
          <w:rFonts w:ascii="CenturyExpandedBT-Italic" w:eastAsia="Calibri" w:hAnsi="CenturyExpandedBT-Italic" w:cs="CenturyExpandedBT-Italic"/>
          <w:i/>
          <w:iCs/>
          <w:szCs w:val="24"/>
        </w:rPr>
        <w:tab/>
      </w:r>
      <w:r>
        <w:rPr>
          <w:rFonts w:ascii="CenturyExpandedBT-Roman" w:eastAsia="Calibri" w:hAnsi="CenturyExpandedBT-Roman" w:cs="CenturyExpandedBT-Roman"/>
          <w:szCs w:val="24"/>
        </w:rPr>
        <w:t>89 F. Supp. 2d 543</w:t>
      </w:r>
      <w:r w:rsidRPr="00225530">
        <w:rPr>
          <w:rFonts w:ascii="CenturyExpandedBT-Roman" w:eastAsia="Calibri" w:hAnsi="CenturyExpandedBT-Roman" w:cs="CenturyExpandedBT-Roman"/>
          <w:szCs w:val="24"/>
        </w:rPr>
        <w:t xml:space="preserve"> (D.N.J. </w:t>
      </w:r>
      <w:r>
        <w:rPr>
          <w:szCs w:val="24"/>
        </w:rPr>
        <w:t>2000</w:t>
      </w:r>
      <w:r w:rsidRPr="001D7D4F">
        <w:rPr>
          <w:szCs w:val="24"/>
        </w:rPr>
        <w:t>)</w:t>
      </w:r>
      <w:r>
        <w:rPr>
          <w:szCs w:val="24"/>
        </w:rPr>
        <w:tab/>
        <w:t>17</w:t>
      </w:r>
      <w:r w:rsidR="00677796">
        <w:rPr>
          <w:szCs w:val="24"/>
        </w:rPr>
        <w:t>, 18</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pPr>
      <w:r>
        <w:rPr>
          <w:i/>
        </w:rPr>
        <w:t>Camarillo v. Carrols Corp.</w:t>
      </w:r>
      <w:r>
        <w:t xml:space="preserve">, </w:t>
      </w:r>
    </w:p>
    <w:p w:rsidR="008D2243" w:rsidRDefault="008D2243" w:rsidP="008D2243">
      <w:pPr>
        <w:tabs>
          <w:tab w:val="right" w:leader="dot" w:pos="9360"/>
        </w:tabs>
        <w:ind w:left="720" w:right="750" w:hanging="720"/>
        <w:rPr>
          <w:szCs w:val="24"/>
        </w:rPr>
      </w:pPr>
      <w:r>
        <w:rPr>
          <w:i/>
        </w:rPr>
        <w:tab/>
      </w:r>
      <w:r>
        <w:t>518 F.3d 153 (2d Cir. 2008)</w:t>
      </w:r>
      <w:r>
        <w:rPr>
          <w:szCs w:val="24"/>
        </w:rPr>
        <w:tab/>
        <w:t>17</w:t>
      </w:r>
    </w:p>
    <w:p w:rsidR="008D2243" w:rsidRPr="00225530" w:rsidRDefault="008D2243" w:rsidP="008D2243">
      <w:pPr>
        <w:ind w:left="720" w:hanging="720"/>
        <w:rPr>
          <w:szCs w:val="24"/>
        </w:rPr>
      </w:pPr>
    </w:p>
    <w:p w:rsidR="008D2243" w:rsidRPr="00225530" w:rsidRDefault="008D2243" w:rsidP="008D2243">
      <w:pPr>
        <w:tabs>
          <w:tab w:val="right" w:leader="dot" w:pos="9360"/>
        </w:tabs>
        <w:ind w:left="720" w:right="750" w:hanging="720"/>
        <w:rPr>
          <w:szCs w:val="24"/>
        </w:rPr>
      </w:pPr>
      <w:r w:rsidRPr="00225530">
        <w:rPr>
          <w:i/>
          <w:iCs/>
          <w:szCs w:val="24"/>
        </w:rPr>
        <w:t>Chevron U.S.A., Inc. v. Natural Resources Defense Council, Inc.</w:t>
      </w:r>
      <w:r w:rsidRPr="00225530">
        <w:rPr>
          <w:szCs w:val="24"/>
        </w:rPr>
        <w:t xml:space="preserve">, </w:t>
      </w:r>
    </w:p>
    <w:p w:rsidR="008D2243" w:rsidRPr="00225530" w:rsidRDefault="008D2243" w:rsidP="008D2243">
      <w:pPr>
        <w:tabs>
          <w:tab w:val="right" w:leader="dot" w:pos="9360"/>
        </w:tabs>
        <w:ind w:left="720" w:right="750" w:hanging="720"/>
        <w:rPr>
          <w:szCs w:val="24"/>
        </w:rPr>
      </w:pPr>
      <w:r w:rsidRPr="00225530">
        <w:rPr>
          <w:i/>
          <w:iCs/>
          <w:szCs w:val="24"/>
        </w:rPr>
        <w:tab/>
      </w:r>
      <w:r>
        <w:rPr>
          <w:szCs w:val="24"/>
        </w:rPr>
        <w:t>467 U.S. 837 (1984)</w:t>
      </w:r>
      <w:r>
        <w:rPr>
          <w:szCs w:val="24"/>
        </w:rPr>
        <w:tab/>
        <w:t>5, 14</w:t>
      </w:r>
    </w:p>
    <w:p w:rsidR="008D2243" w:rsidRDefault="008D2243" w:rsidP="008D2243">
      <w:pPr>
        <w:ind w:left="720" w:hanging="720"/>
        <w:rPr>
          <w:szCs w:val="24"/>
        </w:rPr>
      </w:pPr>
    </w:p>
    <w:p w:rsidR="008D2243" w:rsidRDefault="008D2243" w:rsidP="008D2243">
      <w:pPr>
        <w:tabs>
          <w:tab w:val="right" w:leader="dot" w:pos="9360"/>
        </w:tabs>
        <w:ind w:left="720" w:right="750" w:hanging="720"/>
        <w:rPr>
          <w:rFonts w:eastAsia="Calibri"/>
          <w:szCs w:val="24"/>
        </w:rPr>
      </w:pPr>
      <w:r w:rsidRPr="00225530">
        <w:rPr>
          <w:rFonts w:eastAsia="Calibri"/>
          <w:i/>
          <w:szCs w:val="24"/>
        </w:rPr>
        <w:t xml:space="preserve">Civic </w:t>
      </w:r>
      <w:proofErr w:type="spellStart"/>
      <w:r w:rsidRPr="00225530">
        <w:rPr>
          <w:rFonts w:eastAsia="Calibri"/>
          <w:i/>
          <w:szCs w:val="24"/>
        </w:rPr>
        <w:t>Ass’n</w:t>
      </w:r>
      <w:proofErr w:type="spellEnd"/>
      <w:r w:rsidRPr="00225530">
        <w:rPr>
          <w:rFonts w:eastAsia="Calibri"/>
          <w:i/>
          <w:szCs w:val="24"/>
        </w:rPr>
        <w:t xml:space="preserve"> of </w:t>
      </w:r>
      <w:r w:rsidR="00EB2528">
        <w:rPr>
          <w:rFonts w:eastAsia="Calibri"/>
          <w:i/>
          <w:szCs w:val="24"/>
        </w:rPr>
        <w:t xml:space="preserve">the </w:t>
      </w:r>
      <w:r w:rsidRPr="00225530">
        <w:rPr>
          <w:rFonts w:eastAsia="Calibri"/>
          <w:i/>
          <w:szCs w:val="24"/>
        </w:rPr>
        <w:t>Deaf of New York City, Inc. v. Giuliani</w:t>
      </w:r>
      <w:r w:rsidRPr="00225530">
        <w:rPr>
          <w:rFonts w:eastAsia="Calibri"/>
          <w:szCs w:val="24"/>
        </w:rPr>
        <w:t xml:space="preserve">, </w:t>
      </w:r>
    </w:p>
    <w:p w:rsidR="008D2243" w:rsidRPr="00225530" w:rsidRDefault="008D2243" w:rsidP="008D2243">
      <w:pPr>
        <w:tabs>
          <w:tab w:val="right" w:leader="dot" w:pos="9360"/>
        </w:tabs>
        <w:ind w:left="720" w:right="750" w:hanging="720"/>
        <w:rPr>
          <w:szCs w:val="24"/>
        </w:rPr>
      </w:pPr>
      <w:r>
        <w:rPr>
          <w:rFonts w:eastAsia="Calibri"/>
          <w:i/>
          <w:szCs w:val="24"/>
        </w:rPr>
        <w:tab/>
      </w:r>
      <w:r>
        <w:rPr>
          <w:rFonts w:eastAsia="Calibri"/>
          <w:szCs w:val="24"/>
        </w:rPr>
        <w:t>915 F. Supp. 622</w:t>
      </w:r>
      <w:r w:rsidRPr="00225530">
        <w:rPr>
          <w:rFonts w:eastAsia="Calibri"/>
          <w:szCs w:val="24"/>
        </w:rPr>
        <w:t xml:space="preserve"> (S.D.N.Y. 1996)</w:t>
      </w:r>
      <w:r>
        <w:rPr>
          <w:szCs w:val="24"/>
        </w:rPr>
        <w:tab/>
        <w:t>5</w:t>
      </w:r>
    </w:p>
    <w:p w:rsidR="008D2243" w:rsidRDefault="008D2243" w:rsidP="008D2243">
      <w:pPr>
        <w:ind w:left="720" w:hanging="720"/>
        <w:rPr>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r>
        <w:rPr>
          <w:rFonts w:ascii="CenturyExpandedBT-Bold" w:eastAsia="Calibri" w:hAnsi="CenturyExpandedBT-Bold" w:cs="CenturyExpandedBT-Bold"/>
          <w:bCs/>
          <w:i/>
          <w:szCs w:val="24"/>
        </w:rPr>
        <w:t>Crocker v. Lewiston Police Dep’t</w:t>
      </w:r>
      <w:r>
        <w:rPr>
          <w:rFonts w:ascii="CenturyExpandedBT-Bold" w:eastAsia="Calibri" w:hAnsi="CenturyExpandedBT-Bold" w:cs="CenturyExpandedBT-Bold"/>
          <w:bCs/>
          <w:szCs w:val="24"/>
        </w:rPr>
        <w:t xml:space="preserve">, </w:t>
      </w:r>
    </w:p>
    <w:p w:rsidR="008D2243" w:rsidRPr="00917F05" w:rsidRDefault="008D2243" w:rsidP="008D2243">
      <w:pPr>
        <w:tabs>
          <w:tab w:val="right" w:leader="dot" w:pos="9360"/>
        </w:tabs>
        <w:ind w:left="720" w:right="750" w:hanging="720"/>
        <w:rPr>
          <w:rFonts w:ascii="CenturyExpandedBT-Bold" w:eastAsia="Calibri" w:hAnsi="CenturyExpandedBT-Bold" w:cs="CenturyExpandedBT-Bold"/>
          <w:bCs/>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No. 00-13-PC, 2001 WL 114977 (D. Me. Feb. 9, 2001)</w:t>
      </w:r>
      <w:r>
        <w:rPr>
          <w:szCs w:val="24"/>
        </w:rPr>
        <w:tab/>
        <w:t>16, 17</w:t>
      </w:r>
    </w:p>
    <w:p w:rsidR="008D2243" w:rsidRDefault="008D2243" w:rsidP="008D2243">
      <w:pPr>
        <w:tabs>
          <w:tab w:val="right" w:leader="dot" w:pos="9360"/>
        </w:tabs>
        <w:ind w:left="720" w:right="750" w:hanging="720"/>
        <w:rPr>
          <w:i/>
          <w:szCs w:val="24"/>
        </w:rPr>
      </w:pPr>
    </w:p>
    <w:p w:rsidR="008D2243" w:rsidRDefault="008D2243" w:rsidP="008D2243">
      <w:pPr>
        <w:tabs>
          <w:tab w:val="right" w:leader="dot" w:pos="9360"/>
        </w:tabs>
        <w:ind w:left="720" w:right="750" w:hanging="720"/>
        <w:rPr>
          <w:szCs w:val="24"/>
        </w:rPr>
      </w:pPr>
      <w:r w:rsidRPr="001D7D4F">
        <w:rPr>
          <w:i/>
          <w:szCs w:val="24"/>
        </w:rPr>
        <w:t>Disabled in Action v. Board of Elections of the City of New York</w:t>
      </w:r>
      <w:r w:rsidRPr="001D7D4F">
        <w:rPr>
          <w:szCs w:val="24"/>
        </w:rPr>
        <w:t xml:space="preserve">, </w:t>
      </w:r>
    </w:p>
    <w:p w:rsidR="008D2243" w:rsidRPr="00225530" w:rsidRDefault="008D2243" w:rsidP="008D2243">
      <w:pPr>
        <w:tabs>
          <w:tab w:val="right" w:leader="dot" w:pos="9360"/>
        </w:tabs>
        <w:ind w:left="720" w:right="750" w:hanging="720"/>
        <w:rPr>
          <w:szCs w:val="24"/>
        </w:rPr>
      </w:pPr>
      <w:r>
        <w:rPr>
          <w:i/>
          <w:szCs w:val="24"/>
        </w:rPr>
        <w:tab/>
      </w:r>
      <w:r>
        <w:rPr>
          <w:szCs w:val="24"/>
        </w:rPr>
        <w:t>752 F.3d 189</w:t>
      </w:r>
      <w:r w:rsidRPr="001D7D4F">
        <w:rPr>
          <w:szCs w:val="24"/>
        </w:rPr>
        <w:t xml:space="preserve"> (2d Cir. 2014)</w:t>
      </w:r>
      <w:r>
        <w:rPr>
          <w:szCs w:val="24"/>
        </w:rPr>
        <w:tab/>
        <w:t>1, 4</w:t>
      </w:r>
    </w:p>
    <w:p w:rsidR="008D2243" w:rsidRDefault="008D2243" w:rsidP="008D2243">
      <w:pPr>
        <w:ind w:left="720" w:hanging="720"/>
        <w:rPr>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proofErr w:type="spellStart"/>
      <w:r w:rsidRPr="00ED2966">
        <w:rPr>
          <w:rFonts w:eastAsia="Calibri"/>
          <w:bCs/>
          <w:i/>
          <w:szCs w:val="24"/>
        </w:rPr>
        <w:t>Goh</w:t>
      </w:r>
      <w:r>
        <w:rPr>
          <w:rFonts w:ascii="CenturyExpandedBT-Bold" w:eastAsia="Calibri" w:hAnsi="CenturyExpandedBT-Bold" w:cs="CenturyExpandedBT-Bold"/>
          <w:bCs/>
          <w:i/>
          <w:szCs w:val="24"/>
        </w:rPr>
        <w:t>ier</w:t>
      </w:r>
      <w:proofErr w:type="spellEnd"/>
      <w:r>
        <w:rPr>
          <w:rFonts w:ascii="CenturyExpandedBT-Bold" w:eastAsia="Calibri" w:hAnsi="CenturyExpandedBT-Bold" w:cs="CenturyExpandedBT-Bold"/>
          <w:bCs/>
          <w:i/>
          <w:szCs w:val="24"/>
        </w:rPr>
        <w:t xml:space="preserve"> v. Enright</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szCs w:val="24"/>
        </w:rPr>
      </w:pPr>
      <w:r>
        <w:rPr>
          <w:rFonts w:eastAsia="Calibri"/>
          <w:bCs/>
          <w:i/>
          <w:szCs w:val="24"/>
        </w:rPr>
        <w:tab/>
      </w:r>
      <w:r>
        <w:rPr>
          <w:rFonts w:ascii="CenturyExpandedBT-Bold" w:eastAsia="Calibri" w:hAnsi="CenturyExpandedBT-Bold" w:cs="CenturyExpandedBT-Bold"/>
          <w:bCs/>
          <w:szCs w:val="24"/>
        </w:rPr>
        <w:t>186 F.3d 1216 (10</w:t>
      </w:r>
      <w:r w:rsidRPr="00ED2966">
        <w:rPr>
          <w:rFonts w:ascii="CenturyExpandedBT-Bold" w:eastAsia="Calibri" w:hAnsi="CenturyExpandedBT-Bold" w:cs="CenturyExpandedBT-Bold"/>
          <w:bCs/>
          <w:szCs w:val="24"/>
        </w:rPr>
        <w:t>th</w:t>
      </w:r>
      <w:r>
        <w:rPr>
          <w:rFonts w:ascii="CenturyExpandedBT-Bold" w:eastAsia="Calibri" w:hAnsi="CenturyExpandedBT-Bold" w:cs="CenturyExpandedBT-Bold"/>
          <w:bCs/>
          <w:szCs w:val="24"/>
        </w:rPr>
        <w:t xml:space="preserve"> Cir. 1999)</w:t>
      </w:r>
      <w:r>
        <w:rPr>
          <w:szCs w:val="24"/>
        </w:rPr>
        <w:tab/>
        <w:t>16</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Roman" w:eastAsia="Calibri" w:hAnsi="CenturyExpandedBT-Roman" w:cs="CenturyExpandedBT-Roman"/>
          <w:szCs w:val="24"/>
        </w:rPr>
      </w:pPr>
      <w:r w:rsidRPr="00225530">
        <w:rPr>
          <w:rFonts w:ascii="CenturyExpandedBT-Italic" w:eastAsia="Calibri" w:hAnsi="CenturyExpandedBT-Italic" w:cs="CenturyExpandedBT-Italic"/>
          <w:i/>
          <w:iCs/>
          <w:szCs w:val="24"/>
        </w:rPr>
        <w:t>Gorman</w:t>
      </w:r>
      <w:r w:rsidRPr="003E7078">
        <w:rPr>
          <w:rFonts w:ascii="CenturyExpandedBT-Italic" w:eastAsia="Calibri" w:hAnsi="CenturyExpandedBT-Italic" w:cs="CenturyExpandedBT-Italic"/>
          <w:i/>
          <w:iCs/>
          <w:szCs w:val="24"/>
        </w:rPr>
        <w:t xml:space="preserve"> </w:t>
      </w:r>
      <w:r w:rsidRPr="003E7078">
        <w:rPr>
          <w:rFonts w:ascii="CenturyExpandedBT-Roman" w:eastAsia="Calibri" w:hAnsi="CenturyExpandedBT-Roman" w:cs="CenturyExpandedBT-Roman"/>
          <w:i/>
          <w:szCs w:val="24"/>
        </w:rPr>
        <w:t>v.</w:t>
      </w:r>
      <w:r w:rsidRPr="00225530">
        <w:rPr>
          <w:rFonts w:ascii="CenturyExpandedBT-Roman" w:eastAsia="Calibri" w:hAnsi="CenturyExpandedBT-Roman" w:cs="CenturyExpandedBT-Roman"/>
          <w:szCs w:val="24"/>
        </w:rPr>
        <w:t xml:space="preserve"> </w:t>
      </w:r>
      <w:proofErr w:type="spellStart"/>
      <w:r w:rsidRPr="00225530">
        <w:rPr>
          <w:rFonts w:ascii="CenturyExpandedBT-Italic" w:eastAsia="Calibri" w:hAnsi="CenturyExpandedBT-Italic" w:cs="CenturyExpandedBT-Italic"/>
          <w:i/>
          <w:iCs/>
          <w:szCs w:val="24"/>
        </w:rPr>
        <w:t>Bartch</w:t>
      </w:r>
      <w:proofErr w:type="spellEnd"/>
      <w:r>
        <w:rPr>
          <w:rFonts w:ascii="CenturyExpandedBT-Roman" w:eastAsia="Calibri" w:hAnsi="CenturyExpandedBT-Roman" w:cs="CenturyExpandedBT-Roman"/>
          <w:szCs w:val="24"/>
        </w:rPr>
        <w:t xml:space="preserve">, </w:t>
      </w:r>
    </w:p>
    <w:p w:rsidR="008D2243" w:rsidRDefault="008D2243" w:rsidP="008D2243">
      <w:pPr>
        <w:tabs>
          <w:tab w:val="right" w:leader="dot" w:pos="9360"/>
        </w:tabs>
        <w:ind w:left="720" w:right="750" w:hanging="720"/>
        <w:rPr>
          <w:szCs w:val="24"/>
        </w:rPr>
      </w:pPr>
      <w:r>
        <w:rPr>
          <w:rFonts w:ascii="CenturyExpandedBT-Italic" w:eastAsia="Calibri" w:hAnsi="CenturyExpandedBT-Italic" w:cs="CenturyExpandedBT-Italic"/>
          <w:i/>
          <w:iCs/>
          <w:szCs w:val="24"/>
        </w:rPr>
        <w:tab/>
      </w:r>
      <w:r>
        <w:rPr>
          <w:rFonts w:ascii="CenturyExpandedBT-Roman" w:eastAsia="Calibri" w:hAnsi="CenturyExpandedBT-Roman" w:cs="CenturyExpandedBT-Roman"/>
          <w:szCs w:val="24"/>
        </w:rPr>
        <w:t>152 F.3d 907</w:t>
      </w:r>
      <w:r w:rsidRPr="00225530">
        <w:rPr>
          <w:rFonts w:ascii="CenturyExpandedBT-Roman" w:eastAsia="Calibri" w:hAnsi="CenturyExpandedBT-Roman" w:cs="CenturyExpandedBT-Roman"/>
          <w:szCs w:val="24"/>
        </w:rPr>
        <w:t xml:space="preserve"> (8th Cir. 1998)</w:t>
      </w:r>
      <w:r>
        <w:rPr>
          <w:szCs w:val="24"/>
        </w:rPr>
        <w:tab/>
        <w:t>18</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proofErr w:type="spellStart"/>
      <w:r w:rsidRPr="00377631">
        <w:rPr>
          <w:rFonts w:ascii="CenturyExpandedBT-Bold" w:eastAsia="Calibri" w:hAnsi="CenturyExpandedBT-Bold" w:cs="CenturyExpandedBT-Bold"/>
          <w:bCs/>
          <w:i/>
          <w:szCs w:val="24"/>
        </w:rPr>
        <w:t>Hainze</w:t>
      </w:r>
      <w:proofErr w:type="spellEnd"/>
      <w:r w:rsidRPr="00377631">
        <w:rPr>
          <w:rFonts w:ascii="CenturyExpandedBT-Bold" w:eastAsia="Calibri" w:hAnsi="CenturyExpandedBT-Bold" w:cs="CenturyExpandedBT-Bold"/>
          <w:bCs/>
          <w:i/>
          <w:szCs w:val="24"/>
        </w:rPr>
        <w:t xml:space="preserve"> v. Richards</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207 F.3d 795</w:t>
      </w:r>
      <w:r w:rsidRPr="00377631">
        <w:rPr>
          <w:rFonts w:ascii="CenturyExpandedBT-Bold" w:eastAsia="Calibri" w:hAnsi="CenturyExpandedBT-Bold" w:cs="CenturyExpandedBT-Bold"/>
          <w:bCs/>
          <w:szCs w:val="24"/>
        </w:rPr>
        <w:t xml:space="preserve"> (5th Cir. 2000)</w:t>
      </w:r>
      <w:r>
        <w:rPr>
          <w:szCs w:val="24"/>
        </w:rPr>
        <w:tab/>
        <w:t>21, 22</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225530">
        <w:rPr>
          <w:i/>
          <w:szCs w:val="24"/>
        </w:rPr>
        <w:t>Henrietta D. v. Bloomberg</w:t>
      </w:r>
      <w:r w:rsidRPr="00225530">
        <w:rPr>
          <w:szCs w:val="24"/>
        </w:rPr>
        <w:t xml:space="preserve">, </w:t>
      </w:r>
    </w:p>
    <w:p w:rsidR="008D2243" w:rsidRPr="00225530" w:rsidRDefault="008D2243" w:rsidP="008D2243">
      <w:pPr>
        <w:tabs>
          <w:tab w:val="right" w:leader="dot" w:pos="9360"/>
        </w:tabs>
        <w:ind w:left="720" w:right="750" w:hanging="720"/>
        <w:rPr>
          <w:szCs w:val="24"/>
        </w:rPr>
      </w:pPr>
      <w:r>
        <w:rPr>
          <w:i/>
          <w:szCs w:val="24"/>
        </w:rPr>
        <w:tab/>
      </w:r>
      <w:r>
        <w:rPr>
          <w:szCs w:val="24"/>
        </w:rPr>
        <w:t>331 F.3d 261</w:t>
      </w:r>
      <w:r w:rsidRPr="00225530">
        <w:rPr>
          <w:szCs w:val="24"/>
        </w:rPr>
        <w:t xml:space="preserve"> (2d Cir. 2003)</w:t>
      </w:r>
      <w:r>
        <w:rPr>
          <w:szCs w:val="24"/>
        </w:rPr>
        <w:tab/>
        <w:t>3, 4, 15</w:t>
      </w:r>
    </w:p>
    <w:p w:rsidR="008D2243" w:rsidRPr="00225530" w:rsidRDefault="008D2243" w:rsidP="008D2243">
      <w:pPr>
        <w:ind w:left="720" w:hanging="720"/>
        <w:rPr>
          <w:szCs w:val="24"/>
        </w:rPr>
      </w:pPr>
    </w:p>
    <w:p w:rsidR="008D2243" w:rsidRPr="00225530" w:rsidRDefault="008D2243" w:rsidP="008D2243">
      <w:pPr>
        <w:tabs>
          <w:tab w:val="right" w:leader="dot" w:pos="9360"/>
        </w:tabs>
        <w:ind w:left="720" w:right="750" w:hanging="720"/>
        <w:rPr>
          <w:szCs w:val="24"/>
        </w:rPr>
      </w:pPr>
      <w:r w:rsidRPr="00225530">
        <w:rPr>
          <w:i/>
          <w:iCs/>
          <w:szCs w:val="24"/>
        </w:rPr>
        <w:lastRenderedPageBreak/>
        <w:t>Innovative Health System, Inc. v. City of White Plains</w:t>
      </w:r>
      <w:r w:rsidRPr="00225530">
        <w:rPr>
          <w:szCs w:val="24"/>
        </w:rPr>
        <w:t xml:space="preserve">, </w:t>
      </w:r>
    </w:p>
    <w:p w:rsidR="008D2243" w:rsidRPr="00225530" w:rsidRDefault="008D2243" w:rsidP="008D2243">
      <w:pPr>
        <w:tabs>
          <w:tab w:val="right" w:leader="dot" w:pos="9360"/>
        </w:tabs>
        <w:ind w:left="720" w:right="750" w:hanging="720"/>
        <w:rPr>
          <w:szCs w:val="24"/>
        </w:rPr>
      </w:pPr>
      <w:r w:rsidRPr="00225530">
        <w:rPr>
          <w:i/>
          <w:iCs/>
          <w:szCs w:val="24"/>
        </w:rPr>
        <w:tab/>
      </w:r>
      <w:r w:rsidRPr="00225530">
        <w:rPr>
          <w:szCs w:val="24"/>
        </w:rPr>
        <w:t>93</w:t>
      </w:r>
      <w:r>
        <w:rPr>
          <w:szCs w:val="24"/>
        </w:rPr>
        <w:t xml:space="preserve">1 F. Supp. 222 (S.D.N.Y. 1996), </w:t>
      </w:r>
      <w:proofErr w:type="spellStart"/>
      <w:r>
        <w:rPr>
          <w:i/>
          <w:szCs w:val="24"/>
        </w:rPr>
        <w:t>aff’</w:t>
      </w:r>
      <w:r w:rsidRPr="00225530">
        <w:rPr>
          <w:i/>
          <w:szCs w:val="24"/>
        </w:rPr>
        <w:t>d</w:t>
      </w:r>
      <w:proofErr w:type="spellEnd"/>
      <w:r w:rsidRPr="00225530">
        <w:rPr>
          <w:i/>
          <w:szCs w:val="24"/>
        </w:rPr>
        <w:t xml:space="preserve"> in part</w:t>
      </w:r>
      <w:r w:rsidRPr="00225530">
        <w:rPr>
          <w:szCs w:val="24"/>
        </w:rPr>
        <w:t>, 117 F.3d 37 (2d Cir. 1997)</w:t>
      </w:r>
      <w:r>
        <w:rPr>
          <w:szCs w:val="24"/>
        </w:rPr>
        <w:tab/>
        <w:t>3</w:t>
      </w:r>
    </w:p>
    <w:p w:rsidR="008D2243" w:rsidRPr="00225530" w:rsidRDefault="008D2243" w:rsidP="008D2243">
      <w:pPr>
        <w:ind w:left="720" w:hanging="720"/>
        <w:rPr>
          <w:szCs w:val="24"/>
        </w:rPr>
      </w:pPr>
    </w:p>
    <w:p w:rsidR="008D2243" w:rsidRDefault="008D2243" w:rsidP="008D2243">
      <w:pPr>
        <w:tabs>
          <w:tab w:val="right" w:leader="dot" w:pos="9360"/>
        </w:tabs>
        <w:ind w:left="720" w:right="750" w:hanging="720"/>
        <w:rPr>
          <w:rFonts w:ascii="CenturyExpandedBT-Roman" w:eastAsia="Calibri" w:hAnsi="CenturyExpandedBT-Roman" w:cs="CenturyExpandedBT-Roman"/>
          <w:szCs w:val="24"/>
        </w:rPr>
      </w:pPr>
      <w:r w:rsidRPr="003E7078">
        <w:rPr>
          <w:rFonts w:ascii="CenturyExpandedBT-Italic" w:eastAsia="Calibri" w:hAnsi="CenturyExpandedBT-Italic" w:cs="CenturyExpandedBT-Italic"/>
          <w:i/>
          <w:iCs/>
          <w:szCs w:val="24"/>
        </w:rPr>
        <w:t xml:space="preserve">Johnson </w:t>
      </w:r>
      <w:r w:rsidRPr="003E7078">
        <w:rPr>
          <w:rFonts w:ascii="CenturyExpandedBT-Roman" w:eastAsia="Calibri" w:hAnsi="CenturyExpandedBT-Roman" w:cs="CenturyExpandedBT-Roman"/>
          <w:i/>
          <w:szCs w:val="24"/>
        </w:rPr>
        <w:t>v.</w:t>
      </w:r>
      <w:r w:rsidRPr="00225530">
        <w:rPr>
          <w:rFonts w:ascii="CenturyExpandedBT-Roman" w:eastAsia="Calibri" w:hAnsi="CenturyExpandedBT-Roman" w:cs="CenturyExpandedBT-Roman"/>
          <w:szCs w:val="24"/>
        </w:rPr>
        <w:t xml:space="preserve"> </w:t>
      </w:r>
      <w:r w:rsidRPr="00225530">
        <w:rPr>
          <w:rFonts w:ascii="CenturyExpandedBT-Italic" w:eastAsia="Calibri" w:hAnsi="CenturyExpandedBT-Italic" w:cs="CenturyExpandedBT-Italic"/>
          <w:i/>
          <w:iCs/>
          <w:szCs w:val="24"/>
        </w:rPr>
        <w:t>City of Saline</w:t>
      </w:r>
      <w:r w:rsidRPr="00225530">
        <w:rPr>
          <w:rFonts w:ascii="CenturyExpandedBT-Roman" w:eastAsia="Calibri" w:hAnsi="CenturyExpandedBT-Roman" w:cs="CenturyExpandedBT-Roman"/>
          <w:szCs w:val="24"/>
        </w:rPr>
        <w:t xml:space="preserve">, </w:t>
      </w:r>
    </w:p>
    <w:p w:rsidR="008D2243" w:rsidRDefault="008D2243" w:rsidP="008D2243">
      <w:pPr>
        <w:tabs>
          <w:tab w:val="right" w:leader="dot" w:pos="9360"/>
        </w:tabs>
        <w:ind w:left="720" w:right="750" w:hanging="720"/>
        <w:rPr>
          <w:szCs w:val="24"/>
        </w:rPr>
      </w:pPr>
      <w:r>
        <w:rPr>
          <w:rFonts w:ascii="CenturyExpandedBT-Italic" w:eastAsia="Calibri" w:hAnsi="CenturyExpandedBT-Italic" w:cs="CenturyExpandedBT-Italic"/>
          <w:i/>
          <w:iCs/>
          <w:szCs w:val="24"/>
        </w:rPr>
        <w:tab/>
      </w:r>
      <w:r>
        <w:rPr>
          <w:rFonts w:ascii="CenturyExpandedBT-Roman" w:eastAsia="Calibri" w:hAnsi="CenturyExpandedBT-Roman" w:cs="CenturyExpandedBT-Roman"/>
          <w:szCs w:val="24"/>
        </w:rPr>
        <w:t>151 F.3d 564</w:t>
      </w:r>
      <w:r w:rsidRPr="00225530">
        <w:rPr>
          <w:rFonts w:ascii="CenturyExpandedBT-Roman" w:eastAsia="Calibri" w:hAnsi="CenturyExpandedBT-Roman" w:cs="CenturyExpandedBT-Roman"/>
          <w:szCs w:val="24"/>
        </w:rPr>
        <w:t xml:space="preserve"> (6th Cir. 1998)</w:t>
      </w:r>
      <w:r>
        <w:rPr>
          <w:szCs w:val="24"/>
        </w:rPr>
        <w:tab/>
        <w:t>14</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1D7D4F">
        <w:rPr>
          <w:i/>
          <w:szCs w:val="24"/>
        </w:rPr>
        <w:t>K.M. ex rel. D.G. v. Hyde Park Cent. Sch. Dist.</w:t>
      </w:r>
      <w:r w:rsidRPr="001D7D4F">
        <w:rPr>
          <w:szCs w:val="24"/>
        </w:rPr>
        <w:t xml:space="preserve">, </w:t>
      </w:r>
    </w:p>
    <w:p w:rsidR="008D2243" w:rsidRDefault="008D2243" w:rsidP="008D2243">
      <w:pPr>
        <w:tabs>
          <w:tab w:val="right" w:leader="dot" w:pos="9360"/>
        </w:tabs>
        <w:ind w:left="720" w:right="750" w:hanging="720"/>
        <w:rPr>
          <w:szCs w:val="24"/>
        </w:rPr>
      </w:pPr>
      <w:r>
        <w:rPr>
          <w:i/>
          <w:szCs w:val="24"/>
        </w:rPr>
        <w:tab/>
      </w:r>
      <w:r>
        <w:rPr>
          <w:szCs w:val="24"/>
        </w:rPr>
        <w:t>381 F. Supp. 2d 343</w:t>
      </w:r>
      <w:r w:rsidRPr="001D7D4F">
        <w:rPr>
          <w:szCs w:val="24"/>
        </w:rPr>
        <w:t xml:space="preserve"> (S.D.N.Y. 2005)</w:t>
      </w:r>
      <w:r>
        <w:rPr>
          <w:szCs w:val="24"/>
        </w:rPr>
        <w:tab/>
        <w:t>4</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eastAsia="Calibri"/>
          <w:szCs w:val="24"/>
        </w:rPr>
      </w:pPr>
      <w:r w:rsidRPr="00225530">
        <w:rPr>
          <w:rFonts w:eastAsia="Calibri"/>
          <w:i/>
          <w:szCs w:val="24"/>
        </w:rPr>
        <w:t xml:space="preserve">Olmstead v. L.C. ex rel. </w:t>
      </w:r>
      <w:proofErr w:type="spellStart"/>
      <w:r w:rsidRPr="00225530">
        <w:rPr>
          <w:rFonts w:eastAsia="Calibri"/>
          <w:i/>
          <w:szCs w:val="24"/>
        </w:rPr>
        <w:t>Zimring</w:t>
      </w:r>
      <w:proofErr w:type="spellEnd"/>
      <w:r w:rsidRPr="00225530">
        <w:rPr>
          <w:rFonts w:eastAsia="Calibri"/>
          <w:szCs w:val="24"/>
        </w:rPr>
        <w:t xml:space="preserve">, </w:t>
      </w:r>
    </w:p>
    <w:p w:rsidR="008D2243" w:rsidRPr="00225530" w:rsidRDefault="008D2243" w:rsidP="008D2243">
      <w:pPr>
        <w:tabs>
          <w:tab w:val="right" w:leader="dot" w:pos="9360"/>
        </w:tabs>
        <w:ind w:left="720" w:right="750" w:hanging="720"/>
        <w:rPr>
          <w:szCs w:val="24"/>
        </w:rPr>
      </w:pPr>
      <w:r>
        <w:rPr>
          <w:rFonts w:eastAsia="Calibri"/>
          <w:i/>
          <w:szCs w:val="24"/>
        </w:rPr>
        <w:tab/>
      </w:r>
      <w:r w:rsidRPr="00225530">
        <w:rPr>
          <w:rFonts w:eastAsia="Calibri"/>
          <w:szCs w:val="24"/>
        </w:rPr>
        <w:t>527 U.S. 581 (1999)</w:t>
      </w:r>
      <w:r>
        <w:rPr>
          <w:szCs w:val="24"/>
        </w:rPr>
        <w:tab/>
        <w:t>5</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r>
        <w:rPr>
          <w:rFonts w:ascii="CenturyExpandedBT-Bold" w:eastAsia="Calibri" w:hAnsi="CenturyExpandedBT-Bold" w:cs="CenturyExpandedBT-Bold"/>
          <w:bCs/>
          <w:i/>
          <w:szCs w:val="24"/>
        </w:rPr>
        <w:t>Patrice v. Murphy</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43 F. Supp. 2d 1156 (W.D. Wash. 1999)</w:t>
      </w:r>
      <w:r>
        <w:rPr>
          <w:szCs w:val="24"/>
        </w:rPr>
        <w:tab/>
        <w:t>16, 17</w:t>
      </w:r>
    </w:p>
    <w:p w:rsidR="008D2243" w:rsidRDefault="008D2243" w:rsidP="008D2243">
      <w:pPr>
        <w:tabs>
          <w:tab w:val="right" w:leader="dot" w:pos="9360"/>
        </w:tabs>
        <w:ind w:left="720" w:right="750" w:hanging="720"/>
        <w:rPr>
          <w:rFonts w:ascii="CenturyExpandedBT-Bold" w:eastAsia="Calibri" w:hAnsi="CenturyExpandedBT-Bold" w:cs="CenturyExpandedBT-Bold"/>
          <w:bCs/>
          <w:i/>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proofErr w:type="spellStart"/>
      <w:r>
        <w:rPr>
          <w:rFonts w:ascii="CenturyExpandedBT-Bold" w:eastAsia="Calibri" w:hAnsi="CenturyExpandedBT-Bold" w:cs="CenturyExpandedBT-Bold"/>
          <w:bCs/>
          <w:i/>
          <w:szCs w:val="24"/>
        </w:rPr>
        <w:t>Paulone</w:t>
      </w:r>
      <w:proofErr w:type="spellEnd"/>
      <w:r>
        <w:rPr>
          <w:rFonts w:ascii="CenturyExpandedBT-Bold" w:eastAsia="Calibri" w:hAnsi="CenturyExpandedBT-Bold" w:cs="CenturyExpandedBT-Bold"/>
          <w:bCs/>
          <w:i/>
          <w:szCs w:val="24"/>
        </w:rPr>
        <w:t xml:space="preserve"> v. City of Frederick</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rFonts w:ascii="CenturyExpandedBT-Italic" w:eastAsia="Calibri" w:hAnsi="CenturyExpandedBT-Italic" w:cs="CenturyExpandedBT-Italic"/>
          <w:i/>
          <w:iCs/>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787 F. Supp. 2d 360 (D. Md. 2011)</w:t>
      </w:r>
      <w:r w:rsidRPr="00917F05">
        <w:rPr>
          <w:szCs w:val="24"/>
        </w:rPr>
        <w:t xml:space="preserve"> </w:t>
      </w:r>
      <w:r>
        <w:rPr>
          <w:szCs w:val="24"/>
        </w:rPr>
        <w:tab/>
        <w:t>16</w:t>
      </w:r>
    </w:p>
    <w:p w:rsidR="008D2243" w:rsidRDefault="008D2243" w:rsidP="008D2243">
      <w:pPr>
        <w:tabs>
          <w:tab w:val="right" w:leader="dot" w:pos="9360"/>
        </w:tabs>
        <w:ind w:left="720" w:right="750" w:hanging="720"/>
        <w:rPr>
          <w:i/>
          <w:szCs w:val="24"/>
        </w:rPr>
      </w:pPr>
    </w:p>
    <w:p w:rsidR="008D2243" w:rsidRDefault="008D2243" w:rsidP="008D2243">
      <w:pPr>
        <w:tabs>
          <w:tab w:val="right" w:leader="dot" w:pos="9360"/>
        </w:tabs>
        <w:ind w:left="720" w:right="750" w:hanging="720"/>
        <w:rPr>
          <w:rFonts w:ascii="CenturyExpandedBT-Roman" w:eastAsia="Calibri" w:hAnsi="CenturyExpandedBT-Roman" w:cs="CenturyExpandedBT-Roman"/>
          <w:szCs w:val="24"/>
        </w:rPr>
      </w:pPr>
      <w:r w:rsidRPr="00225530">
        <w:rPr>
          <w:rFonts w:ascii="CenturyExpandedBT-Italic" w:eastAsia="Calibri" w:hAnsi="CenturyExpandedBT-Italic" w:cs="CenturyExpandedBT-Italic"/>
          <w:i/>
          <w:iCs/>
          <w:szCs w:val="24"/>
        </w:rPr>
        <w:t>Pennsylvania Dep’t of Cor</w:t>
      </w:r>
      <w:r w:rsidRPr="004F5DBE">
        <w:rPr>
          <w:rFonts w:ascii="CenturyExpandedBT-Italic" w:eastAsia="Calibri" w:hAnsi="CenturyExpandedBT-Italic" w:cs="CenturyExpandedBT-Italic"/>
          <w:i/>
          <w:iCs/>
          <w:szCs w:val="24"/>
        </w:rPr>
        <w:t xml:space="preserve">r. </w:t>
      </w:r>
      <w:r w:rsidRPr="004F5DBE">
        <w:rPr>
          <w:rFonts w:ascii="CenturyExpandedBT-Roman" w:eastAsia="Calibri" w:hAnsi="CenturyExpandedBT-Roman" w:cs="CenturyExpandedBT-Roman"/>
          <w:i/>
          <w:szCs w:val="24"/>
        </w:rPr>
        <w:t xml:space="preserve">v. </w:t>
      </w:r>
      <w:proofErr w:type="spellStart"/>
      <w:r w:rsidRPr="004F5DBE">
        <w:rPr>
          <w:rFonts w:ascii="CenturyExpandedBT-Italic" w:eastAsia="Calibri" w:hAnsi="CenturyExpandedBT-Italic" w:cs="CenturyExpandedBT-Italic"/>
          <w:i/>
          <w:iCs/>
          <w:szCs w:val="24"/>
        </w:rPr>
        <w:t>Y</w:t>
      </w:r>
      <w:r w:rsidRPr="00225530">
        <w:rPr>
          <w:rFonts w:ascii="CenturyExpandedBT-Italic" w:eastAsia="Calibri" w:hAnsi="CenturyExpandedBT-Italic" w:cs="CenturyExpandedBT-Italic"/>
          <w:i/>
          <w:iCs/>
          <w:szCs w:val="24"/>
        </w:rPr>
        <w:t>eskey</w:t>
      </w:r>
      <w:proofErr w:type="spellEnd"/>
      <w:r w:rsidRPr="00225530">
        <w:rPr>
          <w:rFonts w:ascii="CenturyExpandedBT-Roman" w:eastAsia="Calibri" w:hAnsi="CenturyExpandedBT-Roman" w:cs="CenturyExpandedBT-Roman"/>
          <w:szCs w:val="24"/>
        </w:rPr>
        <w:t xml:space="preserve">, </w:t>
      </w:r>
    </w:p>
    <w:p w:rsidR="008D2243" w:rsidRDefault="008D2243" w:rsidP="008D2243">
      <w:pPr>
        <w:tabs>
          <w:tab w:val="right" w:leader="dot" w:pos="9360"/>
        </w:tabs>
        <w:ind w:left="720" w:right="750" w:hanging="720"/>
        <w:rPr>
          <w:szCs w:val="24"/>
        </w:rPr>
      </w:pPr>
      <w:r>
        <w:rPr>
          <w:rFonts w:ascii="CenturyExpandedBT-Italic" w:eastAsia="Calibri" w:hAnsi="CenturyExpandedBT-Italic" w:cs="CenturyExpandedBT-Italic"/>
          <w:i/>
          <w:iCs/>
          <w:szCs w:val="24"/>
        </w:rPr>
        <w:tab/>
      </w:r>
      <w:r>
        <w:rPr>
          <w:rFonts w:ascii="CenturyExpandedBT-Roman" w:eastAsia="Calibri" w:hAnsi="CenturyExpandedBT-Roman" w:cs="CenturyExpandedBT-Roman"/>
          <w:szCs w:val="24"/>
        </w:rPr>
        <w:t>524 U.S. 206</w:t>
      </w:r>
      <w:r w:rsidRPr="00225530">
        <w:rPr>
          <w:rFonts w:ascii="CenturyExpandedBT-Roman" w:eastAsia="Calibri" w:hAnsi="CenturyExpandedBT-Roman" w:cs="CenturyExpandedBT-Roman"/>
          <w:szCs w:val="24"/>
        </w:rPr>
        <w:t xml:space="preserve"> (1998)</w:t>
      </w:r>
      <w:r>
        <w:rPr>
          <w:szCs w:val="24"/>
        </w:rPr>
        <w:tab/>
        <w:t>2, 11, 12</w:t>
      </w:r>
    </w:p>
    <w:p w:rsidR="00677796" w:rsidRDefault="00677796" w:rsidP="00677796">
      <w:pPr>
        <w:tabs>
          <w:tab w:val="right" w:leader="dot" w:pos="9360"/>
        </w:tabs>
        <w:ind w:left="720" w:right="750" w:hanging="720"/>
        <w:rPr>
          <w:i/>
          <w:szCs w:val="24"/>
        </w:rPr>
      </w:pPr>
    </w:p>
    <w:p w:rsidR="00677796" w:rsidRDefault="00677796" w:rsidP="00677796">
      <w:pPr>
        <w:tabs>
          <w:tab w:val="right" w:leader="dot" w:pos="9360"/>
        </w:tabs>
        <w:ind w:left="720" w:right="750" w:hanging="720"/>
        <w:rPr>
          <w:szCs w:val="24"/>
        </w:rPr>
      </w:pPr>
      <w:r w:rsidRPr="00225530">
        <w:rPr>
          <w:i/>
          <w:szCs w:val="24"/>
        </w:rPr>
        <w:t>PGA Tour, Inc. v. Martin</w:t>
      </w:r>
      <w:r w:rsidRPr="00225530">
        <w:rPr>
          <w:szCs w:val="24"/>
        </w:rPr>
        <w:t xml:space="preserve">, </w:t>
      </w:r>
    </w:p>
    <w:p w:rsidR="00677796" w:rsidRPr="00225530" w:rsidRDefault="00677796" w:rsidP="00677796">
      <w:pPr>
        <w:tabs>
          <w:tab w:val="right" w:leader="dot" w:pos="9360"/>
        </w:tabs>
        <w:ind w:left="720" w:right="750" w:hanging="720"/>
        <w:rPr>
          <w:szCs w:val="24"/>
        </w:rPr>
      </w:pPr>
      <w:r>
        <w:rPr>
          <w:i/>
          <w:szCs w:val="24"/>
        </w:rPr>
        <w:tab/>
      </w:r>
      <w:r>
        <w:rPr>
          <w:szCs w:val="24"/>
        </w:rPr>
        <w:t>532 U.S. 661</w:t>
      </w:r>
      <w:r w:rsidRPr="00225530">
        <w:rPr>
          <w:szCs w:val="24"/>
        </w:rPr>
        <w:t xml:space="preserve"> (2001)</w:t>
      </w:r>
      <w:r>
        <w:rPr>
          <w:szCs w:val="24"/>
        </w:rPr>
        <w:tab/>
        <w:t>3</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Pr>
          <w:i/>
          <w:szCs w:val="24"/>
        </w:rPr>
        <w:t xml:space="preserve">Regional Economic </w:t>
      </w:r>
      <w:proofErr w:type="spellStart"/>
      <w:r>
        <w:rPr>
          <w:i/>
          <w:szCs w:val="24"/>
        </w:rPr>
        <w:t>Cmty</w:t>
      </w:r>
      <w:proofErr w:type="spellEnd"/>
      <w:r>
        <w:rPr>
          <w:i/>
          <w:szCs w:val="24"/>
        </w:rPr>
        <w:t>. Action Program (“RECAP”) v. City of Middletown</w:t>
      </w:r>
      <w:r>
        <w:rPr>
          <w:szCs w:val="24"/>
        </w:rPr>
        <w:t xml:space="preserve">, </w:t>
      </w:r>
    </w:p>
    <w:p w:rsidR="008D2243" w:rsidRPr="00225530" w:rsidRDefault="008D2243" w:rsidP="008D2243">
      <w:pPr>
        <w:tabs>
          <w:tab w:val="right" w:leader="dot" w:pos="9360"/>
        </w:tabs>
        <w:ind w:left="720" w:right="750" w:hanging="720"/>
        <w:rPr>
          <w:szCs w:val="24"/>
        </w:rPr>
      </w:pPr>
      <w:r>
        <w:rPr>
          <w:i/>
          <w:szCs w:val="24"/>
        </w:rPr>
        <w:tab/>
      </w:r>
      <w:r>
        <w:rPr>
          <w:szCs w:val="24"/>
        </w:rPr>
        <w:t>294 F.3d 35 (2d Cir. 2002)</w:t>
      </w:r>
      <w:r>
        <w:rPr>
          <w:szCs w:val="24"/>
        </w:rPr>
        <w:tab/>
        <w:t>3, 15</w:t>
      </w:r>
    </w:p>
    <w:p w:rsidR="008D2243" w:rsidRDefault="008D2243" w:rsidP="008D2243">
      <w:pPr>
        <w:tabs>
          <w:tab w:val="right" w:leader="dot" w:pos="9360"/>
        </w:tabs>
        <w:ind w:left="720" w:right="750" w:hanging="720"/>
        <w:rPr>
          <w:rFonts w:ascii="CenturyExpandedBT-Italic" w:eastAsia="Calibri" w:hAnsi="CenturyExpandedBT-Italic" w:cs="CenturyExpandedBT-Italic"/>
          <w:i/>
          <w:iCs/>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r>
        <w:rPr>
          <w:rFonts w:ascii="CenturyExpandedBT-Bold" w:eastAsia="Calibri" w:hAnsi="CenturyExpandedBT-Bold" w:cs="CenturyExpandedBT-Bold"/>
          <w:bCs/>
          <w:i/>
          <w:szCs w:val="24"/>
        </w:rPr>
        <w:t>Rosen v. Montgomery County Maryland</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121 F.3d 154 (4</w:t>
      </w:r>
      <w:r w:rsidRPr="00377631">
        <w:rPr>
          <w:rFonts w:ascii="CenturyExpandedBT-Bold" w:eastAsia="Calibri" w:hAnsi="CenturyExpandedBT-Bold" w:cs="CenturyExpandedBT-Bold"/>
          <w:bCs/>
          <w:szCs w:val="24"/>
        </w:rPr>
        <w:t>th</w:t>
      </w:r>
      <w:r>
        <w:rPr>
          <w:rFonts w:ascii="CenturyExpandedBT-Bold" w:eastAsia="Calibri" w:hAnsi="CenturyExpandedBT-Bold" w:cs="CenturyExpandedBT-Bold"/>
          <w:bCs/>
          <w:szCs w:val="24"/>
        </w:rPr>
        <w:t xml:space="preserve"> Cir. 1997)</w:t>
      </w:r>
      <w:r>
        <w:rPr>
          <w:szCs w:val="24"/>
        </w:rPr>
        <w:tab/>
        <w:t>16</w:t>
      </w:r>
    </w:p>
    <w:p w:rsidR="008D2243" w:rsidRPr="00225530"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r>
        <w:rPr>
          <w:rFonts w:ascii="CenturyExpandedBT-Bold" w:eastAsia="Calibri" w:hAnsi="CenturyExpandedBT-Bold" w:cs="CenturyExpandedBT-Bold"/>
          <w:bCs/>
          <w:i/>
          <w:szCs w:val="24"/>
        </w:rPr>
        <w:t>Ryan v. Vermont State Police</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667 F. Supp. 2d 378 (D. Vt. 2009)</w:t>
      </w:r>
      <w:r>
        <w:rPr>
          <w:szCs w:val="24"/>
        </w:rPr>
        <w:tab/>
        <w:t>15, 23, 24</w:t>
      </w:r>
    </w:p>
    <w:p w:rsidR="008D2243" w:rsidRDefault="008D2243" w:rsidP="008D2243">
      <w:pPr>
        <w:tabs>
          <w:tab w:val="right" w:leader="dot" w:pos="9360"/>
        </w:tabs>
        <w:ind w:left="720" w:right="750" w:hanging="720"/>
        <w:rPr>
          <w:i/>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proofErr w:type="spellStart"/>
      <w:r>
        <w:rPr>
          <w:rFonts w:ascii="CenturyExpandedBT-Bold" w:eastAsia="Calibri" w:hAnsi="CenturyExpandedBT-Bold" w:cs="CenturyExpandedBT-Bold"/>
          <w:bCs/>
          <w:i/>
          <w:szCs w:val="24"/>
        </w:rPr>
        <w:t>Schorr</w:t>
      </w:r>
      <w:proofErr w:type="spellEnd"/>
      <w:r>
        <w:rPr>
          <w:rFonts w:ascii="CenturyExpandedBT-Bold" w:eastAsia="Calibri" w:hAnsi="CenturyExpandedBT-Bold" w:cs="CenturyExpandedBT-Bold"/>
          <w:bCs/>
          <w:i/>
          <w:szCs w:val="24"/>
        </w:rPr>
        <w:t xml:space="preserve"> v. Borough of Lemoyne</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243 F. Supp. 2d 232 (M.D. Pa. 2003)</w:t>
      </w:r>
      <w:r>
        <w:rPr>
          <w:szCs w:val="24"/>
        </w:rPr>
        <w:tab/>
        <w:t xml:space="preserve">16, </w:t>
      </w:r>
      <w:r w:rsidR="00677796">
        <w:rPr>
          <w:szCs w:val="24"/>
        </w:rPr>
        <w:t>19</w:t>
      </w:r>
    </w:p>
    <w:p w:rsidR="00730F20" w:rsidRDefault="00730F20" w:rsidP="008D2243">
      <w:pPr>
        <w:tabs>
          <w:tab w:val="right" w:leader="dot" w:pos="9360"/>
        </w:tabs>
        <w:ind w:left="720" w:right="750" w:hanging="720"/>
        <w:rPr>
          <w:i/>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proofErr w:type="spellStart"/>
      <w:r>
        <w:rPr>
          <w:rFonts w:ascii="CenturyExpandedBT-Bold" w:eastAsia="Calibri" w:hAnsi="CenturyExpandedBT-Bold" w:cs="CenturyExpandedBT-Bold"/>
          <w:bCs/>
          <w:i/>
          <w:szCs w:val="24"/>
        </w:rPr>
        <w:t>Seremeth</w:t>
      </w:r>
      <w:proofErr w:type="spellEnd"/>
      <w:r>
        <w:rPr>
          <w:rFonts w:ascii="CenturyExpandedBT-Bold" w:eastAsia="Calibri" w:hAnsi="CenturyExpandedBT-Bold" w:cs="CenturyExpandedBT-Bold"/>
          <w:bCs/>
          <w:i/>
          <w:szCs w:val="24"/>
        </w:rPr>
        <w:t xml:space="preserve"> v. Board of County </w:t>
      </w:r>
      <w:proofErr w:type="spellStart"/>
      <w:r>
        <w:rPr>
          <w:rFonts w:ascii="CenturyExpandedBT-Bold" w:eastAsia="Calibri" w:hAnsi="CenturyExpandedBT-Bold" w:cs="CenturyExpandedBT-Bold"/>
          <w:bCs/>
          <w:i/>
          <w:szCs w:val="24"/>
        </w:rPr>
        <w:t>Cmssrs</w:t>
      </w:r>
      <w:proofErr w:type="spellEnd"/>
      <w:r>
        <w:rPr>
          <w:rFonts w:ascii="CenturyExpandedBT-Bold" w:eastAsia="Calibri" w:hAnsi="CenturyExpandedBT-Bold" w:cs="CenturyExpandedBT-Bold"/>
          <w:bCs/>
          <w:i/>
          <w:szCs w:val="24"/>
        </w:rPr>
        <w:t xml:space="preserve">. Frederick </w:t>
      </w:r>
      <w:proofErr w:type="spellStart"/>
      <w:r>
        <w:rPr>
          <w:rFonts w:ascii="CenturyExpandedBT-Bold" w:eastAsia="Calibri" w:hAnsi="CenturyExpandedBT-Bold" w:cs="CenturyExpandedBT-Bold"/>
          <w:bCs/>
          <w:i/>
          <w:szCs w:val="24"/>
        </w:rPr>
        <w:t>Cty</w:t>
      </w:r>
      <w:proofErr w:type="spellEnd"/>
      <w:r>
        <w:rPr>
          <w:rFonts w:ascii="CenturyExpandedBT-Bold" w:eastAsia="Calibri" w:hAnsi="CenturyExpandedBT-Bold" w:cs="CenturyExpandedBT-Bold"/>
          <w:bCs/>
          <w:i/>
          <w:szCs w:val="24"/>
        </w:rPr>
        <w:t>.</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673 F.3d 333 (4</w:t>
      </w:r>
      <w:r w:rsidRPr="00ED2966">
        <w:rPr>
          <w:rFonts w:ascii="CenturyExpandedBT-Bold" w:eastAsia="Calibri" w:hAnsi="CenturyExpandedBT-Bold" w:cs="CenturyExpandedBT-Bold"/>
          <w:bCs/>
          <w:szCs w:val="24"/>
        </w:rPr>
        <w:t>th</w:t>
      </w:r>
      <w:r>
        <w:rPr>
          <w:rFonts w:ascii="CenturyExpandedBT-Bold" w:eastAsia="Calibri" w:hAnsi="CenturyExpandedBT-Bold" w:cs="CenturyExpandedBT-Bold"/>
          <w:bCs/>
          <w:szCs w:val="24"/>
        </w:rPr>
        <w:t xml:space="preserve"> Cir. 2012)</w:t>
      </w:r>
      <w:r>
        <w:rPr>
          <w:szCs w:val="24"/>
        </w:rPr>
        <w:tab/>
        <w:t>17, 19, 21</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r>
        <w:rPr>
          <w:rFonts w:ascii="CenturyExpandedBT-Bold" w:eastAsia="Calibri" w:hAnsi="CenturyExpandedBT-Bold" w:cs="CenturyExpandedBT-Bold"/>
          <w:bCs/>
          <w:i/>
          <w:szCs w:val="24"/>
        </w:rPr>
        <w:t>Taylor v. City of Mason</w:t>
      </w:r>
      <w:r>
        <w:rPr>
          <w:rFonts w:ascii="CenturyExpandedBT-Bold" w:eastAsia="Calibri" w:hAnsi="CenturyExpandedBT-Bold" w:cs="CenturyExpandedBT-Bold"/>
          <w:bCs/>
          <w:szCs w:val="24"/>
        </w:rPr>
        <w:t xml:space="preserve">, </w:t>
      </w:r>
    </w:p>
    <w:p w:rsidR="008D2243" w:rsidRPr="00225530" w:rsidRDefault="008D2243" w:rsidP="008D2243">
      <w:pPr>
        <w:tabs>
          <w:tab w:val="right" w:leader="dot" w:pos="9360"/>
        </w:tabs>
        <w:ind w:left="720" w:right="750" w:hanging="720"/>
        <w:rPr>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970 F. Supp. 2d 776 (S.D. Ohio 2013)</w:t>
      </w:r>
      <w:r>
        <w:rPr>
          <w:szCs w:val="24"/>
        </w:rPr>
        <w:tab/>
        <w:t>16, 23</w:t>
      </w:r>
    </w:p>
    <w:p w:rsidR="008D2243" w:rsidRDefault="008D2243" w:rsidP="008D2243">
      <w:pPr>
        <w:tabs>
          <w:tab w:val="right" w:leader="dot" w:pos="9360"/>
        </w:tabs>
        <w:ind w:left="720" w:right="750" w:hanging="720"/>
        <w:rPr>
          <w:i/>
          <w:szCs w:val="24"/>
        </w:rPr>
      </w:pPr>
    </w:p>
    <w:p w:rsidR="008D2243" w:rsidRDefault="008D2243" w:rsidP="008D2243">
      <w:pPr>
        <w:tabs>
          <w:tab w:val="right" w:leader="dot" w:pos="9360"/>
        </w:tabs>
        <w:ind w:left="720" w:right="750" w:hanging="720"/>
        <w:rPr>
          <w:szCs w:val="24"/>
        </w:rPr>
      </w:pPr>
      <w:proofErr w:type="spellStart"/>
      <w:r w:rsidRPr="00225530">
        <w:rPr>
          <w:i/>
          <w:szCs w:val="24"/>
        </w:rPr>
        <w:t>Tcherepnin</w:t>
      </w:r>
      <w:proofErr w:type="spellEnd"/>
      <w:r w:rsidRPr="00225530">
        <w:rPr>
          <w:i/>
          <w:szCs w:val="24"/>
        </w:rPr>
        <w:t xml:space="preserve"> v. Knight</w:t>
      </w:r>
      <w:r w:rsidRPr="00225530">
        <w:rPr>
          <w:szCs w:val="24"/>
        </w:rPr>
        <w:t xml:space="preserve">, </w:t>
      </w:r>
    </w:p>
    <w:p w:rsidR="008D2243" w:rsidRPr="00225530" w:rsidRDefault="008D2243" w:rsidP="008D2243">
      <w:pPr>
        <w:tabs>
          <w:tab w:val="right" w:leader="dot" w:pos="9360"/>
        </w:tabs>
        <w:ind w:left="720" w:right="750" w:hanging="720"/>
        <w:rPr>
          <w:szCs w:val="24"/>
        </w:rPr>
      </w:pPr>
      <w:r>
        <w:rPr>
          <w:i/>
          <w:szCs w:val="24"/>
        </w:rPr>
        <w:tab/>
      </w:r>
      <w:r>
        <w:rPr>
          <w:szCs w:val="24"/>
        </w:rPr>
        <w:t>389 U.S. 332</w:t>
      </w:r>
      <w:r w:rsidRPr="00225530">
        <w:rPr>
          <w:szCs w:val="24"/>
        </w:rPr>
        <w:t xml:space="preserve"> (1967)</w:t>
      </w:r>
      <w:r>
        <w:rPr>
          <w:szCs w:val="24"/>
        </w:rPr>
        <w:tab/>
        <w:t>3</w:t>
      </w:r>
    </w:p>
    <w:p w:rsidR="008D2243" w:rsidRDefault="008D2243" w:rsidP="008D2243">
      <w:pPr>
        <w:tabs>
          <w:tab w:val="right" w:leader="dot" w:pos="9360"/>
        </w:tabs>
        <w:ind w:left="720" w:right="750" w:hanging="720"/>
        <w:rPr>
          <w:szCs w:val="24"/>
        </w:rPr>
      </w:pPr>
    </w:p>
    <w:p w:rsidR="00677796" w:rsidRDefault="00677796"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225530">
        <w:rPr>
          <w:i/>
          <w:szCs w:val="24"/>
        </w:rPr>
        <w:t>Tennessee v. Lane</w:t>
      </w:r>
      <w:r>
        <w:rPr>
          <w:szCs w:val="24"/>
        </w:rPr>
        <w:t xml:space="preserve">, </w:t>
      </w:r>
    </w:p>
    <w:p w:rsidR="008D2243" w:rsidRDefault="008D2243" w:rsidP="008D2243">
      <w:pPr>
        <w:tabs>
          <w:tab w:val="right" w:leader="dot" w:pos="9360"/>
        </w:tabs>
        <w:ind w:left="720" w:right="750" w:hanging="720"/>
        <w:rPr>
          <w:szCs w:val="24"/>
        </w:rPr>
      </w:pPr>
      <w:r>
        <w:rPr>
          <w:i/>
          <w:szCs w:val="24"/>
        </w:rPr>
        <w:tab/>
      </w:r>
      <w:r>
        <w:rPr>
          <w:szCs w:val="24"/>
        </w:rPr>
        <w:t>541 U.S. 509 (2004)</w:t>
      </w:r>
      <w:r>
        <w:rPr>
          <w:szCs w:val="24"/>
        </w:rPr>
        <w:tab/>
        <w:t>4</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r>
        <w:rPr>
          <w:rFonts w:ascii="CenturyExpandedBT-Bold" w:eastAsia="Calibri" w:hAnsi="CenturyExpandedBT-Bold" w:cs="CenturyExpandedBT-Bold"/>
          <w:bCs/>
          <w:i/>
          <w:szCs w:val="24"/>
        </w:rPr>
        <w:t>Tucker v. Tennessee</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 xml:space="preserve">539 F.3d 526 </w:t>
      </w:r>
      <w:r w:rsidRPr="00377631">
        <w:rPr>
          <w:rFonts w:ascii="CenturyExpandedBT-Bold" w:eastAsia="Calibri" w:hAnsi="CenturyExpandedBT-Bold" w:cs="CenturyExpandedBT-Bold"/>
          <w:bCs/>
          <w:szCs w:val="24"/>
        </w:rPr>
        <w:t>(6th Cir. 2008)</w:t>
      </w:r>
      <w:r>
        <w:rPr>
          <w:szCs w:val="24"/>
        </w:rPr>
        <w:tab/>
        <w:t>21</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Roman" w:eastAsia="Calibri" w:hAnsi="CenturyExpandedBT-Roman" w:cs="CenturyExpandedBT-Roman"/>
          <w:szCs w:val="24"/>
        </w:rPr>
      </w:pPr>
      <w:r w:rsidRPr="00225530">
        <w:rPr>
          <w:rFonts w:ascii="CenturyExpandedBT-Italic" w:eastAsia="Calibri" w:hAnsi="CenturyExpandedBT-Italic" w:cs="CenturyExpandedBT-Italic"/>
          <w:i/>
          <w:iCs/>
          <w:szCs w:val="24"/>
        </w:rPr>
        <w:t>United State</w:t>
      </w:r>
      <w:r w:rsidRPr="008B2901">
        <w:rPr>
          <w:rFonts w:ascii="CenturyExpandedBT-Italic" w:eastAsia="Calibri" w:hAnsi="CenturyExpandedBT-Italic" w:cs="CenturyExpandedBT-Italic"/>
          <w:iCs/>
          <w:szCs w:val="24"/>
        </w:rPr>
        <w:t xml:space="preserve">s </w:t>
      </w:r>
      <w:r w:rsidRPr="00013427">
        <w:rPr>
          <w:rFonts w:ascii="CenturyExpandedBT-Roman" w:eastAsia="Calibri" w:hAnsi="CenturyExpandedBT-Roman" w:cs="CenturyExpandedBT-Roman"/>
          <w:i/>
          <w:szCs w:val="24"/>
        </w:rPr>
        <w:t xml:space="preserve">v. </w:t>
      </w:r>
      <w:r w:rsidRPr="00013427">
        <w:rPr>
          <w:rFonts w:ascii="CenturyExpandedBT-Italic" w:eastAsia="Calibri" w:hAnsi="CenturyExpandedBT-Italic" w:cs="CenturyExpandedBT-Italic"/>
          <w:i/>
          <w:iCs/>
          <w:szCs w:val="24"/>
        </w:rPr>
        <w:t>Go</w:t>
      </w:r>
      <w:r w:rsidRPr="00225530">
        <w:rPr>
          <w:rFonts w:ascii="CenturyExpandedBT-Italic" w:eastAsia="Calibri" w:hAnsi="CenturyExpandedBT-Italic" w:cs="CenturyExpandedBT-Italic"/>
          <w:i/>
          <w:iCs/>
          <w:szCs w:val="24"/>
        </w:rPr>
        <w:t>nzales</w:t>
      </w:r>
      <w:r>
        <w:rPr>
          <w:rFonts w:ascii="CenturyExpandedBT-Roman" w:eastAsia="Calibri" w:hAnsi="CenturyExpandedBT-Roman" w:cs="CenturyExpandedBT-Roman"/>
          <w:szCs w:val="24"/>
        </w:rPr>
        <w:t xml:space="preserve">, </w:t>
      </w:r>
    </w:p>
    <w:p w:rsidR="008D2243" w:rsidRDefault="008D2243" w:rsidP="008D2243">
      <w:pPr>
        <w:tabs>
          <w:tab w:val="right" w:leader="dot" w:pos="9360"/>
        </w:tabs>
        <w:ind w:left="720" w:right="750" w:hanging="720"/>
        <w:rPr>
          <w:szCs w:val="24"/>
        </w:rPr>
      </w:pPr>
      <w:r>
        <w:rPr>
          <w:rFonts w:ascii="CenturyExpandedBT-Italic" w:eastAsia="Calibri" w:hAnsi="CenturyExpandedBT-Italic" w:cs="CenturyExpandedBT-Italic"/>
          <w:i/>
          <w:iCs/>
          <w:szCs w:val="24"/>
        </w:rPr>
        <w:tab/>
      </w:r>
      <w:r>
        <w:rPr>
          <w:rFonts w:ascii="CenturyExpandedBT-Roman" w:eastAsia="Calibri" w:hAnsi="CenturyExpandedBT-Roman" w:cs="CenturyExpandedBT-Roman"/>
          <w:szCs w:val="24"/>
        </w:rPr>
        <w:t>520 U.S. 1 (1997</w:t>
      </w:r>
      <w:r>
        <w:rPr>
          <w:szCs w:val="24"/>
        </w:rPr>
        <w:t>)</w:t>
      </w:r>
      <w:r>
        <w:rPr>
          <w:szCs w:val="24"/>
        </w:rPr>
        <w:tab/>
        <w:t>4</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eastAsia="Calibri"/>
          <w:i/>
          <w:iCs/>
          <w:szCs w:val="24"/>
        </w:rPr>
      </w:pPr>
      <w:r w:rsidRPr="00DE78F2">
        <w:rPr>
          <w:rFonts w:eastAsia="Calibri"/>
          <w:i/>
          <w:iCs/>
          <w:szCs w:val="24"/>
        </w:rPr>
        <w:t>U.S. Airways v. Barnett</w:t>
      </w:r>
      <w:r>
        <w:rPr>
          <w:rFonts w:eastAsia="Calibri"/>
          <w:i/>
          <w:iCs/>
          <w:szCs w:val="24"/>
        </w:rPr>
        <w:t>,</w:t>
      </w:r>
    </w:p>
    <w:p w:rsidR="008D2243" w:rsidRDefault="008D2243" w:rsidP="008D2243">
      <w:pPr>
        <w:tabs>
          <w:tab w:val="right" w:leader="dot" w:pos="9360"/>
        </w:tabs>
        <w:ind w:left="720" w:right="750" w:hanging="720"/>
        <w:rPr>
          <w:szCs w:val="24"/>
        </w:rPr>
      </w:pPr>
      <w:r>
        <w:rPr>
          <w:rFonts w:eastAsia="Calibri"/>
          <w:i/>
          <w:iCs/>
          <w:szCs w:val="24"/>
        </w:rPr>
        <w:tab/>
      </w:r>
      <w:r>
        <w:rPr>
          <w:rFonts w:eastAsia="Calibri"/>
          <w:szCs w:val="24"/>
        </w:rPr>
        <w:t>535 U.S. 391</w:t>
      </w:r>
      <w:r w:rsidRPr="00DE78F2">
        <w:rPr>
          <w:rFonts w:eastAsia="Calibri"/>
          <w:szCs w:val="24"/>
        </w:rPr>
        <w:t xml:space="preserve"> (2002)</w:t>
      </w:r>
      <w:r>
        <w:rPr>
          <w:szCs w:val="24"/>
        </w:rPr>
        <w:tab/>
      </w:r>
      <w:r w:rsidR="00677796">
        <w:rPr>
          <w:szCs w:val="24"/>
        </w:rPr>
        <w:t>20</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Bold" w:eastAsia="Calibri" w:hAnsi="CenturyExpandedBT-Bold" w:cs="CenturyExpandedBT-Bold"/>
          <w:bCs/>
          <w:szCs w:val="24"/>
        </w:rPr>
      </w:pPr>
      <w:proofErr w:type="spellStart"/>
      <w:r>
        <w:rPr>
          <w:rFonts w:ascii="CenturyExpandedBT-Bold" w:eastAsia="Calibri" w:hAnsi="CenturyExpandedBT-Bold" w:cs="CenturyExpandedBT-Bold"/>
          <w:bCs/>
          <w:i/>
          <w:szCs w:val="24"/>
        </w:rPr>
        <w:t>Valanzuolo</w:t>
      </w:r>
      <w:proofErr w:type="spellEnd"/>
      <w:r>
        <w:rPr>
          <w:rFonts w:ascii="CenturyExpandedBT-Bold" w:eastAsia="Calibri" w:hAnsi="CenturyExpandedBT-Bold" w:cs="CenturyExpandedBT-Bold"/>
          <w:bCs/>
          <w:i/>
          <w:szCs w:val="24"/>
        </w:rPr>
        <w:t xml:space="preserve"> v. City of New Haven</w:t>
      </w:r>
      <w:r>
        <w:rPr>
          <w:rFonts w:ascii="CenturyExpandedBT-Bold" w:eastAsia="Calibri" w:hAnsi="CenturyExpandedBT-Bold" w:cs="CenturyExpandedBT-Bold"/>
          <w:bCs/>
          <w:szCs w:val="24"/>
        </w:rPr>
        <w:t xml:space="preserve">, </w:t>
      </w:r>
    </w:p>
    <w:p w:rsidR="008D2243" w:rsidRDefault="008D2243" w:rsidP="008D2243">
      <w:pPr>
        <w:tabs>
          <w:tab w:val="right" w:leader="dot" w:pos="9360"/>
        </w:tabs>
        <w:ind w:left="720" w:right="750" w:hanging="720"/>
        <w:rPr>
          <w:szCs w:val="24"/>
        </w:rPr>
      </w:pPr>
      <w:r>
        <w:rPr>
          <w:rFonts w:ascii="CenturyExpandedBT-Bold" w:eastAsia="Calibri" w:hAnsi="CenturyExpandedBT-Bold" w:cs="CenturyExpandedBT-Bold"/>
          <w:bCs/>
          <w:i/>
          <w:szCs w:val="24"/>
        </w:rPr>
        <w:tab/>
      </w:r>
      <w:r>
        <w:rPr>
          <w:rFonts w:ascii="CenturyExpandedBT-Bold" w:eastAsia="Calibri" w:hAnsi="CenturyExpandedBT-Bold" w:cs="CenturyExpandedBT-Bold"/>
          <w:bCs/>
          <w:szCs w:val="24"/>
        </w:rPr>
        <w:t>972 F. Supp. 2d 263 (D. Conn. 2013)</w:t>
      </w:r>
      <w:r>
        <w:rPr>
          <w:szCs w:val="24"/>
        </w:rPr>
        <w:tab/>
        <w:t>15, 23</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rFonts w:ascii="CenturyExpandedBT-Roman" w:eastAsia="Calibri" w:hAnsi="CenturyExpandedBT-Roman" w:cs="CenturyExpandedBT-Roman"/>
          <w:szCs w:val="24"/>
        </w:rPr>
      </w:pPr>
      <w:r>
        <w:rPr>
          <w:rFonts w:ascii="CenturyExpandedBT-Roman" w:eastAsia="Calibri" w:hAnsi="CenturyExpandedBT-Roman" w:cs="CenturyExpandedBT-Roman"/>
          <w:i/>
          <w:szCs w:val="24"/>
        </w:rPr>
        <w:t>Waller v. City of Danville</w:t>
      </w:r>
      <w:r>
        <w:rPr>
          <w:rFonts w:ascii="CenturyExpandedBT-Roman" w:eastAsia="Calibri" w:hAnsi="CenturyExpandedBT-Roman" w:cs="CenturyExpandedBT-Roman"/>
          <w:szCs w:val="24"/>
        </w:rPr>
        <w:t>, 556 F.3d 171</w:t>
      </w:r>
    </w:p>
    <w:p w:rsidR="008D2243" w:rsidRDefault="008D2243" w:rsidP="008D2243">
      <w:pPr>
        <w:tabs>
          <w:tab w:val="right" w:leader="dot" w:pos="9360"/>
        </w:tabs>
        <w:ind w:left="720" w:right="750" w:hanging="720"/>
        <w:rPr>
          <w:szCs w:val="24"/>
        </w:rPr>
      </w:pPr>
      <w:r>
        <w:rPr>
          <w:rFonts w:ascii="CenturyExpandedBT-Roman" w:eastAsia="Calibri" w:hAnsi="CenturyExpandedBT-Roman" w:cs="CenturyExpandedBT-Roman"/>
          <w:i/>
          <w:szCs w:val="24"/>
        </w:rPr>
        <w:tab/>
      </w:r>
      <w:r>
        <w:rPr>
          <w:rFonts w:ascii="CenturyExpandedBT-Roman" w:eastAsia="Calibri" w:hAnsi="CenturyExpandedBT-Roman" w:cs="CenturyExpandedBT-Roman"/>
          <w:szCs w:val="24"/>
        </w:rPr>
        <w:t>(4</w:t>
      </w:r>
      <w:r w:rsidRPr="00ED2966">
        <w:rPr>
          <w:rFonts w:ascii="CenturyExpandedBT-Roman" w:eastAsia="Calibri" w:hAnsi="CenturyExpandedBT-Roman" w:cs="CenturyExpandedBT-Roman"/>
          <w:szCs w:val="24"/>
        </w:rPr>
        <w:t>th</w:t>
      </w:r>
      <w:r>
        <w:rPr>
          <w:rFonts w:ascii="CenturyExpandedBT-Roman" w:eastAsia="Calibri" w:hAnsi="CenturyExpandedBT-Roman" w:cs="CenturyExpandedBT-Roman"/>
          <w:szCs w:val="24"/>
        </w:rPr>
        <w:t xml:space="preserve"> Cir. 2009)</w:t>
      </w:r>
      <w:r>
        <w:rPr>
          <w:szCs w:val="24"/>
        </w:rPr>
        <w:tab/>
        <w:t>16</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proofErr w:type="spellStart"/>
      <w:r w:rsidRPr="00225530">
        <w:rPr>
          <w:i/>
          <w:szCs w:val="24"/>
        </w:rPr>
        <w:t>Zervos</w:t>
      </w:r>
      <w:proofErr w:type="spellEnd"/>
      <w:r w:rsidRPr="00225530">
        <w:rPr>
          <w:i/>
          <w:szCs w:val="24"/>
        </w:rPr>
        <w:t xml:space="preserve"> v. Verizon N.Y., Inc.</w:t>
      </w:r>
      <w:r w:rsidRPr="00225530">
        <w:rPr>
          <w:szCs w:val="24"/>
        </w:rPr>
        <w:t xml:space="preserve">, </w:t>
      </w:r>
    </w:p>
    <w:p w:rsidR="008D2243" w:rsidRPr="00225530" w:rsidRDefault="008D2243" w:rsidP="008D2243">
      <w:pPr>
        <w:tabs>
          <w:tab w:val="right" w:leader="dot" w:pos="9360"/>
        </w:tabs>
        <w:ind w:left="720" w:right="750" w:hanging="720"/>
        <w:rPr>
          <w:szCs w:val="24"/>
        </w:rPr>
      </w:pPr>
      <w:r>
        <w:rPr>
          <w:i/>
          <w:szCs w:val="24"/>
        </w:rPr>
        <w:tab/>
      </w:r>
      <w:r>
        <w:rPr>
          <w:szCs w:val="24"/>
        </w:rPr>
        <w:t>252 F.3d 163</w:t>
      </w:r>
      <w:r w:rsidRPr="00225530">
        <w:rPr>
          <w:szCs w:val="24"/>
        </w:rPr>
        <w:t xml:space="preserve"> (2d Cir. 2001)</w:t>
      </w:r>
      <w:r>
        <w:rPr>
          <w:szCs w:val="24"/>
        </w:rPr>
        <w:tab/>
        <w:t>3</w:t>
      </w:r>
    </w:p>
    <w:p w:rsidR="008D2243" w:rsidRPr="00225530" w:rsidRDefault="008D2243" w:rsidP="008D2243">
      <w:pPr>
        <w:ind w:left="720" w:hanging="720"/>
        <w:rPr>
          <w:szCs w:val="24"/>
        </w:rPr>
      </w:pPr>
    </w:p>
    <w:p w:rsidR="008D2243" w:rsidRPr="00225530" w:rsidRDefault="008D2243" w:rsidP="008D2243">
      <w:pPr>
        <w:ind w:left="720" w:hanging="720"/>
        <w:rPr>
          <w:szCs w:val="24"/>
        </w:rPr>
      </w:pPr>
      <w:r w:rsidRPr="00225530">
        <w:rPr>
          <w:b/>
          <w:bCs/>
          <w:szCs w:val="24"/>
        </w:rPr>
        <w:t>FEDERAL STATUTES AND REGULATIONS</w:t>
      </w:r>
    </w:p>
    <w:p w:rsidR="008D2243" w:rsidRPr="00225530" w:rsidRDefault="008D2243" w:rsidP="008D2243">
      <w:pPr>
        <w:ind w:left="720" w:hanging="720"/>
        <w:rPr>
          <w:szCs w:val="24"/>
        </w:rPr>
      </w:pPr>
    </w:p>
    <w:p w:rsidR="008D2243" w:rsidRPr="00225530" w:rsidRDefault="008D2243" w:rsidP="008D2243">
      <w:pPr>
        <w:tabs>
          <w:tab w:val="right" w:leader="dot" w:pos="9360"/>
        </w:tabs>
        <w:ind w:left="720" w:right="750" w:hanging="720"/>
        <w:rPr>
          <w:szCs w:val="24"/>
        </w:rPr>
      </w:pPr>
      <w:r>
        <w:rPr>
          <w:szCs w:val="24"/>
        </w:rPr>
        <w:t xml:space="preserve">28 U.S.C. </w:t>
      </w:r>
      <w:r w:rsidRPr="00225530">
        <w:rPr>
          <w:szCs w:val="24"/>
        </w:rPr>
        <w:t xml:space="preserve">§ </w:t>
      </w:r>
      <w:r>
        <w:rPr>
          <w:szCs w:val="24"/>
        </w:rPr>
        <w:t>517</w:t>
      </w:r>
      <w:r>
        <w:rPr>
          <w:szCs w:val="24"/>
        </w:rPr>
        <w:tab/>
        <w:t>1</w:t>
      </w:r>
    </w:p>
    <w:p w:rsidR="008D2243" w:rsidRDefault="008D2243" w:rsidP="008D2243">
      <w:pPr>
        <w:tabs>
          <w:tab w:val="right" w:leader="dot" w:pos="9360"/>
        </w:tabs>
        <w:ind w:left="720" w:right="750" w:hanging="720"/>
        <w:rPr>
          <w:szCs w:val="24"/>
        </w:rPr>
      </w:pPr>
    </w:p>
    <w:p w:rsidR="008D2243" w:rsidRPr="00225530" w:rsidRDefault="008D2243" w:rsidP="008D2243">
      <w:pPr>
        <w:tabs>
          <w:tab w:val="right" w:leader="dot" w:pos="9360"/>
        </w:tabs>
        <w:ind w:left="720" w:right="750" w:hanging="720"/>
        <w:rPr>
          <w:szCs w:val="24"/>
        </w:rPr>
      </w:pPr>
      <w:r>
        <w:rPr>
          <w:szCs w:val="24"/>
        </w:rPr>
        <w:t xml:space="preserve">29 U.S.C. </w:t>
      </w:r>
      <w:r w:rsidRPr="00225530">
        <w:rPr>
          <w:szCs w:val="24"/>
        </w:rPr>
        <w:t xml:space="preserve">§ </w:t>
      </w:r>
      <w:r>
        <w:rPr>
          <w:szCs w:val="24"/>
        </w:rPr>
        <w:t>701</w:t>
      </w:r>
      <w:r>
        <w:rPr>
          <w:szCs w:val="24"/>
        </w:rPr>
        <w:tab/>
        <w:t>1, 4, 12</w:t>
      </w:r>
    </w:p>
    <w:p w:rsidR="008D2243" w:rsidRDefault="008D2243" w:rsidP="008D2243">
      <w:pPr>
        <w:tabs>
          <w:tab w:val="right" w:leader="dot" w:pos="9360"/>
        </w:tabs>
        <w:ind w:left="720" w:right="750" w:hanging="720"/>
        <w:rPr>
          <w:szCs w:val="24"/>
        </w:rPr>
      </w:pPr>
    </w:p>
    <w:p w:rsidR="008D2243" w:rsidRPr="00225530" w:rsidRDefault="008D2243" w:rsidP="008D2243">
      <w:pPr>
        <w:tabs>
          <w:tab w:val="right" w:leader="dot" w:pos="9360"/>
        </w:tabs>
        <w:ind w:left="720" w:right="750" w:hanging="720"/>
        <w:rPr>
          <w:szCs w:val="24"/>
        </w:rPr>
      </w:pPr>
      <w:r>
        <w:rPr>
          <w:szCs w:val="24"/>
        </w:rPr>
        <w:t xml:space="preserve">29 U.S.C. </w:t>
      </w:r>
      <w:r w:rsidRPr="00225530">
        <w:rPr>
          <w:szCs w:val="24"/>
        </w:rPr>
        <w:t xml:space="preserve">§ </w:t>
      </w:r>
      <w:r>
        <w:rPr>
          <w:szCs w:val="24"/>
        </w:rPr>
        <w:t>794</w:t>
      </w:r>
      <w:r>
        <w:rPr>
          <w:szCs w:val="24"/>
        </w:rPr>
        <w:tab/>
        <w:t>1, 4, 12</w:t>
      </w:r>
    </w:p>
    <w:p w:rsidR="008D2243" w:rsidRDefault="008D2243" w:rsidP="008D2243">
      <w:pPr>
        <w:tabs>
          <w:tab w:val="right" w:leader="dot" w:pos="9360"/>
        </w:tabs>
        <w:ind w:left="720" w:right="750" w:hanging="720"/>
        <w:rPr>
          <w:szCs w:val="24"/>
        </w:rPr>
      </w:pPr>
    </w:p>
    <w:p w:rsidR="008D2243" w:rsidRPr="00225530" w:rsidRDefault="008D2243" w:rsidP="008D2243">
      <w:pPr>
        <w:tabs>
          <w:tab w:val="right" w:leader="dot" w:pos="9360"/>
        </w:tabs>
        <w:ind w:left="720" w:right="750" w:hanging="720"/>
        <w:rPr>
          <w:szCs w:val="24"/>
        </w:rPr>
      </w:pPr>
      <w:r w:rsidRPr="00225530">
        <w:rPr>
          <w:szCs w:val="24"/>
        </w:rPr>
        <w:t xml:space="preserve">42 </w:t>
      </w:r>
      <w:r>
        <w:rPr>
          <w:szCs w:val="24"/>
        </w:rPr>
        <w:t>U.S.C. § 12101</w:t>
      </w:r>
      <w:r>
        <w:rPr>
          <w:szCs w:val="24"/>
        </w:rPr>
        <w:tab/>
        <w:t>1</w:t>
      </w:r>
    </w:p>
    <w:p w:rsidR="008D2243" w:rsidRDefault="008D2243" w:rsidP="008D2243">
      <w:pPr>
        <w:tabs>
          <w:tab w:val="right" w:leader="dot" w:pos="9360"/>
        </w:tabs>
        <w:ind w:left="720" w:right="750" w:hanging="720"/>
        <w:rPr>
          <w:szCs w:val="24"/>
        </w:rPr>
      </w:pPr>
    </w:p>
    <w:p w:rsidR="008D2243" w:rsidRPr="00225530" w:rsidRDefault="008D2243" w:rsidP="008D2243">
      <w:pPr>
        <w:tabs>
          <w:tab w:val="right" w:leader="dot" w:pos="9360"/>
        </w:tabs>
        <w:ind w:left="720" w:right="750" w:hanging="720"/>
        <w:rPr>
          <w:szCs w:val="24"/>
        </w:rPr>
      </w:pPr>
      <w:r w:rsidRPr="00225530">
        <w:rPr>
          <w:szCs w:val="24"/>
        </w:rPr>
        <w:t xml:space="preserve">42 </w:t>
      </w:r>
      <w:r>
        <w:rPr>
          <w:szCs w:val="24"/>
        </w:rPr>
        <w:t>U.S.C. § 12101(b)</w:t>
      </w:r>
      <w:r>
        <w:rPr>
          <w:szCs w:val="24"/>
        </w:rPr>
        <w:tab/>
        <w:t>3</w:t>
      </w:r>
    </w:p>
    <w:p w:rsidR="008D2243" w:rsidRPr="00225530" w:rsidRDefault="008D2243" w:rsidP="008D2243">
      <w:pPr>
        <w:ind w:left="720" w:hanging="720"/>
        <w:rPr>
          <w:szCs w:val="24"/>
        </w:rPr>
      </w:pPr>
    </w:p>
    <w:p w:rsidR="008D2243" w:rsidRPr="00225530" w:rsidRDefault="008D2243" w:rsidP="008D2243">
      <w:pPr>
        <w:tabs>
          <w:tab w:val="right" w:leader="dot" w:pos="9360"/>
        </w:tabs>
        <w:ind w:left="720" w:right="750" w:hanging="720"/>
        <w:rPr>
          <w:szCs w:val="24"/>
        </w:rPr>
      </w:pPr>
      <w:r w:rsidRPr="00225530">
        <w:rPr>
          <w:szCs w:val="24"/>
        </w:rPr>
        <w:t xml:space="preserve">42 </w:t>
      </w:r>
      <w:r>
        <w:rPr>
          <w:szCs w:val="24"/>
        </w:rPr>
        <w:t>U.S.C. § 12131</w:t>
      </w:r>
      <w:r>
        <w:rPr>
          <w:szCs w:val="24"/>
        </w:rPr>
        <w:tab/>
        <w:t>4</w:t>
      </w:r>
    </w:p>
    <w:p w:rsidR="008D2243" w:rsidRPr="00225530" w:rsidRDefault="008D2243" w:rsidP="008D2243">
      <w:pPr>
        <w:ind w:left="720" w:hanging="720"/>
        <w:rPr>
          <w:szCs w:val="24"/>
        </w:rPr>
      </w:pPr>
    </w:p>
    <w:p w:rsidR="008D2243" w:rsidRPr="00225530" w:rsidRDefault="008D2243" w:rsidP="008D2243">
      <w:pPr>
        <w:tabs>
          <w:tab w:val="right" w:leader="dot" w:pos="9360"/>
        </w:tabs>
        <w:ind w:left="720" w:right="750" w:hanging="720"/>
        <w:rPr>
          <w:szCs w:val="24"/>
        </w:rPr>
      </w:pPr>
      <w:r w:rsidRPr="00225530">
        <w:rPr>
          <w:szCs w:val="24"/>
        </w:rPr>
        <w:t xml:space="preserve">42 </w:t>
      </w:r>
      <w:r>
        <w:rPr>
          <w:szCs w:val="24"/>
        </w:rPr>
        <w:t>U.S.C. § 12132</w:t>
      </w:r>
      <w:r>
        <w:rPr>
          <w:szCs w:val="24"/>
        </w:rPr>
        <w:tab/>
        <w:t>2, 4, 6, 11, 12</w:t>
      </w:r>
    </w:p>
    <w:p w:rsidR="008D2243" w:rsidRPr="00225530" w:rsidRDefault="008D2243" w:rsidP="008D2243">
      <w:pPr>
        <w:ind w:left="720" w:hanging="720"/>
        <w:rPr>
          <w:szCs w:val="24"/>
        </w:rPr>
      </w:pPr>
    </w:p>
    <w:p w:rsidR="008D2243" w:rsidRPr="00225530" w:rsidRDefault="008D2243" w:rsidP="008D2243">
      <w:pPr>
        <w:tabs>
          <w:tab w:val="right" w:leader="dot" w:pos="9360"/>
        </w:tabs>
        <w:ind w:left="720" w:right="750" w:hanging="720"/>
        <w:rPr>
          <w:szCs w:val="24"/>
        </w:rPr>
      </w:pPr>
      <w:r w:rsidRPr="00225530">
        <w:rPr>
          <w:szCs w:val="24"/>
        </w:rPr>
        <w:t>42 U</w:t>
      </w:r>
      <w:r>
        <w:rPr>
          <w:szCs w:val="24"/>
        </w:rPr>
        <w:t>.S</w:t>
      </w:r>
      <w:r w:rsidRPr="00225530">
        <w:rPr>
          <w:szCs w:val="24"/>
        </w:rPr>
        <w:t>.</w:t>
      </w:r>
      <w:r>
        <w:rPr>
          <w:szCs w:val="24"/>
        </w:rPr>
        <w:t>C. § 12134</w:t>
      </w:r>
      <w:r>
        <w:rPr>
          <w:szCs w:val="24"/>
        </w:rPr>
        <w:tab/>
        <w:t>4</w:t>
      </w:r>
    </w:p>
    <w:p w:rsidR="008D2243" w:rsidRPr="00225530" w:rsidRDefault="008D2243" w:rsidP="008D2243">
      <w:pPr>
        <w:ind w:left="720" w:hanging="720"/>
        <w:rPr>
          <w:szCs w:val="24"/>
        </w:rPr>
      </w:pPr>
    </w:p>
    <w:p w:rsidR="008D2243" w:rsidRDefault="008D2243" w:rsidP="008D2243">
      <w:pPr>
        <w:tabs>
          <w:tab w:val="right" w:leader="dot" w:pos="9360"/>
        </w:tabs>
        <w:ind w:left="720" w:right="750" w:hanging="720"/>
        <w:rPr>
          <w:szCs w:val="24"/>
        </w:rPr>
      </w:pPr>
      <w:r w:rsidRPr="00225530">
        <w:rPr>
          <w:szCs w:val="24"/>
        </w:rPr>
        <w:t xml:space="preserve">42 </w:t>
      </w:r>
      <w:r>
        <w:rPr>
          <w:szCs w:val="24"/>
        </w:rPr>
        <w:t>U</w:t>
      </w:r>
      <w:r w:rsidRPr="00225530">
        <w:rPr>
          <w:szCs w:val="24"/>
        </w:rPr>
        <w:t>.</w:t>
      </w:r>
      <w:r>
        <w:rPr>
          <w:szCs w:val="24"/>
        </w:rPr>
        <w:t xml:space="preserve">S.C. § 12201(a) </w:t>
      </w:r>
      <w:r w:rsidRPr="00225530">
        <w:rPr>
          <w:szCs w:val="24"/>
        </w:rPr>
        <w:tab/>
      </w:r>
      <w:r>
        <w:rPr>
          <w:szCs w:val="24"/>
        </w:rPr>
        <w:t>12</w:t>
      </w:r>
    </w:p>
    <w:p w:rsidR="008D2243" w:rsidRDefault="008D2243" w:rsidP="008D2243">
      <w:pPr>
        <w:tabs>
          <w:tab w:val="right" w:leader="dot" w:pos="9360"/>
        </w:tabs>
        <w:ind w:left="720" w:right="750" w:hanging="720"/>
        <w:rPr>
          <w:szCs w:val="24"/>
        </w:rPr>
      </w:pPr>
    </w:p>
    <w:p w:rsidR="008D2243" w:rsidRPr="00225530" w:rsidRDefault="008D2243" w:rsidP="008D2243">
      <w:pPr>
        <w:tabs>
          <w:tab w:val="right" w:leader="dot" w:pos="9360"/>
        </w:tabs>
        <w:ind w:left="720" w:right="750" w:hanging="720"/>
        <w:rPr>
          <w:szCs w:val="24"/>
        </w:rPr>
      </w:pPr>
      <w:r w:rsidRPr="00225530">
        <w:rPr>
          <w:szCs w:val="24"/>
        </w:rPr>
        <w:t xml:space="preserve">42 </w:t>
      </w:r>
      <w:r>
        <w:rPr>
          <w:szCs w:val="24"/>
        </w:rPr>
        <w:t>U</w:t>
      </w:r>
      <w:r w:rsidRPr="00225530">
        <w:rPr>
          <w:szCs w:val="24"/>
        </w:rPr>
        <w:t>.</w:t>
      </w:r>
      <w:r>
        <w:rPr>
          <w:szCs w:val="24"/>
        </w:rPr>
        <w:t>S.C.</w:t>
      </w:r>
      <w:r w:rsidRPr="00225530">
        <w:rPr>
          <w:szCs w:val="24"/>
        </w:rPr>
        <w:t xml:space="preserve"> § 12206</w:t>
      </w:r>
      <w:r>
        <w:rPr>
          <w:szCs w:val="24"/>
        </w:rPr>
        <w:t xml:space="preserve"> </w:t>
      </w:r>
      <w:r w:rsidRPr="00225530">
        <w:rPr>
          <w:szCs w:val="24"/>
        </w:rPr>
        <w:tab/>
      </w:r>
      <w:r>
        <w:rPr>
          <w:szCs w:val="24"/>
        </w:rPr>
        <w:t>6</w:t>
      </w:r>
    </w:p>
    <w:p w:rsidR="008D2243" w:rsidRPr="00225530" w:rsidRDefault="008D2243" w:rsidP="008D2243">
      <w:pPr>
        <w:ind w:left="720" w:hanging="720"/>
        <w:rPr>
          <w:szCs w:val="24"/>
        </w:rPr>
      </w:pPr>
    </w:p>
    <w:p w:rsidR="008D2243" w:rsidRPr="00225530" w:rsidRDefault="008D2243" w:rsidP="008D2243">
      <w:pPr>
        <w:tabs>
          <w:tab w:val="right" w:leader="dot" w:pos="9360"/>
        </w:tabs>
        <w:ind w:left="720" w:right="750" w:hanging="720"/>
        <w:rPr>
          <w:szCs w:val="24"/>
        </w:rPr>
      </w:pPr>
      <w:r w:rsidRPr="00225530">
        <w:rPr>
          <w:szCs w:val="24"/>
        </w:rPr>
        <w:t xml:space="preserve">28 </w:t>
      </w:r>
      <w:r>
        <w:rPr>
          <w:szCs w:val="24"/>
        </w:rPr>
        <w:t>C.F.R. § 35.103(a)</w:t>
      </w:r>
      <w:r>
        <w:rPr>
          <w:szCs w:val="24"/>
        </w:rPr>
        <w:tab/>
        <w:t>4</w:t>
      </w:r>
    </w:p>
    <w:p w:rsidR="008D2243" w:rsidRPr="00225530" w:rsidRDefault="008D2243" w:rsidP="008D2243">
      <w:pPr>
        <w:ind w:left="720" w:hanging="720"/>
        <w:rPr>
          <w:szCs w:val="24"/>
        </w:rPr>
      </w:pPr>
    </w:p>
    <w:p w:rsidR="008D2243" w:rsidRDefault="008D2243" w:rsidP="008D2243">
      <w:pPr>
        <w:tabs>
          <w:tab w:val="right" w:leader="dot" w:pos="9360"/>
        </w:tabs>
        <w:ind w:left="720" w:right="750" w:hanging="720"/>
        <w:rPr>
          <w:szCs w:val="24"/>
        </w:rPr>
      </w:pPr>
      <w:r w:rsidRPr="00225530">
        <w:rPr>
          <w:szCs w:val="24"/>
        </w:rPr>
        <w:t xml:space="preserve">28 </w:t>
      </w:r>
      <w:r>
        <w:rPr>
          <w:szCs w:val="24"/>
        </w:rPr>
        <w:t>C.F.R. § 35.104</w:t>
      </w:r>
      <w:r>
        <w:rPr>
          <w:szCs w:val="24"/>
        </w:rPr>
        <w:tab/>
        <w:t>20</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225530">
        <w:rPr>
          <w:szCs w:val="24"/>
        </w:rPr>
        <w:t xml:space="preserve">28 </w:t>
      </w:r>
      <w:r>
        <w:rPr>
          <w:szCs w:val="24"/>
        </w:rPr>
        <w:t>C.F.R. § 35.130(a</w:t>
      </w:r>
      <w:r w:rsidRPr="00225530">
        <w:rPr>
          <w:szCs w:val="24"/>
        </w:rPr>
        <w:t>)</w:t>
      </w:r>
      <w:r>
        <w:rPr>
          <w:szCs w:val="24"/>
        </w:rPr>
        <w:tab/>
        <w:t>6</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225530">
        <w:rPr>
          <w:szCs w:val="24"/>
        </w:rPr>
        <w:t xml:space="preserve">28 </w:t>
      </w:r>
      <w:r>
        <w:rPr>
          <w:szCs w:val="24"/>
        </w:rPr>
        <w:t>C.F.R. § 35.130(b</w:t>
      </w:r>
      <w:r w:rsidRPr="00225530">
        <w:rPr>
          <w:szCs w:val="24"/>
        </w:rPr>
        <w:t>)</w:t>
      </w:r>
      <w:r>
        <w:rPr>
          <w:szCs w:val="24"/>
        </w:rPr>
        <w:tab/>
        <w:t>6, 18</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225530">
        <w:rPr>
          <w:szCs w:val="24"/>
        </w:rPr>
        <w:t xml:space="preserve">28 </w:t>
      </w:r>
      <w:r>
        <w:rPr>
          <w:szCs w:val="24"/>
        </w:rPr>
        <w:t>C.F.R. § 35.130(d</w:t>
      </w:r>
      <w:r w:rsidRPr="00225530">
        <w:rPr>
          <w:szCs w:val="24"/>
        </w:rPr>
        <w:t>)</w:t>
      </w:r>
      <w:r>
        <w:rPr>
          <w:szCs w:val="24"/>
        </w:rPr>
        <w:tab/>
        <w:t>5</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225530">
        <w:rPr>
          <w:szCs w:val="24"/>
        </w:rPr>
        <w:t xml:space="preserve">28 </w:t>
      </w:r>
      <w:r>
        <w:rPr>
          <w:szCs w:val="24"/>
        </w:rPr>
        <w:t>C.F.R. § 35.130(h</w:t>
      </w:r>
      <w:r w:rsidRPr="00225530">
        <w:rPr>
          <w:szCs w:val="24"/>
        </w:rPr>
        <w:t>)</w:t>
      </w:r>
      <w:r>
        <w:rPr>
          <w:szCs w:val="24"/>
        </w:rPr>
        <w:tab/>
        <w:t>20</w:t>
      </w:r>
    </w:p>
    <w:p w:rsidR="008D2243" w:rsidRDefault="008D2243" w:rsidP="008D2243">
      <w:pPr>
        <w:tabs>
          <w:tab w:val="right" w:leader="dot" w:pos="9360"/>
        </w:tabs>
        <w:ind w:left="720" w:right="750" w:hanging="720"/>
        <w:rPr>
          <w:szCs w:val="24"/>
        </w:rPr>
      </w:pPr>
    </w:p>
    <w:p w:rsidR="008D2243" w:rsidRPr="00225530" w:rsidRDefault="008D2243" w:rsidP="008D2243">
      <w:pPr>
        <w:tabs>
          <w:tab w:val="right" w:leader="dot" w:pos="9360"/>
        </w:tabs>
        <w:ind w:left="720" w:right="750" w:hanging="720"/>
        <w:rPr>
          <w:szCs w:val="24"/>
        </w:rPr>
      </w:pPr>
      <w:r w:rsidRPr="00225530">
        <w:rPr>
          <w:szCs w:val="24"/>
        </w:rPr>
        <w:t xml:space="preserve">28 </w:t>
      </w:r>
      <w:r>
        <w:rPr>
          <w:szCs w:val="24"/>
        </w:rPr>
        <w:t>C.F.R. § 35.139</w:t>
      </w:r>
      <w:r>
        <w:rPr>
          <w:szCs w:val="24"/>
        </w:rPr>
        <w:tab/>
        <w:t>20</w:t>
      </w:r>
    </w:p>
    <w:p w:rsidR="008D2243" w:rsidRPr="00225530" w:rsidRDefault="008D2243" w:rsidP="008D2243">
      <w:pPr>
        <w:rPr>
          <w:szCs w:val="24"/>
        </w:rPr>
      </w:pPr>
    </w:p>
    <w:p w:rsidR="008D2243" w:rsidRPr="00225530" w:rsidRDefault="008D2243" w:rsidP="008D2243">
      <w:pPr>
        <w:tabs>
          <w:tab w:val="right" w:leader="dot" w:pos="9360"/>
        </w:tabs>
        <w:ind w:left="720" w:right="750" w:hanging="720"/>
        <w:rPr>
          <w:szCs w:val="24"/>
        </w:rPr>
      </w:pPr>
      <w:r w:rsidRPr="00225530">
        <w:rPr>
          <w:szCs w:val="24"/>
        </w:rPr>
        <w:t xml:space="preserve">28 </w:t>
      </w:r>
      <w:r>
        <w:rPr>
          <w:szCs w:val="24"/>
        </w:rPr>
        <w:t>C.F.R. § 35.160(a)</w:t>
      </w:r>
      <w:r>
        <w:rPr>
          <w:szCs w:val="24"/>
        </w:rPr>
        <w:tab/>
        <w:t>18</w:t>
      </w:r>
    </w:p>
    <w:p w:rsidR="008D2243" w:rsidRPr="00225530" w:rsidRDefault="008D2243" w:rsidP="008D2243">
      <w:pPr>
        <w:ind w:left="720" w:hanging="720"/>
        <w:rPr>
          <w:szCs w:val="24"/>
        </w:rPr>
      </w:pPr>
    </w:p>
    <w:p w:rsidR="008D2243" w:rsidRDefault="008D2243" w:rsidP="008D2243">
      <w:pPr>
        <w:tabs>
          <w:tab w:val="right" w:leader="dot" w:pos="9360"/>
        </w:tabs>
        <w:ind w:left="720" w:right="750" w:hanging="720"/>
        <w:rPr>
          <w:szCs w:val="24"/>
        </w:rPr>
      </w:pPr>
      <w:r w:rsidRPr="00225530">
        <w:rPr>
          <w:szCs w:val="24"/>
        </w:rPr>
        <w:t xml:space="preserve">28 </w:t>
      </w:r>
      <w:r>
        <w:rPr>
          <w:szCs w:val="24"/>
        </w:rPr>
        <w:t xml:space="preserve">C.F.R. </w:t>
      </w:r>
      <w:r w:rsidRPr="00225530">
        <w:rPr>
          <w:szCs w:val="24"/>
        </w:rPr>
        <w:t xml:space="preserve">§ </w:t>
      </w:r>
      <w:r>
        <w:rPr>
          <w:szCs w:val="24"/>
        </w:rPr>
        <w:t>35.190(a)</w:t>
      </w:r>
      <w:r>
        <w:rPr>
          <w:szCs w:val="24"/>
        </w:rPr>
        <w:tab/>
        <w:t>6</w:t>
      </w:r>
    </w:p>
    <w:p w:rsidR="008D2243" w:rsidRDefault="008D2243" w:rsidP="008D2243">
      <w:pPr>
        <w:tabs>
          <w:tab w:val="right" w:leader="dot" w:pos="9360"/>
        </w:tabs>
        <w:ind w:left="720" w:right="750" w:hanging="720"/>
        <w:rPr>
          <w:szCs w:val="24"/>
        </w:rPr>
      </w:pPr>
    </w:p>
    <w:p w:rsidR="008D2243" w:rsidRPr="00225530" w:rsidRDefault="008D2243" w:rsidP="008D2243">
      <w:pPr>
        <w:tabs>
          <w:tab w:val="right" w:leader="dot" w:pos="9360"/>
        </w:tabs>
        <w:ind w:left="720" w:right="750" w:hanging="720"/>
        <w:rPr>
          <w:szCs w:val="24"/>
        </w:rPr>
      </w:pPr>
      <w:r w:rsidRPr="00225530">
        <w:rPr>
          <w:szCs w:val="24"/>
        </w:rPr>
        <w:t xml:space="preserve">28 </w:t>
      </w:r>
      <w:r>
        <w:rPr>
          <w:szCs w:val="24"/>
        </w:rPr>
        <w:t xml:space="preserve">C.F.R. </w:t>
      </w:r>
      <w:r w:rsidRPr="00225530">
        <w:rPr>
          <w:szCs w:val="24"/>
        </w:rPr>
        <w:t xml:space="preserve">§ </w:t>
      </w:r>
      <w:r>
        <w:rPr>
          <w:szCs w:val="24"/>
        </w:rPr>
        <w:t>35.190(</w:t>
      </w:r>
      <w:r w:rsidR="00677796">
        <w:rPr>
          <w:szCs w:val="24"/>
        </w:rPr>
        <w:t>b</w:t>
      </w:r>
      <w:r>
        <w:rPr>
          <w:szCs w:val="24"/>
        </w:rPr>
        <w:t>)</w:t>
      </w:r>
      <w:r>
        <w:rPr>
          <w:szCs w:val="24"/>
        </w:rPr>
        <w:tab/>
        <w:t>13</w:t>
      </w:r>
    </w:p>
    <w:p w:rsidR="008D2243" w:rsidRPr="00225530" w:rsidRDefault="008D2243" w:rsidP="008D2243">
      <w:pPr>
        <w:ind w:left="720" w:hanging="720"/>
        <w:rPr>
          <w:szCs w:val="24"/>
        </w:rPr>
      </w:pPr>
    </w:p>
    <w:p w:rsidR="008D2243" w:rsidRPr="00225530" w:rsidRDefault="008D2243" w:rsidP="008D2243">
      <w:pPr>
        <w:tabs>
          <w:tab w:val="right" w:leader="dot" w:pos="9360"/>
        </w:tabs>
        <w:ind w:left="720" w:right="750" w:hanging="720"/>
        <w:rPr>
          <w:b/>
          <w:szCs w:val="24"/>
        </w:rPr>
      </w:pPr>
      <w:r w:rsidRPr="00225530">
        <w:rPr>
          <w:b/>
          <w:szCs w:val="24"/>
        </w:rPr>
        <w:t>LEGISLATIVE HISTORY</w:t>
      </w:r>
    </w:p>
    <w:p w:rsidR="008D2243" w:rsidRPr="00225530"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225530">
        <w:rPr>
          <w:szCs w:val="24"/>
        </w:rPr>
        <w:t xml:space="preserve">H.R. </w:t>
      </w:r>
      <w:r>
        <w:rPr>
          <w:szCs w:val="24"/>
        </w:rPr>
        <w:t xml:space="preserve">Rep. No. 101-485 (II) (1990), </w:t>
      </w:r>
      <w:r>
        <w:rPr>
          <w:i/>
          <w:szCs w:val="24"/>
        </w:rPr>
        <w:t xml:space="preserve">reprinted in </w:t>
      </w:r>
      <w:r>
        <w:rPr>
          <w:szCs w:val="24"/>
        </w:rPr>
        <w:t>1990 U.S.C.C.A.N. 303</w:t>
      </w:r>
      <w:r>
        <w:rPr>
          <w:szCs w:val="24"/>
        </w:rPr>
        <w:tab/>
        <w:t>3, 13</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Pr>
          <w:rFonts w:ascii="CenturyExpandedBT-Roman" w:eastAsia="Calibri" w:hAnsi="CenturyExpandedBT-Roman" w:cs="CenturyExpandedBT-Roman"/>
          <w:szCs w:val="24"/>
        </w:rPr>
        <w:t xml:space="preserve">136 Cong. Rec. 11,461 </w:t>
      </w:r>
      <w:r w:rsidRPr="00225530">
        <w:rPr>
          <w:rFonts w:ascii="CenturyExpandedBT-Roman" w:eastAsia="Calibri" w:hAnsi="CenturyExpandedBT-Roman" w:cs="CenturyExpandedBT-Roman"/>
          <w:szCs w:val="24"/>
        </w:rPr>
        <w:t>(daily ed. June 13, 1990)</w:t>
      </w:r>
      <w:r w:rsidRPr="00336822">
        <w:rPr>
          <w:szCs w:val="24"/>
        </w:rPr>
        <w:t xml:space="preserve"> </w:t>
      </w:r>
      <w:r>
        <w:rPr>
          <w:szCs w:val="24"/>
        </w:rPr>
        <w:tab/>
        <w:t>13</w:t>
      </w:r>
    </w:p>
    <w:p w:rsidR="008D2243" w:rsidRDefault="008D2243" w:rsidP="008D2243">
      <w:pPr>
        <w:tabs>
          <w:tab w:val="right" w:leader="dot" w:pos="9360"/>
        </w:tabs>
        <w:ind w:left="720" w:right="750" w:hanging="720"/>
        <w:rPr>
          <w:szCs w:val="24"/>
        </w:rPr>
      </w:pPr>
    </w:p>
    <w:p w:rsidR="008D2243" w:rsidRDefault="008D2243" w:rsidP="008D2243">
      <w:pPr>
        <w:tabs>
          <w:tab w:val="right" w:leader="dot" w:pos="9360"/>
        </w:tabs>
        <w:ind w:left="720" w:right="750" w:hanging="720"/>
        <w:rPr>
          <w:szCs w:val="24"/>
        </w:rPr>
      </w:pPr>
      <w:r w:rsidRPr="00225530">
        <w:rPr>
          <w:rFonts w:ascii="CenturyExpandedBT-Roman" w:eastAsia="Calibri" w:hAnsi="CenturyExpandedBT-Roman" w:cs="CenturyExpandedBT-Roman"/>
          <w:szCs w:val="24"/>
        </w:rPr>
        <w:t>56 Fed. Reg. 35,703 (July 26, 1991)</w:t>
      </w:r>
      <w:r w:rsidRPr="00336822">
        <w:rPr>
          <w:szCs w:val="24"/>
        </w:rPr>
        <w:t xml:space="preserve"> </w:t>
      </w:r>
      <w:r>
        <w:rPr>
          <w:szCs w:val="24"/>
        </w:rPr>
        <w:tab/>
        <w:t>13</w:t>
      </w:r>
    </w:p>
    <w:p w:rsidR="008D2243" w:rsidRDefault="008D2243" w:rsidP="008D2243">
      <w:pPr>
        <w:ind w:left="720" w:hanging="720"/>
        <w:rPr>
          <w:szCs w:val="24"/>
        </w:rPr>
      </w:pPr>
    </w:p>
    <w:p w:rsidR="008D2243" w:rsidRPr="00225530" w:rsidRDefault="008D2243" w:rsidP="008D2243">
      <w:pPr>
        <w:ind w:left="720" w:hanging="720"/>
        <w:rPr>
          <w:szCs w:val="24"/>
        </w:rPr>
      </w:pPr>
    </w:p>
    <w:p w:rsidR="008D2243" w:rsidRPr="00336822" w:rsidRDefault="008D2243" w:rsidP="008D2243">
      <w:pPr>
        <w:ind w:left="720" w:hanging="720"/>
        <w:rPr>
          <w:b/>
          <w:szCs w:val="24"/>
        </w:rPr>
      </w:pPr>
      <w:r w:rsidRPr="00336822">
        <w:rPr>
          <w:b/>
          <w:szCs w:val="24"/>
        </w:rPr>
        <w:t>OTHER AUTHORITIES</w:t>
      </w:r>
    </w:p>
    <w:p w:rsidR="008D2243" w:rsidRDefault="008D2243" w:rsidP="008D2243">
      <w:pPr>
        <w:ind w:left="720" w:hanging="720"/>
        <w:rPr>
          <w:szCs w:val="24"/>
        </w:rPr>
      </w:pPr>
    </w:p>
    <w:p w:rsidR="008D2243" w:rsidRPr="00225530" w:rsidRDefault="008D2243" w:rsidP="008D2243">
      <w:pPr>
        <w:tabs>
          <w:tab w:val="right" w:leader="dot" w:pos="9360"/>
        </w:tabs>
        <w:ind w:left="720" w:right="750" w:hanging="720"/>
        <w:rPr>
          <w:szCs w:val="24"/>
        </w:rPr>
      </w:pPr>
      <w:r w:rsidRPr="00225530">
        <w:rPr>
          <w:rFonts w:ascii="CenturyExpandedBT-Italic" w:eastAsia="Calibri" w:hAnsi="CenturyExpandedBT-Italic" w:cs="CenturyExpandedBT-Italic"/>
          <w:i/>
          <w:iCs/>
          <w:szCs w:val="24"/>
        </w:rPr>
        <w:t>The Random House Dic</w:t>
      </w:r>
      <w:r>
        <w:rPr>
          <w:rFonts w:ascii="CenturyExpandedBT-Italic" w:eastAsia="Calibri" w:hAnsi="CenturyExpandedBT-Italic" w:cs="CenturyExpandedBT-Italic"/>
          <w:i/>
          <w:iCs/>
          <w:szCs w:val="24"/>
        </w:rPr>
        <w:t>tionary of the English Language</w:t>
      </w:r>
      <w:r w:rsidRPr="00225530">
        <w:rPr>
          <w:rFonts w:ascii="CenturyExpandedBT-Roman" w:eastAsia="Calibri" w:hAnsi="CenturyExpandedBT-Roman" w:cs="CenturyExpandedBT-Roman"/>
          <w:szCs w:val="24"/>
        </w:rPr>
        <w:t xml:space="preserve"> (2d ed. 1987)</w:t>
      </w:r>
      <w:r w:rsidRPr="00225530">
        <w:rPr>
          <w:szCs w:val="24"/>
        </w:rPr>
        <w:tab/>
        <w:t>1</w:t>
      </w:r>
      <w:r>
        <w:rPr>
          <w:szCs w:val="24"/>
        </w:rPr>
        <w:t>2</w:t>
      </w:r>
    </w:p>
    <w:p w:rsidR="008D2243" w:rsidRDefault="008D2243" w:rsidP="008D2243">
      <w:pPr>
        <w:ind w:left="720" w:hanging="720"/>
        <w:rPr>
          <w:szCs w:val="24"/>
        </w:rPr>
      </w:pPr>
    </w:p>
    <w:p w:rsidR="008D2243" w:rsidRPr="00225530" w:rsidRDefault="008D2243" w:rsidP="008D2243">
      <w:pPr>
        <w:tabs>
          <w:tab w:val="right" w:leader="dot" w:pos="9360"/>
        </w:tabs>
        <w:ind w:left="720" w:right="750" w:hanging="720"/>
        <w:rPr>
          <w:szCs w:val="24"/>
        </w:rPr>
      </w:pPr>
      <w:r w:rsidRPr="00225530">
        <w:rPr>
          <w:rFonts w:ascii="CenturyExpandedBT-Italic" w:eastAsia="Calibri" w:hAnsi="CenturyExpandedBT-Italic" w:cs="CenturyExpandedBT-Italic"/>
          <w:i/>
          <w:iCs/>
          <w:szCs w:val="24"/>
        </w:rPr>
        <w:t>Webster’s Thi</w:t>
      </w:r>
      <w:r>
        <w:rPr>
          <w:rFonts w:ascii="CenturyExpandedBT-Italic" w:eastAsia="Calibri" w:hAnsi="CenturyExpandedBT-Italic" w:cs="CenturyExpandedBT-Italic"/>
          <w:i/>
          <w:iCs/>
          <w:szCs w:val="24"/>
        </w:rPr>
        <w:t>rd New International Dictionary</w:t>
      </w:r>
      <w:r w:rsidRPr="00225530">
        <w:rPr>
          <w:rFonts w:ascii="CenturyExpandedBT-Roman" w:eastAsia="Calibri" w:hAnsi="CenturyExpandedBT-Roman" w:cs="CenturyExpandedBT-Roman"/>
          <w:szCs w:val="24"/>
        </w:rPr>
        <w:t xml:space="preserve"> (1986)</w:t>
      </w:r>
      <w:r w:rsidRPr="00225530">
        <w:rPr>
          <w:szCs w:val="24"/>
        </w:rPr>
        <w:tab/>
        <w:t>1</w:t>
      </w:r>
      <w:r>
        <w:rPr>
          <w:szCs w:val="24"/>
        </w:rPr>
        <w:t>2</w:t>
      </w:r>
    </w:p>
    <w:p w:rsidR="008D2243" w:rsidRDefault="008D2243" w:rsidP="008D2243">
      <w:pPr>
        <w:ind w:left="720" w:hanging="720"/>
        <w:rPr>
          <w:szCs w:val="24"/>
        </w:rPr>
      </w:pPr>
    </w:p>
    <w:p w:rsidR="008D2243" w:rsidRDefault="008D2243" w:rsidP="008D2243">
      <w:pPr>
        <w:ind w:left="720" w:hanging="720"/>
        <w:rPr>
          <w:szCs w:val="24"/>
        </w:rPr>
      </w:pPr>
      <w:r>
        <w:rPr>
          <w:szCs w:val="24"/>
        </w:rPr>
        <w:tab/>
      </w:r>
    </w:p>
    <w:p w:rsidR="008D2243" w:rsidRPr="00225530" w:rsidRDefault="008D2243" w:rsidP="008D2243">
      <w:pPr>
        <w:ind w:left="720" w:hanging="720"/>
        <w:rPr>
          <w:szCs w:val="24"/>
        </w:rPr>
      </w:pPr>
    </w:p>
    <w:p w:rsidR="008D2243" w:rsidRPr="007005AA" w:rsidRDefault="008D2243" w:rsidP="008D2243">
      <w:pPr>
        <w:rPr>
          <w:szCs w:val="24"/>
        </w:rPr>
      </w:pPr>
    </w:p>
    <w:p w:rsidR="00D60747" w:rsidRPr="00225530" w:rsidRDefault="00D60747" w:rsidP="008D2243">
      <w:pPr>
        <w:widowControl w:val="0"/>
        <w:numPr>
          <w:ilvl w:val="12"/>
          <w:numId w:val="0"/>
        </w:numPr>
        <w:ind w:right="90"/>
        <w:jc w:val="center"/>
        <w:rPr>
          <w:szCs w:val="24"/>
        </w:rPr>
        <w:sectPr w:rsidR="00D60747" w:rsidRPr="00225530" w:rsidSect="003C0059">
          <w:footerReference w:type="default" r:id="rId9"/>
          <w:pgSz w:w="12240" w:h="15840"/>
          <w:pgMar w:top="1440" w:right="1440" w:bottom="1440" w:left="1440" w:header="720" w:footer="720" w:gutter="0"/>
          <w:pgNumType w:fmt="lowerRoman" w:start="1"/>
          <w:cols w:space="720"/>
          <w:titlePg/>
          <w:docGrid w:linePitch="360"/>
        </w:sectPr>
      </w:pPr>
    </w:p>
    <w:p w:rsidR="009A2F5F" w:rsidRPr="00225530" w:rsidRDefault="002F16FE" w:rsidP="00971B4B">
      <w:pPr>
        <w:autoSpaceDE w:val="0"/>
        <w:autoSpaceDN w:val="0"/>
        <w:adjustRightInd w:val="0"/>
        <w:spacing w:line="480" w:lineRule="auto"/>
        <w:ind w:firstLine="720"/>
        <w:rPr>
          <w:szCs w:val="24"/>
        </w:rPr>
      </w:pPr>
      <w:r w:rsidRPr="00225530">
        <w:rPr>
          <w:szCs w:val="24"/>
        </w:rPr>
        <w:t>The United States</w:t>
      </w:r>
      <w:r w:rsidR="009A1CBA" w:rsidRPr="00225530">
        <w:rPr>
          <w:szCs w:val="24"/>
        </w:rPr>
        <w:t>, by its attorney</w:t>
      </w:r>
      <w:r w:rsidR="002F7CFC" w:rsidRPr="00225530">
        <w:rPr>
          <w:szCs w:val="24"/>
        </w:rPr>
        <w:t>,</w:t>
      </w:r>
      <w:r w:rsidR="009A1CBA" w:rsidRPr="00225530">
        <w:rPr>
          <w:szCs w:val="24"/>
        </w:rPr>
        <w:t xml:space="preserve"> Preet Bharara, United States Attorney for the Southern District of New York,</w:t>
      </w:r>
      <w:r w:rsidRPr="00225530">
        <w:rPr>
          <w:szCs w:val="24"/>
        </w:rPr>
        <w:t xml:space="preserve"> respectfully submits this Statement of Interest, pursuant to 28 U.S.C. §</w:t>
      </w:r>
      <w:r w:rsidR="008C14D9" w:rsidRPr="00225530">
        <w:rPr>
          <w:szCs w:val="24"/>
        </w:rPr>
        <w:t> </w:t>
      </w:r>
      <w:r w:rsidRPr="00225530">
        <w:rPr>
          <w:szCs w:val="24"/>
        </w:rPr>
        <w:t>517,</w:t>
      </w:r>
      <w:r w:rsidR="008574F6" w:rsidRPr="00225530">
        <w:rPr>
          <w:rStyle w:val="FootnoteReference"/>
          <w:szCs w:val="24"/>
        </w:rPr>
        <w:footnoteReference w:id="1"/>
      </w:r>
      <w:r w:rsidR="00D536A6" w:rsidRPr="00225530">
        <w:rPr>
          <w:szCs w:val="24"/>
        </w:rPr>
        <w:t xml:space="preserve"> in support of Plaintiff</w:t>
      </w:r>
      <w:r w:rsidR="00A44AAE">
        <w:rPr>
          <w:szCs w:val="24"/>
        </w:rPr>
        <w:t xml:space="preserve"> Diana Williams (“Williams”)</w:t>
      </w:r>
      <w:r w:rsidR="00BB4B95" w:rsidRPr="00225530">
        <w:rPr>
          <w:szCs w:val="24"/>
        </w:rPr>
        <w:t xml:space="preserve">, </w:t>
      </w:r>
      <w:r w:rsidR="009A1CBA" w:rsidRPr="00225530">
        <w:rPr>
          <w:szCs w:val="24"/>
        </w:rPr>
        <w:t xml:space="preserve">regarding the applicability of the </w:t>
      </w:r>
      <w:r w:rsidR="00E4260D" w:rsidRPr="00225530">
        <w:rPr>
          <w:szCs w:val="24"/>
        </w:rPr>
        <w:t>Americans with Disabilities Act of 1990</w:t>
      </w:r>
      <w:r w:rsidR="00326739" w:rsidRPr="00225530">
        <w:rPr>
          <w:szCs w:val="24"/>
        </w:rPr>
        <w:t>, as amended,</w:t>
      </w:r>
      <w:r w:rsidR="005B7DBF" w:rsidRPr="00225530">
        <w:rPr>
          <w:szCs w:val="24"/>
        </w:rPr>
        <w:t xml:space="preserve"> (“ADA”), 42 U.S.C. §</w:t>
      </w:r>
      <w:r w:rsidR="003670EB" w:rsidRPr="00225530">
        <w:rPr>
          <w:szCs w:val="24"/>
        </w:rPr>
        <w:t xml:space="preserve"> 12101,</w:t>
      </w:r>
      <w:r w:rsidR="00E4260D" w:rsidRPr="00225530">
        <w:rPr>
          <w:szCs w:val="24"/>
        </w:rPr>
        <w:t xml:space="preserve"> </w:t>
      </w:r>
      <w:r w:rsidR="005C3A00" w:rsidRPr="00225530">
        <w:rPr>
          <w:i/>
          <w:szCs w:val="24"/>
        </w:rPr>
        <w:t>et</w:t>
      </w:r>
      <w:r w:rsidR="00E4260D" w:rsidRPr="00225530">
        <w:rPr>
          <w:i/>
          <w:szCs w:val="24"/>
        </w:rPr>
        <w:t xml:space="preserve"> seq</w:t>
      </w:r>
      <w:r w:rsidR="00E4260D" w:rsidRPr="00225530">
        <w:rPr>
          <w:szCs w:val="24"/>
        </w:rPr>
        <w:t>.</w:t>
      </w:r>
      <w:r w:rsidR="009A1CBA" w:rsidRPr="00225530">
        <w:rPr>
          <w:szCs w:val="24"/>
        </w:rPr>
        <w:t xml:space="preserve">, </w:t>
      </w:r>
      <w:r w:rsidR="004902B6" w:rsidRPr="00225530">
        <w:rPr>
          <w:szCs w:val="24"/>
        </w:rPr>
        <w:t xml:space="preserve">and Section 504 of the Rehabilitation Act of 1973 (“Section 504”), 29 U.S.C. § 794, </w:t>
      </w:r>
      <w:r w:rsidR="004902B6" w:rsidRPr="00225530">
        <w:rPr>
          <w:i/>
          <w:szCs w:val="24"/>
        </w:rPr>
        <w:t>et seq.</w:t>
      </w:r>
      <w:r w:rsidR="004902B6" w:rsidRPr="00225530">
        <w:rPr>
          <w:szCs w:val="24"/>
        </w:rPr>
        <w:t xml:space="preserve">, </w:t>
      </w:r>
      <w:r w:rsidR="00D536A6" w:rsidRPr="00225530">
        <w:rPr>
          <w:szCs w:val="24"/>
        </w:rPr>
        <w:t>in the context of an arrest of a person with a disability</w:t>
      </w:r>
      <w:r w:rsidR="00BB4B95" w:rsidRPr="00225530">
        <w:rPr>
          <w:szCs w:val="24"/>
        </w:rPr>
        <w:t xml:space="preserve">. </w:t>
      </w:r>
    </w:p>
    <w:p w:rsidR="009A2F5F" w:rsidRPr="00225530" w:rsidRDefault="009A2F5F" w:rsidP="00971B4B">
      <w:pPr>
        <w:spacing w:line="480" w:lineRule="auto"/>
        <w:jc w:val="center"/>
        <w:rPr>
          <w:b/>
          <w:bCs/>
          <w:szCs w:val="24"/>
        </w:rPr>
      </w:pPr>
      <w:r w:rsidRPr="00225530">
        <w:rPr>
          <w:b/>
          <w:bCs/>
          <w:szCs w:val="24"/>
        </w:rPr>
        <w:t>PRELIMINARY STATEMENT</w:t>
      </w:r>
    </w:p>
    <w:p w:rsidR="00D536A6" w:rsidRPr="00225530" w:rsidRDefault="00FA41DC" w:rsidP="00FA41DC">
      <w:pPr>
        <w:spacing w:line="480" w:lineRule="auto"/>
        <w:rPr>
          <w:rFonts w:ascii="CenturyExpandedBT-Roman" w:eastAsia="Calibri" w:hAnsi="CenturyExpandedBT-Roman" w:cs="CenturyExpandedBT-Roman"/>
          <w:szCs w:val="24"/>
        </w:rPr>
      </w:pPr>
      <w:r w:rsidRPr="00225530">
        <w:rPr>
          <w:szCs w:val="24"/>
        </w:rPr>
        <w:tab/>
      </w:r>
      <w:r w:rsidR="007D5C89" w:rsidRPr="00225530">
        <w:rPr>
          <w:szCs w:val="24"/>
        </w:rPr>
        <w:t>The Justice Department has responsibility for the implementation and enforcement of Title II</w:t>
      </w:r>
      <w:r w:rsidR="00D536A6" w:rsidRPr="00225530">
        <w:rPr>
          <w:szCs w:val="24"/>
        </w:rPr>
        <w:t xml:space="preserve"> of the ADA</w:t>
      </w:r>
      <w:r w:rsidR="007D5C89" w:rsidRPr="00225530">
        <w:rPr>
          <w:szCs w:val="24"/>
        </w:rPr>
        <w:t xml:space="preserve">, and the Department has issued regulations and interpretive guidance </w:t>
      </w:r>
      <w:r w:rsidR="00D536A6" w:rsidRPr="00225530">
        <w:rPr>
          <w:szCs w:val="24"/>
        </w:rPr>
        <w:t xml:space="preserve">articulating the scope of the ADA’s application. As set forth in those regulations and interpretative guidance, and consistent with controlling </w:t>
      </w:r>
      <w:r w:rsidR="004F5DBE">
        <w:rPr>
          <w:szCs w:val="24"/>
        </w:rPr>
        <w:t>decisions</w:t>
      </w:r>
      <w:r w:rsidR="00D536A6" w:rsidRPr="00225530">
        <w:rPr>
          <w:szCs w:val="24"/>
        </w:rPr>
        <w:t xml:space="preserve"> of the Supreme Court, </w:t>
      </w:r>
      <w:r w:rsidR="007D5C89" w:rsidRPr="00225530">
        <w:rPr>
          <w:rFonts w:ascii="CenturyExpandedBT-Roman" w:eastAsia="Calibri" w:hAnsi="CenturyExpandedBT-Roman" w:cs="CenturyExpandedBT-Roman"/>
          <w:szCs w:val="24"/>
        </w:rPr>
        <w:t>Title II of the ADA applies to all law enforcement activities, including arrests. Title II broadly covers all public entities and prohibits disability discrimination with respect to all of their services, programs, and activities.</w:t>
      </w:r>
      <w:r w:rsidR="00D536A6" w:rsidRPr="00225530">
        <w:rPr>
          <w:rFonts w:ascii="CenturyExpandedBT-Roman" w:eastAsia="Calibri" w:hAnsi="CenturyExpandedBT-Roman" w:cs="CenturyExpandedBT-Roman"/>
          <w:szCs w:val="24"/>
        </w:rPr>
        <w:t xml:space="preserve"> </w:t>
      </w:r>
      <w:r w:rsidR="007D5C89" w:rsidRPr="00225530">
        <w:rPr>
          <w:rFonts w:ascii="CenturyExpandedBT-Roman" w:eastAsia="Calibri" w:hAnsi="CenturyExpandedBT-Roman" w:cs="CenturyExpandedBT-Roman"/>
          <w:szCs w:val="24"/>
        </w:rPr>
        <w:t xml:space="preserve"> </w:t>
      </w:r>
      <w:r w:rsidR="00D536A6" w:rsidRPr="00225530">
        <w:rPr>
          <w:rFonts w:ascii="CenturyExpandedBT-Roman" w:eastAsia="Calibri" w:hAnsi="CenturyExpandedBT-Roman" w:cs="CenturyExpandedBT-Roman"/>
          <w:i/>
          <w:szCs w:val="24"/>
        </w:rPr>
        <w:t xml:space="preserve">See </w:t>
      </w:r>
      <w:r w:rsidR="007D5C89" w:rsidRPr="00225530">
        <w:rPr>
          <w:rFonts w:ascii="CenturyExpandedBT-Roman" w:eastAsia="Calibri" w:hAnsi="CenturyExpandedBT-Roman" w:cs="CenturyExpandedBT-Roman"/>
          <w:szCs w:val="24"/>
        </w:rPr>
        <w:t xml:space="preserve">42 U.S.C. </w:t>
      </w:r>
      <w:r w:rsidR="00D536A6" w:rsidRPr="00225530">
        <w:rPr>
          <w:rFonts w:ascii="CenturyExpandedBT-Roman" w:eastAsia="Calibri" w:hAnsi="CenturyExpandedBT-Roman" w:cs="CenturyExpandedBT-Roman"/>
          <w:szCs w:val="24"/>
        </w:rPr>
        <w:t>§ </w:t>
      </w:r>
      <w:r w:rsidR="007D5C89" w:rsidRPr="00225530">
        <w:rPr>
          <w:rFonts w:ascii="CenturyExpandedBT-Roman" w:eastAsia="Calibri" w:hAnsi="CenturyExpandedBT-Roman" w:cs="CenturyExpandedBT-Roman"/>
          <w:szCs w:val="24"/>
        </w:rPr>
        <w:t xml:space="preserve">12132; </w:t>
      </w:r>
      <w:r w:rsidR="007D5C89" w:rsidRPr="00225530">
        <w:rPr>
          <w:rFonts w:ascii="CenturyExpandedBT-Italic" w:eastAsia="Calibri" w:hAnsi="CenturyExpandedBT-Italic" w:cs="CenturyExpandedBT-Italic"/>
          <w:i/>
          <w:iCs/>
          <w:szCs w:val="24"/>
        </w:rPr>
        <w:t>Pennsylvania Dep’t of Cor</w:t>
      </w:r>
      <w:r w:rsidR="007D5C89" w:rsidRPr="004F5DBE">
        <w:rPr>
          <w:rFonts w:ascii="CenturyExpandedBT-Italic" w:eastAsia="Calibri" w:hAnsi="CenturyExpandedBT-Italic" w:cs="CenturyExpandedBT-Italic"/>
          <w:i/>
          <w:iCs/>
          <w:szCs w:val="24"/>
        </w:rPr>
        <w:t xml:space="preserve">r. </w:t>
      </w:r>
      <w:r w:rsidR="007D5C89" w:rsidRPr="004F5DBE">
        <w:rPr>
          <w:rFonts w:ascii="CenturyExpandedBT-Roman" w:eastAsia="Calibri" w:hAnsi="CenturyExpandedBT-Roman" w:cs="CenturyExpandedBT-Roman"/>
          <w:i/>
          <w:szCs w:val="24"/>
        </w:rPr>
        <w:t xml:space="preserve">v. </w:t>
      </w:r>
      <w:proofErr w:type="spellStart"/>
      <w:r w:rsidR="007D5C89" w:rsidRPr="004F5DBE">
        <w:rPr>
          <w:rFonts w:ascii="CenturyExpandedBT-Italic" w:eastAsia="Calibri" w:hAnsi="CenturyExpandedBT-Italic" w:cs="CenturyExpandedBT-Italic"/>
          <w:i/>
          <w:iCs/>
          <w:szCs w:val="24"/>
        </w:rPr>
        <w:t>Y</w:t>
      </w:r>
      <w:r w:rsidR="007D5C89" w:rsidRPr="00225530">
        <w:rPr>
          <w:rFonts w:ascii="CenturyExpandedBT-Italic" w:eastAsia="Calibri" w:hAnsi="CenturyExpandedBT-Italic" w:cs="CenturyExpandedBT-Italic"/>
          <w:i/>
          <w:iCs/>
          <w:szCs w:val="24"/>
        </w:rPr>
        <w:t>eskey</w:t>
      </w:r>
      <w:proofErr w:type="spellEnd"/>
      <w:r w:rsidR="007D5C89" w:rsidRPr="00225530">
        <w:rPr>
          <w:rFonts w:ascii="CenturyExpandedBT-Roman" w:eastAsia="Calibri" w:hAnsi="CenturyExpandedBT-Roman" w:cs="CenturyExpandedBT-Roman"/>
          <w:szCs w:val="24"/>
        </w:rPr>
        <w:t xml:space="preserve">, 524 U.S. 206, 209 (1998). By its plain terms, </w:t>
      </w:r>
      <w:r w:rsidR="00D536A6" w:rsidRPr="00225530">
        <w:rPr>
          <w:rFonts w:ascii="CenturyExpandedBT-Roman" w:eastAsia="Calibri" w:hAnsi="CenturyExpandedBT-Roman" w:cs="CenturyExpandedBT-Roman"/>
          <w:szCs w:val="24"/>
        </w:rPr>
        <w:t xml:space="preserve">therefore, Title II of the ADA </w:t>
      </w:r>
      <w:r w:rsidR="007D5C89" w:rsidRPr="00225530">
        <w:rPr>
          <w:rFonts w:ascii="CenturyExpandedBT-Roman" w:eastAsia="Calibri" w:hAnsi="CenturyExpandedBT-Roman" w:cs="CenturyExpandedBT-Roman"/>
          <w:szCs w:val="24"/>
        </w:rPr>
        <w:t>extends to arrests. The ADA’s legislative history and the Justice Department’s implementing regulations and interpretive guidance</w:t>
      </w:r>
      <w:r w:rsidR="00D536A6" w:rsidRPr="00225530">
        <w:rPr>
          <w:rFonts w:ascii="CenturyExpandedBT-Roman" w:eastAsia="Calibri" w:hAnsi="CenturyExpandedBT-Roman" w:cs="CenturyExpandedBT-Roman"/>
          <w:szCs w:val="24"/>
        </w:rPr>
        <w:t>, moreover,</w:t>
      </w:r>
      <w:r w:rsidR="007D5C89" w:rsidRPr="00225530">
        <w:rPr>
          <w:rFonts w:ascii="CenturyExpandedBT-Roman" w:eastAsia="Calibri" w:hAnsi="CenturyExpandedBT-Roman" w:cs="CenturyExpandedBT-Roman"/>
          <w:szCs w:val="24"/>
        </w:rPr>
        <w:t xml:space="preserve"> confirm this reading. </w:t>
      </w:r>
      <w:r w:rsidR="00C1018E" w:rsidRPr="00225530">
        <w:rPr>
          <w:rFonts w:ascii="CenturyExpandedBT-Roman" w:eastAsia="Calibri" w:hAnsi="CenturyExpandedBT-Roman" w:cs="CenturyExpandedBT-Roman"/>
          <w:szCs w:val="24"/>
        </w:rPr>
        <w:t xml:space="preserve">Consequently, the first argument made by </w:t>
      </w:r>
      <w:r w:rsidR="00BC16FC">
        <w:rPr>
          <w:rFonts w:ascii="CenturyExpandedBT-Roman" w:eastAsia="Calibri" w:hAnsi="CenturyExpandedBT-Roman" w:cs="CenturyExpandedBT-Roman"/>
          <w:szCs w:val="24"/>
        </w:rPr>
        <w:t>Defendant</w:t>
      </w:r>
      <w:r w:rsidR="00C1018E" w:rsidRPr="00225530">
        <w:rPr>
          <w:rFonts w:ascii="CenturyExpandedBT-Roman" w:eastAsia="Calibri" w:hAnsi="CenturyExpandedBT-Roman" w:cs="CenturyExpandedBT-Roman"/>
          <w:szCs w:val="24"/>
        </w:rPr>
        <w:t xml:space="preserve"> in its moving papers, that “on the street” police encounters are not “services, programs, or activities” cov</w:t>
      </w:r>
      <w:r w:rsidR="00BC16FC">
        <w:rPr>
          <w:rFonts w:ascii="CenturyExpandedBT-Roman" w:eastAsia="Calibri" w:hAnsi="CenturyExpandedBT-Roman" w:cs="CenturyExpandedBT-Roman"/>
          <w:szCs w:val="24"/>
        </w:rPr>
        <w:t>ered by Title II of the ADA (Def.</w:t>
      </w:r>
      <w:r w:rsidR="00C1018E" w:rsidRPr="00225530">
        <w:rPr>
          <w:rFonts w:ascii="CenturyExpandedBT-Roman" w:eastAsia="Calibri" w:hAnsi="CenturyExpandedBT-Roman" w:cs="CenturyExpandedBT-Roman"/>
          <w:szCs w:val="24"/>
        </w:rPr>
        <w:t xml:space="preserve"> Br. at 10), is clearly erroneous.</w:t>
      </w:r>
    </w:p>
    <w:p w:rsidR="00142A2D" w:rsidRPr="00225530" w:rsidRDefault="00D536A6" w:rsidP="00FA41DC">
      <w:pPr>
        <w:spacing w:line="480" w:lineRule="auto"/>
        <w:rPr>
          <w:rFonts w:ascii="CenturyExpandedBT-Roman" w:eastAsia="Calibri" w:hAnsi="CenturyExpandedBT-Roman" w:cs="CenturyExpandedBT-Roman"/>
          <w:szCs w:val="24"/>
        </w:rPr>
      </w:pPr>
      <w:r w:rsidRPr="00225530">
        <w:rPr>
          <w:rFonts w:ascii="CenturyExpandedBT-Roman" w:eastAsia="Calibri" w:hAnsi="CenturyExpandedBT-Roman" w:cs="CenturyExpandedBT-Roman"/>
          <w:szCs w:val="24"/>
        </w:rPr>
        <w:tab/>
      </w:r>
      <w:r w:rsidR="007D5C89" w:rsidRPr="00225530">
        <w:rPr>
          <w:rFonts w:ascii="CenturyExpandedBT-Roman" w:eastAsia="Calibri" w:hAnsi="CenturyExpandedBT-Roman" w:cs="CenturyExpandedBT-Roman"/>
          <w:szCs w:val="24"/>
        </w:rPr>
        <w:t xml:space="preserve">To comply with Title II during an arrest, public entities </w:t>
      </w:r>
      <w:r w:rsidR="00142A2D" w:rsidRPr="00225530">
        <w:rPr>
          <w:rFonts w:ascii="CenturyExpandedBT-Roman" w:eastAsia="Calibri" w:hAnsi="CenturyExpandedBT-Roman" w:cs="CenturyExpandedBT-Roman"/>
          <w:szCs w:val="24"/>
        </w:rPr>
        <w:t xml:space="preserve">such as the NYPD </w:t>
      </w:r>
      <w:r w:rsidR="007D5C89" w:rsidRPr="00225530">
        <w:rPr>
          <w:rFonts w:ascii="CenturyExpandedBT-Roman" w:eastAsia="Calibri" w:hAnsi="CenturyExpandedBT-Roman" w:cs="CenturyExpandedBT-Roman"/>
          <w:szCs w:val="24"/>
        </w:rPr>
        <w:t xml:space="preserve">must </w:t>
      </w:r>
      <w:r w:rsidR="00104FA7">
        <w:rPr>
          <w:rFonts w:ascii="CenturyExpandedBT-Roman" w:eastAsia="Calibri" w:hAnsi="CenturyExpandedBT-Roman" w:cs="CenturyExpandedBT-Roman"/>
          <w:szCs w:val="24"/>
        </w:rPr>
        <w:t xml:space="preserve">provide auxiliary aids and services and </w:t>
      </w:r>
      <w:r w:rsidR="007D5C89" w:rsidRPr="00225530">
        <w:rPr>
          <w:rFonts w:ascii="CenturyExpandedBT-Roman" w:eastAsia="Calibri" w:hAnsi="CenturyExpandedBT-Roman" w:cs="CenturyExpandedBT-Roman"/>
          <w:szCs w:val="24"/>
        </w:rPr>
        <w:t xml:space="preserve">make reasonable modifications to accommodate an individual’s disability. </w:t>
      </w:r>
      <w:r w:rsidRPr="00225530">
        <w:rPr>
          <w:rFonts w:ascii="CenturyExpandedBT-Roman" w:eastAsia="Calibri" w:hAnsi="CenturyExpandedBT-Roman" w:cs="CenturyExpandedBT-Roman"/>
          <w:szCs w:val="24"/>
        </w:rPr>
        <w:t>Th</w:t>
      </w:r>
      <w:r w:rsidR="007D5C89" w:rsidRPr="00225530">
        <w:rPr>
          <w:rFonts w:ascii="CenturyExpandedBT-Roman" w:eastAsia="Calibri" w:hAnsi="CenturyExpandedBT-Roman" w:cs="CenturyExpandedBT-Roman"/>
          <w:szCs w:val="24"/>
        </w:rPr>
        <w:t>e exigencies surrounding police activity can play a significant role in determining whether a modification is reasonable</w:t>
      </w:r>
      <w:r w:rsidRPr="00225530">
        <w:rPr>
          <w:rFonts w:ascii="CenturyExpandedBT-Roman" w:eastAsia="Calibri" w:hAnsi="CenturyExpandedBT-Roman" w:cs="CenturyExpandedBT-Roman"/>
          <w:szCs w:val="24"/>
        </w:rPr>
        <w:t>; i</w:t>
      </w:r>
      <w:r w:rsidR="007D5C89" w:rsidRPr="00225530">
        <w:rPr>
          <w:rFonts w:ascii="CenturyExpandedBT-Roman" w:eastAsia="Calibri" w:hAnsi="CenturyExpandedBT-Roman" w:cs="CenturyExpandedBT-Roman"/>
          <w:szCs w:val="24"/>
        </w:rPr>
        <w:t xml:space="preserve">f objective evidence </w:t>
      </w:r>
      <w:r w:rsidRPr="00225530">
        <w:rPr>
          <w:rFonts w:ascii="CenturyExpandedBT-Roman" w:eastAsia="Calibri" w:hAnsi="CenturyExpandedBT-Roman" w:cs="CenturyExpandedBT-Roman"/>
          <w:szCs w:val="24"/>
        </w:rPr>
        <w:t>demonstrates</w:t>
      </w:r>
      <w:r w:rsidR="007D5C89" w:rsidRPr="00225530">
        <w:rPr>
          <w:rFonts w:ascii="CenturyExpandedBT-Roman" w:eastAsia="Calibri" w:hAnsi="CenturyExpandedBT-Roman" w:cs="CenturyExpandedBT-Roman"/>
          <w:szCs w:val="24"/>
        </w:rPr>
        <w:t xml:space="preserve"> that a modification raises </w:t>
      </w:r>
      <w:r w:rsidR="00A40923">
        <w:rPr>
          <w:rFonts w:ascii="CenturyExpandedBT-Roman" w:eastAsia="Calibri" w:hAnsi="CenturyExpandedBT-Roman" w:cs="CenturyExpandedBT-Roman"/>
          <w:szCs w:val="24"/>
        </w:rPr>
        <w:t xml:space="preserve">a </w:t>
      </w:r>
      <w:r w:rsidR="007D5C89" w:rsidRPr="00225530">
        <w:rPr>
          <w:rFonts w:ascii="CenturyExpandedBT-Roman" w:eastAsia="Calibri" w:hAnsi="CenturyExpandedBT-Roman" w:cs="CenturyExpandedBT-Roman"/>
          <w:szCs w:val="24"/>
        </w:rPr>
        <w:t xml:space="preserve">significant </w:t>
      </w:r>
      <w:r w:rsidR="00A40923">
        <w:rPr>
          <w:rFonts w:ascii="CenturyExpandedBT-Roman" w:eastAsia="Calibri" w:hAnsi="CenturyExpandedBT-Roman" w:cs="CenturyExpandedBT-Roman"/>
          <w:szCs w:val="24"/>
        </w:rPr>
        <w:t>risk of substantial harm</w:t>
      </w:r>
      <w:r w:rsidRPr="00225530">
        <w:rPr>
          <w:rFonts w:ascii="CenturyExpandedBT-Roman" w:eastAsia="Calibri" w:hAnsi="CenturyExpandedBT-Roman" w:cs="CenturyExpandedBT-Roman"/>
          <w:szCs w:val="24"/>
        </w:rPr>
        <w:t>, that modification</w:t>
      </w:r>
      <w:r w:rsidR="007D5C89" w:rsidRPr="00225530">
        <w:rPr>
          <w:rFonts w:ascii="CenturyExpandedBT-Roman" w:eastAsia="Calibri" w:hAnsi="CenturyExpandedBT-Roman" w:cs="CenturyExpandedBT-Roman"/>
          <w:szCs w:val="24"/>
        </w:rPr>
        <w:t xml:space="preserve"> </w:t>
      </w:r>
      <w:r w:rsidR="00201B48">
        <w:rPr>
          <w:rFonts w:ascii="CenturyExpandedBT-Roman" w:eastAsia="Calibri" w:hAnsi="CenturyExpandedBT-Roman" w:cs="CenturyExpandedBT-Roman"/>
          <w:szCs w:val="24"/>
        </w:rPr>
        <w:t>may</w:t>
      </w:r>
      <w:r w:rsidR="00201B48" w:rsidRPr="00225530">
        <w:rPr>
          <w:rFonts w:ascii="CenturyExpandedBT-Roman" w:eastAsia="Calibri" w:hAnsi="CenturyExpandedBT-Roman" w:cs="CenturyExpandedBT-Roman"/>
          <w:szCs w:val="24"/>
        </w:rPr>
        <w:t xml:space="preserve"> </w:t>
      </w:r>
      <w:r w:rsidR="007D5C89" w:rsidRPr="00225530">
        <w:rPr>
          <w:rFonts w:ascii="CenturyExpandedBT-Roman" w:eastAsia="Calibri" w:hAnsi="CenturyExpandedBT-Roman" w:cs="CenturyExpandedBT-Roman"/>
          <w:szCs w:val="24"/>
        </w:rPr>
        <w:t xml:space="preserve">not qualify as reasonable and so </w:t>
      </w:r>
      <w:r w:rsidR="00C62E1A">
        <w:rPr>
          <w:rFonts w:ascii="CenturyExpandedBT-Roman" w:eastAsia="Calibri" w:hAnsi="CenturyExpandedBT-Roman" w:cs="CenturyExpandedBT-Roman"/>
          <w:szCs w:val="24"/>
        </w:rPr>
        <w:t>would not to</w:t>
      </w:r>
      <w:r w:rsidR="007D5C89" w:rsidRPr="00225530">
        <w:rPr>
          <w:rFonts w:ascii="CenturyExpandedBT-Roman" w:eastAsia="Calibri" w:hAnsi="CenturyExpandedBT-Roman" w:cs="CenturyExpandedBT-Roman"/>
          <w:szCs w:val="24"/>
        </w:rPr>
        <w:t xml:space="preserve"> be provided under the ADA. </w:t>
      </w:r>
      <w:r w:rsidR="00142A2D" w:rsidRPr="00225530">
        <w:rPr>
          <w:rFonts w:ascii="CenturyExpandedBT-Roman" w:eastAsia="Calibri" w:hAnsi="CenturyExpandedBT-Roman" w:cs="CenturyExpandedBT-Roman"/>
          <w:szCs w:val="24"/>
        </w:rPr>
        <w:t xml:space="preserve"> </w:t>
      </w:r>
      <w:r w:rsidR="004959A1">
        <w:rPr>
          <w:rFonts w:ascii="CenturyExpandedBT-Roman" w:eastAsia="Calibri" w:hAnsi="CenturyExpandedBT-Roman" w:cs="CenturyExpandedBT-Roman"/>
          <w:szCs w:val="24"/>
        </w:rPr>
        <w:t>However</w:t>
      </w:r>
      <w:r w:rsidR="00142A2D" w:rsidRPr="00225530">
        <w:rPr>
          <w:rFonts w:ascii="CenturyExpandedBT-Roman" w:eastAsia="Calibri" w:hAnsi="CenturyExpandedBT-Roman" w:cs="CenturyExpandedBT-Roman"/>
          <w:szCs w:val="24"/>
        </w:rPr>
        <w:t xml:space="preserve">, the second argument made by </w:t>
      </w:r>
      <w:r w:rsidR="00BC16FC">
        <w:rPr>
          <w:rFonts w:ascii="CenturyExpandedBT-Roman" w:eastAsia="Calibri" w:hAnsi="CenturyExpandedBT-Roman" w:cs="CenturyExpandedBT-Roman"/>
          <w:szCs w:val="24"/>
        </w:rPr>
        <w:t>Defendant</w:t>
      </w:r>
      <w:r w:rsidR="00142A2D" w:rsidRPr="00225530">
        <w:rPr>
          <w:rFonts w:ascii="CenturyExpandedBT-Roman" w:eastAsia="Calibri" w:hAnsi="CenturyExpandedBT-Roman" w:cs="CenturyExpandedBT-Roman"/>
          <w:szCs w:val="24"/>
        </w:rPr>
        <w:t xml:space="preserve"> in its moving papers, that there is a categorical exception to Title II of the ADA where there are “exigent circumstan</w:t>
      </w:r>
      <w:r w:rsidR="00BC16FC">
        <w:rPr>
          <w:rFonts w:ascii="CenturyExpandedBT-Roman" w:eastAsia="Calibri" w:hAnsi="CenturyExpandedBT-Roman" w:cs="CenturyExpandedBT-Roman"/>
          <w:szCs w:val="24"/>
        </w:rPr>
        <w:t>ces” surrounding the arrest (Def.</w:t>
      </w:r>
      <w:r w:rsidR="00142A2D" w:rsidRPr="00225530">
        <w:rPr>
          <w:rFonts w:ascii="CenturyExpandedBT-Roman" w:eastAsia="Calibri" w:hAnsi="CenturyExpandedBT-Roman" w:cs="CenturyExpandedBT-Roman"/>
          <w:szCs w:val="24"/>
        </w:rPr>
        <w:t xml:space="preserve"> Br. at 11)</w:t>
      </w:r>
      <w:r w:rsidR="00677796">
        <w:rPr>
          <w:rFonts w:ascii="CenturyExpandedBT-Roman" w:eastAsia="Calibri" w:hAnsi="CenturyExpandedBT-Roman" w:cs="CenturyExpandedBT-Roman"/>
          <w:szCs w:val="24"/>
        </w:rPr>
        <w:t>,</w:t>
      </w:r>
      <w:r w:rsidR="00142A2D" w:rsidRPr="00225530">
        <w:rPr>
          <w:rFonts w:ascii="CenturyExpandedBT-Roman" w:eastAsia="Calibri" w:hAnsi="CenturyExpandedBT-Roman" w:cs="CenturyExpandedBT-Roman"/>
          <w:szCs w:val="24"/>
        </w:rPr>
        <w:t xml:space="preserve"> misstates the law.</w:t>
      </w:r>
    </w:p>
    <w:p w:rsidR="00D536A6" w:rsidRPr="00225530" w:rsidRDefault="00142A2D" w:rsidP="00FA41DC">
      <w:pPr>
        <w:spacing w:line="480" w:lineRule="auto"/>
        <w:rPr>
          <w:rFonts w:ascii="CenturyExpandedBT-Roman" w:eastAsia="Calibri" w:hAnsi="CenturyExpandedBT-Roman" w:cs="CenturyExpandedBT-Roman"/>
          <w:szCs w:val="24"/>
        </w:rPr>
      </w:pPr>
      <w:r w:rsidRPr="00225530">
        <w:rPr>
          <w:rFonts w:ascii="CenturyExpandedBT-Roman" w:eastAsia="Calibri" w:hAnsi="CenturyExpandedBT-Roman" w:cs="CenturyExpandedBT-Roman"/>
          <w:szCs w:val="24"/>
        </w:rPr>
        <w:tab/>
        <w:t>Applying this framework</w:t>
      </w:r>
      <w:r w:rsidR="008B601C">
        <w:rPr>
          <w:rFonts w:ascii="CenturyExpandedBT-Roman" w:eastAsia="Calibri" w:hAnsi="CenturyExpandedBT-Roman" w:cs="CenturyExpandedBT-Roman"/>
          <w:szCs w:val="24"/>
        </w:rPr>
        <w:t xml:space="preserve"> to this case</w:t>
      </w:r>
      <w:r w:rsidRPr="00225530">
        <w:rPr>
          <w:rFonts w:ascii="CenturyExpandedBT-Roman" w:eastAsia="Calibri" w:hAnsi="CenturyExpandedBT-Roman" w:cs="CenturyExpandedBT-Roman"/>
          <w:szCs w:val="24"/>
        </w:rPr>
        <w:t xml:space="preserve">, there appear to be </w:t>
      </w:r>
      <w:r w:rsidR="00104FA7">
        <w:rPr>
          <w:rFonts w:ascii="CenturyExpandedBT-Roman" w:eastAsia="Calibri" w:hAnsi="CenturyExpandedBT-Roman" w:cs="CenturyExpandedBT-Roman"/>
          <w:szCs w:val="24"/>
        </w:rPr>
        <w:t xml:space="preserve">auxiliary aids and services that the arresting officers should have provided and </w:t>
      </w:r>
      <w:r w:rsidR="00BC16FC">
        <w:rPr>
          <w:rFonts w:ascii="CenturyExpandedBT-Roman" w:eastAsia="Calibri" w:hAnsi="CenturyExpandedBT-Roman" w:cs="CenturyExpandedBT-Roman"/>
          <w:szCs w:val="24"/>
        </w:rPr>
        <w:t>reasonable</w:t>
      </w:r>
      <w:r w:rsidRPr="00225530">
        <w:rPr>
          <w:rFonts w:ascii="CenturyExpandedBT-Roman" w:eastAsia="Calibri" w:hAnsi="CenturyExpandedBT-Roman" w:cs="CenturyExpandedBT-Roman"/>
          <w:szCs w:val="24"/>
        </w:rPr>
        <w:t xml:space="preserve"> modifications that the arresting officers should have offered; at the very least, there are genuine issues of material fact regarding the circumstances of the arrest that</w:t>
      </w:r>
      <w:r w:rsidR="00BC16FC">
        <w:rPr>
          <w:rFonts w:ascii="CenturyExpandedBT-Roman" w:eastAsia="Calibri" w:hAnsi="CenturyExpandedBT-Roman" w:cs="CenturyExpandedBT-Roman"/>
          <w:szCs w:val="24"/>
        </w:rPr>
        <w:t xml:space="preserve"> preclude summary judgment for D</w:t>
      </w:r>
      <w:r w:rsidRPr="00225530">
        <w:rPr>
          <w:rFonts w:ascii="CenturyExpandedBT-Roman" w:eastAsia="Calibri" w:hAnsi="CenturyExpandedBT-Roman" w:cs="CenturyExpandedBT-Roman"/>
          <w:szCs w:val="24"/>
        </w:rPr>
        <w:t>efendant.  Defendant’s motion should therefore be denied.</w:t>
      </w:r>
    </w:p>
    <w:p w:rsidR="001D7D4F" w:rsidRPr="00225530" w:rsidRDefault="001D7D4F" w:rsidP="00FA41DC">
      <w:pPr>
        <w:spacing w:line="480" w:lineRule="auto"/>
        <w:rPr>
          <w:rFonts w:ascii="CenturyExpandedBT-Roman" w:eastAsia="Calibri" w:hAnsi="CenturyExpandedBT-Roman" w:cs="CenturyExpandedBT-Roman"/>
          <w:szCs w:val="24"/>
        </w:rPr>
      </w:pPr>
    </w:p>
    <w:p w:rsidR="00721F39" w:rsidRPr="00225530" w:rsidRDefault="00F83D22" w:rsidP="00D536A6">
      <w:pPr>
        <w:spacing w:line="480" w:lineRule="auto"/>
        <w:jc w:val="center"/>
        <w:rPr>
          <w:szCs w:val="24"/>
        </w:rPr>
      </w:pPr>
      <w:r>
        <w:rPr>
          <w:b/>
          <w:bCs/>
          <w:szCs w:val="24"/>
        </w:rPr>
        <w:br w:type="page"/>
      </w:r>
      <w:r w:rsidR="00721F39" w:rsidRPr="00225530">
        <w:rPr>
          <w:b/>
          <w:bCs/>
          <w:szCs w:val="24"/>
        </w:rPr>
        <w:t>STATUTORY AND REGULATORY BACKGROUND</w:t>
      </w:r>
    </w:p>
    <w:p w:rsidR="00721F39" w:rsidRDefault="00D536A6" w:rsidP="00971B4B">
      <w:pPr>
        <w:spacing w:line="480" w:lineRule="auto"/>
        <w:ind w:firstLine="720"/>
        <w:rPr>
          <w:szCs w:val="24"/>
        </w:rPr>
      </w:pPr>
      <w:r w:rsidRPr="00225530">
        <w:rPr>
          <w:szCs w:val="24"/>
        </w:rPr>
        <w:t xml:space="preserve">Two decades ago, </w:t>
      </w:r>
      <w:r w:rsidR="00721F39" w:rsidRPr="00225530">
        <w:rPr>
          <w:szCs w:val="24"/>
        </w:rPr>
        <w:t xml:space="preserve">Congress determined that there was a “compelling need” to remedy widespread discrimination against </w:t>
      </w:r>
      <w:r w:rsidR="00A2765B" w:rsidRPr="00225530">
        <w:rPr>
          <w:szCs w:val="24"/>
        </w:rPr>
        <w:t>individuals with disabilities</w:t>
      </w:r>
      <w:r w:rsidR="00721F39" w:rsidRPr="00225530">
        <w:rPr>
          <w:szCs w:val="24"/>
        </w:rPr>
        <w:t xml:space="preserve"> through a “clear and comprehensive national mandate.”  H.R. Re</w:t>
      </w:r>
      <w:r w:rsidR="00A20122" w:rsidRPr="00225530">
        <w:rPr>
          <w:szCs w:val="24"/>
        </w:rPr>
        <w:t>p. No. 101-485 (II)</w:t>
      </w:r>
      <w:r w:rsidR="00721F39" w:rsidRPr="00225530">
        <w:rPr>
          <w:szCs w:val="24"/>
        </w:rPr>
        <w:t>, at 50 (1990)</w:t>
      </w:r>
      <w:r w:rsidR="00A20122" w:rsidRPr="00225530">
        <w:rPr>
          <w:szCs w:val="24"/>
        </w:rPr>
        <w:t xml:space="preserve">, </w:t>
      </w:r>
      <w:r w:rsidR="00A20122" w:rsidRPr="00225530">
        <w:rPr>
          <w:i/>
          <w:szCs w:val="24"/>
        </w:rPr>
        <w:t>reprinted in</w:t>
      </w:r>
      <w:r w:rsidR="00A20122" w:rsidRPr="00225530">
        <w:rPr>
          <w:szCs w:val="24"/>
        </w:rPr>
        <w:t xml:space="preserve"> 1990 U.S.C.C.A.N. 303, 332</w:t>
      </w:r>
      <w:r w:rsidR="00721F39" w:rsidRPr="00225530">
        <w:rPr>
          <w:szCs w:val="24"/>
        </w:rPr>
        <w:t xml:space="preserve">.  In 1990, Congress enacted the ADA to implement that broad mandate.  </w:t>
      </w:r>
      <w:r w:rsidR="00721F39" w:rsidRPr="00225530">
        <w:rPr>
          <w:i/>
          <w:szCs w:val="24"/>
        </w:rPr>
        <w:t>See</w:t>
      </w:r>
      <w:r w:rsidR="00721F39" w:rsidRPr="00225530">
        <w:rPr>
          <w:szCs w:val="24"/>
        </w:rPr>
        <w:t xml:space="preserve"> 42 U.S.C. § 12101(b).  The ADA has a “sweeping purpose,” and “forbids discrimination against </w:t>
      </w:r>
      <w:r w:rsidR="00FD12A2" w:rsidRPr="00225530">
        <w:rPr>
          <w:szCs w:val="24"/>
        </w:rPr>
        <w:t>disabled individuals</w:t>
      </w:r>
      <w:r w:rsidR="00721F39" w:rsidRPr="00225530">
        <w:rPr>
          <w:szCs w:val="24"/>
        </w:rPr>
        <w:t xml:space="preserve"> in major areas of public life.”  </w:t>
      </w:r>
      <w:r w:rsidR="00721F39" w:rsidRPr="00225530">
        <w:rPr>
          <w:i/>
          <w:szCs w:val="24"/>
        </w:rPr>
        <w:t>PGA Tour, Inc. v. Martin</w:t>
      </w:r>
      <w:r w:rsidR="00721F39" w:rsidRPr="00225530">
        <w:rPr>
          <w:szCs w:val="24"/>
        </w:rPr>
        <w:t xml:space="preserve">, 532 U.S. 661, 675 (2001).  As a remedial statute, moreover, the ADA “should be construed broadly to effectuate its purposes.”  </w:t>
      </w:r>
      <w:proofErr w:type="spellStart"/>
      <w:r w:rsidR="00721F39" w:rsidRPr="00225530">
        <w:rPr>
          <w:i/>
          <w:szCs w:val="24"/>
        </w:rPr>
        <w:t>Tcherepnin</w:t>
      </w:r>
      <w:proofErr w:type="spellEnd"/>
      <w:r w:rsidR="00721F39" w:rsidRPr="00225530">
        <w:rPr>
          <w:i/>
          <w:szCs w:val="24"/>
        </w:rPr>
        <w:t xml:space="preserve"> v. Knight</w:t>
      </w:r>
      <w:r w:rsidR="00721F39" w:rsidRPr="00225530">
        <w:rPr>
          <w:szCs w:val="24"/>
        </w:rPr>
        <w:t xml:space="preserve">, 389 U.S. 332, 336 (1967); </w:t>
      </w:r>
      <w:r w:rsidR="00721F39" w:rsidRPr="00225530">
        <w:rPr>
          <w:i/>
          <w:szCs w:val="24"/>
        </w:rPr>
        <w:t>see also Henrietta D. v. Bloomberg</w:t>
      </w:r>
      <w:r w:rsidR="00721F39" w:rsidRPr="00225530">
        <w:rPr>
          <w:szCs w:val="24"/>
        </w:rPr>
        <w:t xml:space="preserve">, 331 F.3d 261, 279 (2d Cir. 2003).  Indeed, the ADA’s “comprehensive character” is one of its “most impressive strengths.”  </w:t>
      </w:r>
      <w:r w:rsidR="009A2A1A" w:rsidRPr="00225530">
        <w:rPr>
          <w:i/>
          <w:szCs w:val="24"/>
        </w:rPr>
        <w:t>See PGA Tour</w:t>
      </w:r>
      <w:r w:rsidR="009A2A1A" w:rsidRPr="00225530">
        <w:rPr>
          <w:szCs w:val="24"/>
        </w:rPr>
        <w:t xml:space="preserve">, 532 U.S. at 675 (quoting the </w:t>
      </w:r>
      <w:r w:rsidR="00721F39" w:rsidRPr="00225530">
        <w:rPr>
          <w:szCs w:val="24"/>
        </w:rPr>
        <w:t xml:space="preserve">Hearings on S. 933 before the Senate Committee on Labor and Human Resources and the Subcommittee on the Handicapped, 101st Cong., 1st Sess., 197 (1989) (statement of </w:t>
      </w:r>
      <w:r w:rsidR="009A2A1A" w:rsidRPr="00225530">
        <w:rPr>
          <w:szCs w:val="24"/>
        </w:rPr>
        <w:t xml:space="preserve">the </w:t>
      </w:r>
      <w:r w:rsidR="00721F39" w:rsidRPr="00225530">
        <w:rPr>
          <w:szCs w:val="24"/>
        </w:rPr>
        <w:t>Attorney General)</w:t>
      </w:r>
      <w:r w:rsidR="009A2A1A" w:rsidRPr="00225530">
        <w:rPr>
          <w:szCs w:val="24"/>
        </w:rPr>
        <w:t>)</w:t>
      </w:r>
      <w:r w:rsidR="00721F39" w:rsidRPr="00225530">
        <w:rPr>
          <w:szCs w:val="24"/>
        </w:rPr>
        <w:t xml:space="preserve">. </w:t>
      </w:r>
    </w:p>
    <w:p w:rsidR="00225530" w:rsidRPr="00225530" w:rsidRDefault="00225530" w:rsidP="00225530">
      <w:pPr>
        <w:spacing w:line="480" w:lineRule="auto"/>
        <w:rPr>
          <w:b/>
          <w:szCs w:val="24"/>
        </w:rPr>
      </w:pPr>
      <w:r w:rsidRPr="00225530">
        <w:rPr>
          <w:b/>
          <w:szCs w:val="24"/>
        </w:rPr>
        <w:t>A.</w:t>
      </w:r>
      <w:r w:rsidRPr="00225530">
        <w:rPr>
          <w:b/>
          <w:szCs w:val="24"/>
        </w:rPr>
        <w:tab/>
        <w:t>Title II of the ADA</w:t>
      </w:r>
    </w:p>
    <w:p w:rsidR="00721F39" w:rsidRPr="00225530" w:rsidRDefault="00721F39" w:rsidP="006F7F15">
      <w:pPr>
        <w:pStyle w:val="PlainText"/>
        <w:spacing w:line="480" w:lineRule="auto"/>
        <w:ind w:firstLine="720"/>
        <w:rPr>
          <w:rFonts w:ascii="Times New Roman" w:hAnsi="Times New Roman"/>
          <w:sz w:val="24"/>
          <w:szCs w:val="24"/>
        </w:rPr>
      </w:pPr>
      <w:r w:rsidRPr="00225530">
        <w:rPr>
          <w:rFonts w:ascii="Times New Roman" w:hAnsi="Times New Roman"/>
          <w:sz w:val="24"/>
          <w:szCs w:val="24"/>
        </w:rPr>
        <w:t xml:space="preserve">Title II of the ADA </w:t>
      </w:r>
      <w:r w:rsidR="00ED2966">
        <w:rPr>
          <w:rFonts w:ascii="Times New Roman" w:hAnsi="Times New Roman"/>
          <w:sz w:val="24"/>
          <w:szCs w:val="24"/>
        </w:rPr>
        <w:t>prohibit</w:t>
      </w:r>
      <w:r w:rsidR="004959A1">
        <w:rPr>
          <w:rFonts w:ascii="Times New Roman" w:hAnsi="Times New Roman"/>
          <w:sz w:val="24"/>
          <w:szCs w:val="24"/>
        </w:rPr>
        <w:t>s</w:t>
      </w:r>
      <w:r w:rsidR="00ED2966">
        <w:rPr>
          <w:rFonts w:ascii="Times New Roman" w:hAnsi="Times New Roman"/>
          <w:sz w:val="24"/>
          <w:szCs w:val="24"/>
        </w:rPr>
        <w:t xml:space="preserve"> </w:t>
      </w:r>
      <w:r w:rsidRPr="00225530">
        <w:rPr>
          <w:rFonts w:ascii="Times New Roman" w:hAnsi="Times New Roman"/>
          <w:sz w:val="24"/>
          <w:szCs w:val="24"/>
        </w:rPr>
        <w:t xml:space="preserve">“all </w:t>
      </w:r>
      <w:r w:rsidR="00ED2966">
        <w:rPr>
          <w:rFonts w:ascii="Times New Roman" w:hAnsi="Times New Roman"/>
          <w:sz w:val="24"/>
          <w:szCs w:val="24"/>
        </w:rPr>
        <w:t>discrimination based on disability by</w:t>
      </w:r>
      <w:r w:rsidRPr="00225530">
        <w:rPr>
          <w:rFonts w:ascii="Times New Roman" w:hAnsi="Times New Roman"/>
          <w:sz w:val="24"/>
          <w:szCs w:val="24"/>
        </w:rPr>
        <w:t xml:space="preserve"> public entities.” </w:t>
      </w:r>
      <w:r w:rsidR="00ED2966">
        <w:rPr>
          <w:rFonts w:ascii="Times New Roman" w:hAnsi="Times New Roman"/>
          <w:i/>
          <w:sz w:val="24"/>
          <w:szCs w:val="24"/>
        </w:rPr>
        <w:t xml:space="preserve">Regional Economic </w:t>
      </w:r>
      <w:proofErr w:type="spellStart"/>
      <w:r w:rsidR="00ED2966">
        <w:rPr>
          <w:rFonts w:ascii="Times New Roman" w:hAnsi="Times New Roman"/>
          <w:i/>
          <w:sz w:val="24"/>
          <w:szCs w:val="24"/>
        </w:rPr>
        <w:t>Cmty</w:t>
      </w:r>
      <w:proofErr w:type="spellEnd"/>
      <w:r w:rsidR="00ED2966">
        <w:rPr>
          <w:rFonts w:ascii="Times New Roman" w:hAnsi="Times New Roman"/>
          <w:i/>
          <w:sz w:val="24"/>
          <w:szCs w:val="24"/>
        </w:rPr>
        <w:t>. Action Program (“RECAP”) v. City of Middletown</w:t>
      </w:r>
      <w:r w:rsidR="00ED2966">
        <w:rPr>
          <w:rFonts w:ascii="Times New Roman" w:hAnsi="Times New Roman"/>
          <w:sz w:val="24"/>
          <w:szCs w:val="24"/>
        </w:rPr>
        <w:t xml:space="preserve">, 294 F.3d 35, </w:t>
      </w:r>
      <w:r w:rsidR="00EB2528">
        <w:rPr>
          <w:rFonts w:ascii="Times New Roman" w:hAnsi="Times New Roman"/>
          <w:sz w:val="24"/>
          <w:szCs w:val="24"/>
        </w:rPr>
        <w:t>4</w:t>
      </w:r>
      <w:r w:rsidR="00ED2966">
        <w:rPr>
          <w:rFonts w:ascii="Times New Roman" w:hAnsi="Times New Roman"/>
          <w:sz w:val="24"/>
          <w:szCs w:val="24"/>
        </w:rPr>
        <w:t xml:space="preserve">5 (2d Cir. 2002); </w:t>
      </w:r>
      <w:r w:rsidR="00ED2966">
        <w:rPr>
          <w:rFonts w:ascii="Times New Roman" w:hAnsi="Times New Roman"/>
          <w:i/>
          <w:sz w:val="24"/>
          <w:szCs w:val="24"/>
        </w:rPr>
        <w:t>see also</w:t>
      </w:r>
      <w:r w:rsidRPr="00225530">
        <w:rPr>
          <w:rFonts w:ascii="Times New Roman" w:hAnsi="Times New Roman"/>
          <w:sz w:val="24"/>
          <w:szCs w:val="24"/>
        </w:rPr>
        <w:t xml:space="preserve"> </w:t>
      </w:r>
      <w:r w:rsidR="00274746" w:rsidRPr="00225530">
        <w:rPr>
          <w:rFonts w:ascii="Times New Roman" w:hAnsi="Times New Roman"/>
          <w:i/>
          <w:sz w:val="24"/>
          <w:szCs w:val="24"/>
        </w:rPr>
        <w:t>Innovative Health Sys.</w:t>
      </w:r>
      <w:r w:rsidRPr="00225530">
        <w:rPr>
          <w:rFonts w:ascii="Times New Roman" w:hAnsi="Times New Roman"/>
          <w:i/>
          <w:sz w:val="24"/>
          <w:szCs w:val="24"/>
        </w:rPr>
        <w:t>, Inc. v. City of White Plains</w:t>
      </w:r>
      <w:r w:rsidRPr="00225530">
        <w:rPr>
          <w:rFonts w:ascii="Times New Roman" w:hAnsi="Times New Roman"/>
          <w:sz w:val="24"/>
          <w:szCs w:val="24"/>
        </w:rPr>
        <w:t>, 931 F. Supp. 222, 232 (S.D.N.Y. 1996)</w:t>
      </w:r>
      <w:r w:rsidR="00ED2966">
        <w:rPr>
          <w:rFonts w:ascii="Times New Roman" w:hAnsi="Times New Roman"/>
          <w:sz w:val="24"/>
          <w:szCs w:val="24"/>
        </w:rPr>
        <w:t xml:space="preserve"> (Title II reaches “all actions by public entities”)</w:t>
      </w:r>
      <w:r w:rsidR="006F7F15" w:rsidRPr="00225530">
        <w:rPr>
          <w:rFonts w:ascii="Times New Roman" w:hAnsi="Times New Roman"/>
          <w:sz w:val="24"/>
          <w:szCs w:val="24"/>
        </w:rPr>
        <w:t xml:space="preserve">, </w:t>
      </w:r>
      <w:proofErr w:type="spellStart"/>
      <w:r w:rsidR="008B601C">
        <w:rPr>
          <w:rFonts w:ascii="Times New Roman" w:hAnsi="Times New Roman"/>
          <w:i/>
          <w:sz w:val="24"/>
          <w:szCs w:val="24"/>
        </w:rPr>
        <w:t>aff’</w:t>
      </w:r>
      <w:r w:rsidR="006F7F15" w:rsidRPr="00225530">
        <w:rPr>
          <w:rFonts w:ascii="Times New Roman" w:hAnsi="Times New Roman"/>
          <w:i/>
          <w:sz w:val="24"/>
          <w:szCs w:val="24"/>
        </w:rPr>
        <w:t>d</w:t>
      </w:r>
      <w:proofErr w:type="spellEnd"/>
      <w:r w:rsidR="006F7F15" w:rsidRPr="00225530">
        <w:rPr>
          <w:rFonts w:ascii="Times New Roman" w:hAnsi="Times New Roman"/>
          <w:i/>
          <w:sz w:val="24"/>
          <w:szCs w:val="24"/>
        </w:rPr>
        <w:t xml:space="preserve"> in part</w:t>
      </w:r>
      <w:r w:rsidR="006F7F15" w:rsidRPr="00225530">
        <w:rPr>
          <w:rFonts w:ascii="Times New Roman" w:hAnsi="Times New Roman"/>
          <w:sz w:val="24"/>
          <w:szCs w:val="24"/>
        </w:rPr>
        <w:t xml:space="preserve">, 117 F.3d 37 (2d Cir. 1997), </w:t>
      </w:r>
      <w:r w:rsidR="006F7F15" w:rsidRPr="00225530">
        <w:rPr>
          <w:rFonts w:ascii="Times New Roman" w:hAnsi="Times New Roman"/>
          <w:i/>
          <w:sz w:val="24"/>
          <w:szCs w:val="24"/>
        </w:rPr>
        <w:t xml:space="preserve">superseded by rule change on other grounds as noted in </w:t>
      </w:r>
      <w:proofErr w:type="spellStart"/>
      <w:r w:rsidR="006F7F15" w:rsidRPr="00225530">
        <w:rPr>
          <w:rFonts w:ascii="Times New Roman" w:hAnsi="Times New Roman"/>
          <w:i/>
          <w:sz w:val="24"/>
          <w:szCs w:val="24"/>
        </w:rPr>
        <w:t>Zervos</w:t>
      </w:r>
      <w:proofErr w:type="spellEnd"/>
      <w:r w:rsidR="006F7F15" w:rsidRPr="00225530">
        <w:rPr>
          <w:rFonts w:ascii="Times New Roman" w:hAnsi="Times New Roman"/>
          <w:i/>
          <w:sz w:val="24"/>
          <w:szCs w:val="24"/>
        </w:rPr>
        <w:t xml:space="preserve"> v. Verizon N.Y., Inc.</w:t>
      </w:r>
      <w:r w:rsidR="006F7F15" w:rsidRPr="00225530">
        <w:rPr>
          <w:rFonts w:ascii="Times New Roman" w:hAnsi="Times New Roman"/>
          <w:sz w:val="24"/>
          <w:szCs w:val="24"/>
        </w:rPr>
        <w:t>, 252 F.3d 163, 171 n.7 (2d Cir. 2001)</w:t>
      </w:r>
      <w:r w:rsidRPr="00225530">
        <w:rPr>
          <w:rFonts w:ascii="Times New Roman" w:hAnsi="Times New Roman"/>
          <w:sz w:val="24"/>
          <w:szCs w:val="24"/>
        </w:rPr>
        <w:t xml:space="preserve">.  Subtitle A of Title II provides that:  </w:t>
      </w:r>
    </w:p>
    <w:p w:rsidR="00721F39" w:rsidRPr="00225530" w:rsidRDefault="00721F39" w:rsidP="00721F39">
      <w:pPr>
        <w:ind w:left="720" w:right="720"/>
        <w:jc w:val="both"/>
        <w:rPr>
          <w:szCs w:val="24"/>
        </w:rPr>
      </w:pPr>
      <w:r w:rsidRPr="00225530">
        <w:rPr>
          <w:szCs w:val="24"/>
        </w:rPr>
        <w:t xml:space="preserve">[N]o qualified individual with a disability shall, by reason of such disability, be excluded from participation in or be denied the benefits of the services, programs, or activities of a public entity, or be subjected to discrimination by any such entity.  </w:t>
      </w:r>
    </w:p>
    <w:p w:rsidR="00721F39" w:rsidRPr="00225530" w:rsidRDefault="00721F39" w:rsidP="00721F39">
      <w:pPr>
        <w:ind w:left="1440" w:right="1440"/>
        <w:rPr>
          <w:szCs w:val="24"/>
        </w:rPr>
      </w:pPr>
    </w:p>
    <w:p w:rsidR="00721F39" w:rsidRPr="00225530" w:rsidRDefault="00721F39" w:rsidP="00971B4B">
      <w:pPr>
        <w:spacing w:line="480" w:lineRule="auto"/>
        <w:rPr>
          <w:szCs w:val="24"/>
        </w:rPr>
      </w:pPr>
      <w:r w:rsidRPr="00225530">
        <w:rPr>
          <w:szCs w:val="24"/>
        </w:rPr>
        <w:t>42 U.S.C. § 12132.  The term “public entity” means “any State or local government,” and “any department, agency, special purpose district, or other instrumentality of a State or States or local government.”  42 U.S.C. § 12131.</w:t>
      </w:r>
      <w:r w:rsidRPr="00225530">
        <w:rPr>
          <w:rStyle w:val="FootnoteReference"/>
          <w:szCs w:val="24"/>
        </w:rPr>
        <w:footnoteReference w:id="2"/>
      </w:r>
      <w:r w:rsidRPr="00225530">
        <w:rPr>
          <w:szCs w:val="24"/>
        </w:rPr>
        <w:t xml:space="preserve">  Responsibility for implementing regulations necessary for carrying out Subtitle A is vested in the Department of Justice.  42 U.S.C. § 12134.</w:t>
      </w:r>
      <w:r w:rsidR="00624810" w:rsidRPr="00225530">
        <w:rPr>
          <w:rStyle w:val="FootnoteReference"/>
          <w:szCs w:val="24"/>
        </w:rPr>
        <w:footnoteReference w:id="3"/>
      </w:r>
    </w:p>
    <w:p w:rsidR="00CE386E" w:rsidRDefault="00BA4147" w:rsidP="00971B4B">
      <w:pPr>
        <w:spacing w:line="480" w:lineRule="auto"/>
        <w:rPr>
          <w:szCs w:val="24"/>
        </w:rPr>
      </w:pPr>
      <w:r w:rsidRPr="00225530">
        <w:rPr>
          <w:szCs w:val="24"/>
        </w:rPr>
        <w:tab/>
        <w:t>Courts int</w:t>
      </w:r>
      <w:r w:rsidR="00BF0799" w:rsidRPr="00225530">
        <w:rPr>
          <w:szCs w:val="24"/>
        </w:rPr>
        <w:t xml:space="preserve">erpreting the non-discrimination mandate </w:t>
      </w:r>
      <w:r w:rsidRPr="00225530">
        <w:rPr>
          <w:szCs w:val="24"/>
        </w:rPr>
        <w:t xml:space="preserve">of Title II have explained in more detail what public entities must do to comply </w:t>
      </w:r>
      <w:r w:rsidR="00B26E48" w:rsidRPr="00225530">
        <w:rPr>
          <w:szCs w:val="24"/>
        </w:rPr>
        <w:t xml:space="preserve">with the statute.  </w:t>
      </w:r>
      <w:r w:rsidR="00104FA7">
        <w:rPr>
          <w:szCs w:val="24"/>
        </w:rPr>
        <w:t>The “</w:t>
      </w:r>
      <w:r w:rsidR="00104FA7" w:rsidRPr="00225530">
        <w:rPr>
          <w:szCs w:val="24"/>
        </w:rPr>
        <w:t>failure to accommodate persons with disabilities will often have the same practical effect as outright exclusion</w:t>
      </w:r>
      <w:r w:rsidR="00104FA7">
        <w:rPr>
          <w:szCs w:val="24"/>
        </w:rPr>
        <w:t>.</w:t>
      </w:r>
      <w:r w:rsidR="00104FA7" w:rsidRPr="00225530">
        <w:rPr>
          <w:szCs w:val="24"/>
        </w:rPr>
        <w:t>”</w:t>
      </w:r>
      <w:r w:rsidR="00104FA7">
        <w:rPr>
          <w:szCs w:val="24"/>
        </w:rPr>
        <w:t xml:space="preserve"> </w:t>
      </w:r>
      <w:r w:rsidR="00104FA7" w:rsidRPr="00225530">
        <w:rPr>
          <w:i/>
          <w:szCs w:val="24"/>
        </w:rPr>
        <w:t>Tennessee v. Lane</w:t>
      </w:r>
      <w:r w:rsidR="00104FA7">
        <w:rPr>
          <w:szCs w:val="24"/>
        </w:rPr>
        <w:t>, 541 U.S. 509, 531 (2004)</w:t>
      </w:r>
      <w:r w:rsidR="00104FA7" w:rsidRPr="00225530">
        <w:rPr>
          <w:szCs w:val="24"/>
        </w:rPr>
        <w:t>; 28 C.F.R. § 35.130(b)(7).</w:t>
      </w:r>
      <w:r w:rsidR="00104FA7">
        <w:rPr>
          <w:szCs w:val="24"/>
        </w:rPr>
        <w:t xml:space="preserve"> </w:t>
      </w:r>
      <w:r w:rsidR="00B26E48" w:rsidRPr="00225530">
        <w:rPr>
          <w:szCs w:val="24"/>
        </w:rPr>
        <w:t xml:space="preserve">At a minimum, </w:t>
      </w:r>
      <w:r w:rsidR="00104FA7">
        <w:rPr>
          <w:szCs w:val="24"/>
        </w:rPr>
        <w:t xml:space="preserve">therefore, </w:t>
      </w:r>
      <w:r w:rsidR="00B26E48" w:rsidRPr="00225530">
        <w:rPr>
          <w:szCs w:val="24"/>
        </w:rPr>
        <w:t xml:space="preserve">a public entity must ensure that </w:t>
      </w:r>
      <w:r w:rsidR="00A2765B" w:rsidRPr="00225530">
        <w:rPr>
          <w:szCs w:val="24"/>
        </w:rPr>
        <w:t>individuals with disabilities</w:t>
      </w:r>
      <w:r w:rsidR="00B26E48" w:rsidRPr="00225530">
        <w:rPr>
          <w:szCs w:val="24"/>
        </w:rPr>
        <w:t xml:space="preserve"> are afforded “meaningful access” to that entity’s publicly offered services, benefits, and activities.  </w:t>
      </w:r>
      <w:r w:rsidR="00B26E48" w:rsidRPr="00225530">
        <w:rPr>
          <w:i/>
          <w:szCs w:val="24"/>
        </w:rPr>
        <w:t>See, e.g.</w:t>
      </w:r>
      <w:r w:rsidR="00B26E48" w:rsidRPr="00225530">
        <w:rPr>
          <w:szCs w:val="24"/>
        </w:rPr>
        <w:t xml:space="preserve">, </w:t>
      </w:r>
      <w:r w:rsidR="003657FD" w:rsidRPr="001D7D4F">
        <w:rPr>
          <w:i/>
          <w:szCs w:val="24"/>
        </w:rPr>
        <w:t>Disabled in Action</w:t>
      </w:r>
      <w:r w:rsidR="003657FD">
        <w:rPr>
          <w:szCs w:val="24"/>
        </w:rPr>
        <w:t>, 752 F.3d at 197</w:t>
      </w:r>
      <w:r w:rsidR="00B758B2" w:rsidRPr="00225530">
        <w:rPr>
          <w:szCs w:val="24"/>
        </w:rPr>
        <w:t>.</w:t>
      </w:r>
      <w:r w:rsidR="008D275D" w:rsidRPr="00225530">
        <w:rPr>
          <w:rStyle w:val="FootnoteReference"/>
          <w:szCs w:val="24"/>
        </w:rPr>
        <w:footnoteReference w:id="4"/>
      </w:r>
      <w:r w:rsidR="00B758B2" w:rsidRPr="00225530">
        <w:rPr>
          <w:szCs w:val="24"/>
        </w:rPr>
        <w:t xml:space="preserve">  </w:t>
      </w:r>
      <w:r w:rsidR="008D275D" w:rsidRPr="00225530">
        <w:rPr>
          <w:szCs w:val="24"/>
        </w:rPr>
        <w:t xml:space="preserve">A </w:t>
      </w:r>
      <w:r w:rsidR="00B758B2" w:rsidRPr="00225530">
        <w:rPr>
          <w:szCs w:val="24"/>
        </w:rPr>
        <w:t xml:space="preserve">public </w:t>
      </w:r>
      <w:r w:rsidR="006A2DB8" w:rsidRPr="00225530">
        <w:rPr>
          <w:szCs w:val="24"/>
        </w:rPr>
        <w:t>entity will frequently</w:t>
      </w:r>
      <w:r w:rsidR="00521BB5" w:rsidRPr="00225530">
        <w:rPr>
          <w:szCs w:val="24"/>
        </w:rPr>
        <w:t xml:space="preserve"> have to make </w:t>
      </w:r>
      <w:r w:rsidR="008F3A6E" w:rsidRPr="00225530">
        <w:rPr>
          <w:szCs w:val="24"/>
        </w:rPr>
        <w:t>modification</w:t>
      </w:r>
      <w:r w:rsidR="00B758B2" w:rsidRPr="00225530">
        <w:rPr>
          <w:szCs w:val="24"/>
        </w:rPr>
        <w:t>s</w:t>
      </w:r>
      <w:r w:rsidR="008D275D" w:rsidRPr="00225530">
        <w:rPr>
          <w:szCs w:val="24"/>
        </w:rPr>
        <w:t xml:space="preserve"> to its policies, practices, and procedures</w:t>
      </w:r>
      <w:r w:rsidR="00B758B2" w:rsidRPr="00225530">
        <w:rPr>
          <w:szCs w:val="24"/>
        </w:rPr>
        <w:t xml:space="preserve"> in order to </w:t>
      </w:r>
      <w:r w:rsidR="008D275D" w:rsidRPr="00225530">
        <w:rPr>
          <w:szCs w:val="24"/>
        </w:rPr>
        <w:t xml:space="preserve">avoid discriminating against individuals with disabilities, and to </w:t>
      </w:r>
      <w:r w:rsidR="00B758B2" w:rsidRPr="00225530">
        <w:rPr>
          <w:szCs w:val="24"/>
        </w:rPr>
        <w:t xml:space="preserve">truly afford </w:t>
      </w:r>
      <w:r w:rsidR="006A2DB8" w:rsidRPr="00225530">
        <w:rPr>
          <w:szCs w:val="24"/>
        </w:rPr>
        <w:t xml:space="preserve">them </w:t>
      </w:r>
      <w:r w:rsidR="00B758B2" w:rsidRPr="00225530">
        <w:rPr>
          <w:szCs w:val="24"/>
        </w:rPr>
        <w:t xml:space="preserve">“meaningful access.”  </w:t>
      </w:r>
      <w:r w:rsidR="00B758B2" w:rsidRPr="00225530">
        <w:rPr>
          <w:i/>
          <w:szCs w:val="24"/>
        </w:rPr>
        <w:t>Id.</w:t>
      </w:r>
      <w:r w:rsidR="00104FA7">
        <w:rPr>
          <w:szCs w:val="24"/>
        </w:rPr>
        <w:t xml:space="preserve"> </w:t>
      </w:r>
      <w:r w:rsidR="00B758B2" w:rsidRPr="00225530">
        <w:rPr>
          <w:szCs w:val="24"/>
        </w:rPr>
        <w:t xml:space="preserve">  </w:t>
      </w:r>
    </w:p>
    <w:p w:rsidR="00846D8D" w:rsidRDefault="00B758B2" w:rsidP="00971B4B">
      <w:pPr>
        <w:spacing w:line="480" w:lineRule="auto"/>
        <w:rPr>
          <w:szCs w:val="24"/>
        </w:rPr>
      </w:pPr>
      <w:r w:rsidRPr="00225530">
        <w:rPr>
          <w:szCs w:val="24"/>
        </w:rPr>
        <w:t xml:space="preserve">  </w:t>
      </w:r>
    </w:p>
    <w:p w:rsidR="00225530" w:rsidRPr="00225530" w:rsidRDefault="00225530" w:rsidP="00225530">
      <w:pPr>
        <w:spacing w:line="480" w:lineRule="auto"/>
        <w:rPr>
          <w:b/>
          <w:szCs w:val="24"/>
        </w:rPr>
      </w:pPr>
      <w:r w:rsidRPr="00225530">
        <w:rPr>
          <w:b/>
          <w:szCs w:val="24"/>
        </w:rPr>
        <w:t>B.</w:t>
      </w:r>
      <w:r w:rsidRPr="00225530">
        <w:rPr>
          <w:b/>
          <w:szCs w:val="24"/>
        </w:rPr>
        <w:tab/>
        <w:t>The DOJ Regulations Implementing Title II of the ADA</w:t>
      </w:r>
    </w:p>
    <w:p w:rsidR="008B601C" w:rsidRDefault="00225530" w:rsidP="00225530">
      <w:pPr>
        <w:autoSpaceDE w:val="0"/>
        <w:autoSpaceDN w:val="0"/>
        <w:adjustRightInd w:val="0"/>
        <w:spacing w:line="480" w:lineRule="auto"/>
        <w:ind w:firstLine="720"/>
        <w:rPr>
          <w:rFonts w:eastAsia="Calibri"/>
          <w:szCs w:val="24"/>
        </w:rPr>
      </w:pPr>
      <w:r w:rsidRPr="00225530">
        <w:rPr>
          <w:rFonts w:eastAsia="Calibri"/>
          <w:szCs w:val="24"/>
        </w:rPr>
        <w:t xml:space="preserve">The DOJ Regulations implementing Title II are codified at 28 C.F.R. Part 35.  </w:t>
      </w:r>
      <w:r w:rsidR="008B601C">
        <w:rPr>
          <w:rFonts w:eastAsia="Calibri"/>
          <w:szCs w:val="24"/>
        </w:rPr>
        <w:t xml:space="preserve"> </w:t>
      </w:r>
      <w:r w:rsidRPr="00225530">
        <w:rPr>
          <w:rFonts w:eastAsia="Calibri"/>
          <w:szCs w:val="24"/>
        </w:rPr>
        <w:t xml:space="preserve">As interpretations of the meaning and scope of Title II, the DOJ Regulations are entitled to “controlling weight unless they are arbitrary, capricious, or manifestly contrary to the statute.”  </w:t>
      </w:r>
      <w:r w:rsidRPr="00225530">
        <w:rPr>
          <w:rFonts w:eastAsia="Calibri"/>
          <w:i/>
          <w:szCs w:val="24"/>
        </w:rPr>
        <w:t>Chevron U.S.A., Inc. v. Natural Resources Defense Council, Inc.</w:t>
      </w:r>
      <w:r w:rsidRPr="00225530">
        <w:rPr>
          <w:rFonts w:eastAsia="Calibri"/>
          <w:szCs w:val="24"/>
        </w:rPr>
        <w:t xml:space="preserve">, 467 U.S. 837, 844 (1984); </w:t>
      </w:r>
      <w:r w:rsidRPr="00225530">
        <w:rPr>
          <w:rFonts w:eastAsia="Calibri"/>
          <w:i/>
          <w:szCs w:val="24"/>
        </w:rPr>
        <w:t xml:space="preserve">see also </w:t>
      </w:r>
      <w:proofErr w:type="spellStart"/>
      <w:r w:rsidR="00FE6552">
        <w:rPr>
          <w:rFonts w:eastAsia="Calibri"/>
          <w:i/>
          <w:szCs w:val="24"/>
        </w:rPr>
        <w:t>Bragdon</w:t>
      </w:r>
      <w:proofErr w:type="spellEnd"/>
      <w:r w:rsidR="00FE6552">
        <w:rPr>
          <w:rFonts w:eastAsia="Calibri"/>
          <w:i/>
          <w:szCs w:val="24"/>
        </w:rPr>
        <w:t xml:space="preserve"> v. Abbott</w:t>
      </w:r>
      <w:r w:rsidR="00FE6552">
        <w:rPr>
          <w:rFonts w:eastAsia="Calibri"/>
          <w:szCs w:val="24"/>
        </w:rPr>
        <w:t xml:space="preserve">, 524 U.S. 624, 646 (1998) (applying </w:t>
      </w:r>
      <w:r w:rsidR="00FE6552">
        <w:rPr>
          <w:rFonts w:eastAsia="Calibri"/>
          <w:i/>
          <w:szCs w:val="24"/>
        </w:rPr>
        <w:t>Chevron</w:t>
      </w:r>
      <w:r w:rsidR="00FE6552">
        <w:rPr>
          <w:rFonts w:eastAsia="Calibri"/>
          <w:szCs w:val="24"/>
        </w:rPr>
        <w:t xml:space="preserve"> deference to DOJ’s interpretation of ADA Title III); </w:t>
      </w:r>
      <w:r w:rsidRPr="00225530">
        <w:rPr>
          <w:rFonts w:eastAsia="Calibri"/>
          <w:i/>
          <w:szCs w:val="24"/>
        </w:rPr>
        <w:t xml:space="preserve">Civic </w:t>
      </w:r>
      <w:proofErr w:type="spellStart"/>
      <w:r w:rsidRPr="00225530">
        <w:rPr>
          <w:rFonts w:eastAsia="Calibri"/>
          <w:i/>
          <w:szCs w:val="24"/>
        </w:rPr>
        <w:t>Ass’n</w:t>
      </w:r>
      <w:proofErr w:type="spellEnd"/>
      <w:r w:rsidRPr="00225530">
        <w:rPr>
          <w:rFonts w:eastAsia="Calibri"/>
          <w:i/>
          <w:szCs w:val="24"/>
        </w:rPr>
        <w:t xml:space="preserve"> of </w:t>
      </w:r>
      <w:r w:rsidR="00EB2528">
        <w:rPr>
          <w:rFonts w:eastAsia="Calibri"/>
          <w:i/>
          <w:szCs w:val="24"/>
        </w:rPr>
        <w:t xml:space="preserve">the </w:t>
      </w:r>
      <w:r w:rsidRPr="00225530">
        <w:rPr>
          <w:rFonts w:eastAsia="Calibri"/>
          <w:i/>
          <w:szCs w:val="24"/>
        </w:rPr>
        <w:t>Deaf of New York City, Inc. v. Giuliani</w:t>
      </w:r>
      <w:r w:rsidRPr="00225530">
        <w:rPr>
          <w:rFonts w:eastAsia="Calibri"/>
          <w:szCs w:val="24"/>
        </w:rPr>
        <w:t xml:space="preserve">, 915 F. Supp. 622, 635 (S.D.N.Y. 1996) (opining that the regulations implementing Title II “must be given legislative and hence controlling weight unless they are arbitrary, capricious, or clearly contrary to the statute,” and ultimately concluding that a municipal plan to remove alarm boxes from city streets violated the ADA and Section 504) (citation and internal quotation marks omitted).  In </w:t>
      </w:r>
      <w:r w:rsidRPr="00225530">
        <w:rPr>
          <w:rFonts w:eastAsia="Calibri"/>
          <w:i/>
          <w:szCs w:val="24"/>
        </w:rPr>
        <w:t xml:space="preserve">Olmstead v. L.C. ex rel. </w:t>
      </w:r>
      <w:proofErr w:type="spellStart"/>
      <w:r w:rsidRPr="00225530">
        <w:rPr>
          <w:rFonts w:eastAsia="Calibri"/>
          <w:i/>
          <w:szCs w:val="24"/>
        </w:rPr>
        <w:t>Zimring</w:t>
      </w:r>
      <w:proofErr w:type="spellEnd"/>
      <w:r w:rsidRPr="00225530">
        <w:rPr>
          <w:rFonts w:eastAsia="Calibri"/>
          <w:szCs w:val="24"/>
        </w:rPr>
        <w:t xml:space="preserve">, 527 U.S. 581 (1999), the Supreme Court, in upholding a challenge by individuals with disabilities to their confinement in segregated environments, credited DOJ’s interpretation of Title II as implemented through the Part 35 regulations requiring services to individuals with disabilities to be provided in an integrated setting.  </w:t>
      </w:r>
      <w:r w:rsidRPr="00225530">
        <w:rPr>
          <w:rFonts w:eastAsia="Calibri"/>
          <w:i/>
          <w:szCs w:val="24"/>
        </w:rPr>
        <w:t>See id.</w:t>
      </w:r>
      <w:r w:rsidRPr="00225530">
        <w:rPr>
          <w:rFonts w:eastAsia="Calibri"/>
          <w:szCs w:val="24"/>
        </w:rPr>
        <w:t xml:space="preserve"> at 596-98; </w:t>
      </w:r>
      <w:r w:rsidRPr="00225530">
        <w:rPr>
          <w:rFonts w:eastAsia="Calibri"/>
          <w:i/>
          <w:szCs w:val="24"/>
        </w:rPr>
        <w:t>see also</w:t>
      </w:r>
      <w:r w:rsidRPr="00225530">
        <w:rPr>
          <w:rFonts w:eastAsia="Calibri"/>
          <w:szCs w:val="24"/>
        </w:rPr>
        <w:t xml:space="preserve"> 28 C.F.R. § 35.130(d).  The Court wrote that because DOJ “is the agency directed by Congress to issue regulations implementing Title II . . . its views warrant respect. . . . [I]t is enough to observe that the well-reasoned views of the agencies implementing a statute constitute a body of experience and informed judgment to which courts and litigants may properly resort for guidance.”  </w:t>
      </w:r>
      <w:r w:rsidRPr="00225530">
        <w:rPr>
          <w:rFonts w:eastAsia="Calibri"/>
          <w:i/>
          <w:szCs w:val="24"/>
        </w:rPr>
        <w:t>Id.</w:t>
      </w:r>
      <w:r w:rsidRPr="00225530">
        <w:rPr>
          <w:rFonts w:eastAsia="Calibri"/>
          <w:szCs w:val="24"/>
        </w:rPr>
        <w:t xml:space="preserve"> at 597-98 (citations and internal quotation marks omitted).  Here, th</w:t>
      </w:r>
      <w:r w:rsidR="003657FD">
        <w:rPr>
          <w:rFonts w:eastAsia="Calibri"/>
          <w:szCs w:val="24"/>
        </w:rPr>
        <w:t>is</w:t>
      </w:r>
      <w:r w:rsidRPr="00225530">
        <w:rPr>
          <w:rFonts w:eastAsia="Calibri"/>
          <w:szCs w:val="24"/>
        </w:rPr>
        <w:t xml:space="preserve"> Court should accord the DOJ Regulations “leg</w:t>
      </w:r>
      <w:r w:rsidR="008B601C">
        <w:rPr>
          <w:rFonts w:eastAsia="Calibri"/>
          <w:szCs w:val="24"/>
        </w:rPr>
        <w:t>islative and controlling weight.</w:t>
      </w:r>
      <w:r w:rsidRPr="00225530">
        <w:rPr>
          <w:rFonts w:eastAsia="Calibri"/>
          <w:szCs w:val="24"/>
        </w:rPr>
        <w:t xml:space="preserve">” </w:t>
      </w:r>
    </w:p>
    <w:p w:rsidR="00420DA7" w:rsidRDefault="00225530" w:rsidP="00420DA7">
      <w:pPr>
        <w:autoSpaceDE w:val="0"/>
        <w:autoSpaceDN w:val="0"/>
        <w:adjustRightInd w:val="0"/>
        <w:spacing w:line="480" w:lineRule="auto"/>
        <w:ind w:firstLine="720"/>
        <w:rPr>
          <w:szCs w:val="24"/>
        </w:rPr>
      </w:pPr>
      <w:r w:rsidRPr="00225530">
        <w:rPr>
          <w:rFonts w:eastAsia="Calibri"/>
          <w:szCs w:val="24"/>
        </w:rPr>
        <w:t xml:space="preserve">The DOJ Regulations are generally divided </w:t>
      </w:r>
      <w:r w:rsidR="00F83D22">
        <w:rPr>
          <w:rFonts w:eastAsia="Calibri"/>
          <w:szCs w:val="24"/>
        </w:rPr>
        <w:t>into several parts</w:t>
      </w:r>
      <w:r w:rsidRPr="00225530">
        <w:rPr>
          <w:rFonts w:eastAsia="Calibri"/>
          <w:szCs w:val="24"/>
        </w:rPr>
        <w:t xml:space="preserve">, </w:t>
      </w:r>
      <w:r w:rsidR="00677796">
        <w:rPr>
          <w:rFonts w:eastAsia="Calibri"/>
          <w:szCs w:val="24"/>
        </w:rPr>
        <w:t>two</w:t>
      </w:r>
      <w:r w:rsidR="00677796" w:rsidRPr="00225530">
        <w:rPr>
          <w:rFonts w:eastAsia="Calibri"/>
          <w:szCs w:val="24"/>
        </w:rPr>
        <w:t xml:space="preserve"> </w:t>
      </w:r>
      <w:r w:rsidRPr="00225530">
        <w:rPr>
          <w:rFonts w:eastAsia="Calibri"/>
          <w:szCs w:val="24"/>
        </w:rPr>
        <w:t xml:space="preserve">of which are most relevant here:  (1) general prohibitions against discrimination (Subpart B); </w:t>
      </w:r>
      <w:r w:rsidR="003657FD">
        <w:rPr>
          <w:rFonts w:eastAsia="Calibri"/>
          <w:szCs w:val="24"/>
        </w:rPr>
        <w:t xml:space="preserve">and </w:t>
      </w:r>
      <w:r w:rsidRPr="00225530">
        <w:rPr>
          <w:rFonts w:eastAsia="Calibri"/>
          <w:szCs w:val="24"/>
        </w:rPr>
        <w:t>(2) prohibitions against inaccessibl</w:t>
      </w:r>
      <w:r w:rsidR="00420DA7">
        <w:rPr>
          <w:rFonts w:eastAsia="Calibri"/>
          <w:szCs w:val="24"/>
        </w:rPr>
        <w:t xml:space="preserve">e communications (Subpart E).  </w:t>
      </w:r>
      <w:r w:rsidRPr="00225530">
        <w:rPr>
          <w:rFonts w:eastAsia="Calibri"/>
          <w:szCs w:val="24"/>
        </w:rPr>
        <w:t xml:space="preserve">With respect to the general prohibitions, the regulations mirror the statutory mandate against discrimination set forth in 42 U.S.C. </w:t>
      </w:r>
      <w:r w:rsidRPr="00225530">
        <w:rPr>
          <w:szCs w:val="24"/>
        </w:rPr>
        <w:t xml:space="preserve">§ 12132.  </w:t>
      </w:r>
      <w:r w:rsidRPr="00225530">
        <w:rPr>
          <w:i/>
          <w:szCs w:val="24"/>
        </w:rPr>
        <w:t xml:space="preserve">See </w:t>
      </w:r>
      <w:r w:rsidRPr="00225530">
        <w:rPr>
          <w:szCs w:val="24"/>
        </w:rPr>
        <w:t>28 C.F.R. § 35.130(a).  Furthermore, a public entity may not provide an individual with a disability an opportunity to participate in or benefit from a service that is not equal to that afforded to others, or provide a service that is not as effective in affording equal opportunity to obtain the same result as that provided to others.  28 C.F.R. § 35.130(b)(1)(</w:t>
      </w:r>
      <w:proofErr w:type="spellStart"/>
      <w:r w:rsidRPr="00225530">
        <w:rPr>
          <w:szCs w:val="24"/>
        </w:rPr>
        <w:t>i</w:t>
      </w:r>
      <w:proofErr w:type="spellEnd"/>
      <w:r w:rsidRPr="00225530">
        <w:rPr>
          <w:szCs w:val="24"/>
        </w:rPr>
        <w:t>)-(iii).  The regulations also require a public entity to make reasonable modifications to policies, practices, or procedures when necessary to avoid discrimination on the basis of disability, unless the public entity can prove such modifications would fundamentally alter the nature of the servi</w:t>
      </w:r>
      <w:r w:rsidR="00420DA7">
        <w:rPr>
          <w:szCs w:val="24"/>
        </w:rPr>
        <w:t xml:space="preserve">ce.  28 C.F.R. § 35.130(b)(7).  </w:t>
      </w:r>
      <w:r w:rsidRPr="00225530">
        <w:rPr>
          <w:szCs w:val="24"/>
        </w:rPr>
        <w:t>Finally, the regulations require public entities’ communications with individuals with disabilities to be as effective as the entities’ communications with ot</w:t>
      </w:r>
      <w:r w:rsidR="00420DA7">
        <w:rPr>
          <w:szCs w:val="24"/>
        </w:rPr>
        <w:t>hers.  28 C.F.R. § 35.160(a)(1)</w:t>
      </w:r>
      <w:r w:rsidRPr="00225530">
        <w:rPr>
          <w:szCs w:val="24"/>
        </w:rPr>
        <w:t>.  This requirement includes providing auxiliary aids and services, accessible emergency telephone services, and appropriate signage, and ensuring that interested persons can obtain information as to the existence and location of accessible services.</w:t>
      </w:r>
      <w:r w:rsidR="00420DA7">
        <w:rPr>
          <w:szCs w:val="24"/>
        </w:rPr>
        <w:t xml:space="preserve">  28 C.F.R. §§ 35.160-35.163.  </w:t>
      </w:r>
    </w:p>
    <w:p w:rsidR="00896C23" w:rsidRDefault="00225530" w:rsidP="00420DA7">
      <w:pPr>
        <w:autoSpaceDE w:val="0"/>
        <w:autoSpaceDN w:val="0"/>
        <w:adjustRightInd w:val="0"/>
        <w:spacing w:line="480" w:lineRule="auto"/>
        <w:ind w:firstLine="720"/>
        <w:rPr>
          <w:szCs w:val="24"/>
        </w:rPr>
      </w:pPr>
      <w:r w:rsidRPr="00225530">
        <w:rPr>
          <w:bCs/>
          <w:szCs w:val="24"/>
        </w:rPr>
        <w:t xml:space="preserve">DOJ is also specifically authorized to issue technical assistance and policy guidance under Title II, to ensure consistent interpretation of the statute and to aid public entities in complying with </w:t>
      </w:r>
      <w:r w:rsidR="00104FA7">
        <w:rPr>
          <w:bCs/>
          <w:szCs w:val="24"/>
        </w:rPr>
        <w:t>Title II’s</w:t>
      </w:r>
      <w:r w:rsidR="004C2210">
        <w:rPr>
          <w:bCs/>
          <w:szCs w:val="24"/>
        </w:rPr>
        <w:t xml:space="preserve"> </w:t>
      </w:r>
      <w:r w:rsidRPr="00225530">
        <w:rPr>
          <w:bCs/>
          <w:szCs w:val="24"/>
        </w:rPr>
        <w:t xml:space="preserve">requirements.  </w:t>
      </w:r>
      <w:r w:rsidRPr="00225530">
        <w:rPr>
          <w:bCs/>
          <w:i/>
          <w:szCs w:val="24"/>
        </w:rPr>
        <w:t xml:space="preserve">See </w:t>
      </w:r>
      <w:r w:rsidRPr="00225530">
        <w:rPr>
          <w:bCs/>
          <w:szCs w:val="24"/>
        </w:rPr>
        <w:t xml:space="preserve">42 U.S.C. </w:t>
      </w:r>
      <w:r w:rsidRPr="00225530">
        <w:rPr>
          <w:szCs w:val="24"/>
        </w:rPr>
        <w:t>§ 12206(a)(1), (c)(1), (c)(2)(B)(</w:t>
      </w:r>
      <w:proofErr w:type="spellStart"/>
      <w:r w:rsidRPr="00225530">
        <w:rPr>
          <w:szCs w:val="24"/>
        </w:rPr>
        <w:t>i</w:t>
      </w:r>
      <w:proofErr w:type="spellEnd"/>
      <w:r w:rsidRPr="00225530">
        <w:rPr>
          <w:szCs w:val="24"/>
        </w:rPr>
        <w:t xml:space="preserve">), (c)(3) (among other things, directing DOJ to assist entities covered under the ADA in “understanding the responsibility of such entities . . . under this chapter,” and to provide technical assistance manuals to those entities); </w:t>
      </w:r>
      <w:r w:rsidRPr="00225530">
        <w:rPr>
          <w:i/>
          <w:szCs w:val="24"/>
        </w:rPr>
        <w:t xml:space="preserve">see also </w:t>
      </w:r>
      <w:r w:rsidRPr="00225530">
        <w:rPr>
          <w:szCs w:val="24"/>
        </w:rPr>
        <w:t xml:space="preserve">28 C.F.R. § 35.190(a).  Pursuant to this directive, DOJ developed an ADA Title II Tool Kit “designed to teach state and local government officials how to identify and fix problems that prevent people with disabilities from gaining equal access to state and local government programs, services, and activities.”  </w:t>
      </w:r>
      <w:r w:rsidRPr="00225530">
        <w:rPr>
          <w:i/>
          <w:szCs w:val="24"/>
        </w:rPr>
        <w:t xml:space="preserve">See </w:t>
      </w:r>
      <w:r w:rsidRPr="00225530">
        <w:rPr>
          <w:szCs w:val="24"/>
        </w:rPr>
        <w:t xml:space="preserve">“ADA Best Practices Tool Kit for State and Local Governments” (“DOJ Tool Kit”), </w:t>
      </w:r>
      <w:r w:rsidRPr="00225530">
        <w:rPr>
          <w:i/>
          <w:szCs w:val="24"/>
        </w:rPr>
        <w:t>available at</w:t>
      </w:r>
      <w:r w:rsidRPr="00225530">
        <w:rPr>
          <w:szCs w:val="24"/>
        </w:rPr>
        <w:t xml:space="preserve"> http://www.ada.gov/pcatoo</w:t>
      </w:r>
      <w:r w:rsidR="00896C23">
        <w:rPr>
          <w:szCs w:val="24"/>
        </w:rPr>
        <w:t xml:space="preserve">lkit/toolkitmain.htm.  </w:t>
      </w:r>
      <w:r w:rsidR="00F83D22">
        <w:rPr>
          <w:szCs w:val="24"/>
        </w:rPr>
        <w:t>(For the Court’s ease of reference, a copy of  the relevant chapter of the Tool Kit is attached to the Declaration of David J. Kennedy, Feb. 2</w:t>
      </w:r>
      <w:r w:rsidR="003657FD">
        <w:rPr>
          <w:szCs w:val="24"/>
        </w:rPr>
        <w:t>4</w:t>
      </w:r>
      <w:r w:rsidR="00F83D22">
        <w:rPr>
          <w:szCs w:val="24"/>
        </w:rPr>
        <w:t xml:space="preserve">, 2015 (“Kennedy Decl.”), as Exhibit A.) </w:t>
      </w:r>
      <w:r w:rsidR="00896C23">
        <w:rPr>
          <w:szCs w:val="24"/>
        </w:rPr>
        <w:t>Chapter 3</w:t>
      </w:r>
      <w:r w:rsidRPr="00225530">
        <w:rPr>
          <w:szCs w:val="24"/>
        </w:rPr>
        <w:t xml:space="preserve"> of the DOJ Tool Kit, “</w:t>
      </w:r>
      <w:r w:rsidR="00896C23">
        <w:rPr>
          <w:szCs w:val="24"/>
        </w:rPr>
        <w:t>General Effective Communication Requirements</w:t>
      </w:r>
      <w:r w:rsidR="00EB2528">
        <w:rPr>
          <w:szCs w:val="24"/>
        </w:rPr>
        <w:t xml:space="preserve"> Under Title II of the ADA</w:t>
      </w:r>
      <w:r w:rsidRPr="00225530">
        <w:rPr>
          <w:szCs w:val="24"/>
        </w:rPr>
        <w:t xml:space="preserve">,” is </w:t>
      </w:r>
      <w:r w:rsidR="00896C23">
        <w:rPr>
          <w:szCs w:val="24"/>
        </w:rPr>
        <w:t xml:space="preserve">relevant to the general obligations of law enforcement entities to provide auxiliary aids and services, and refers at one point to planning ahead to have a contract in place for interpretive services for those time-sensitive situations in which it is necessary to communicate with a person with a hearing disability “who is </w:t>
      </w:r>
      <w:r w:rsidR="00896C23" w:rsidRPr="00896C23">
        <w:rPr>
          <w:i/>
          <w:szCs w:val="24"/>
        </w:rPr>
        <w:t>arrested</w:t>
      </w:r>
      <w:r w:rsidR="00896C23">
        <w:rPr>
          <w:szCs w:val="24"/>
        </w:rPr>
        <w:t xml:space="preserve">, injured, hospitalized, or involved in some other emergency.” </w:t>
      </w:r>
      <w:r w:rsidR="00896C23">
        <w:rPr>
          <w:i/>
          <w:szCs w:val="24"/>
        </w:rPr>
        <w:t>Id</w:t>
      </w:r>
      <w:r w:rsidR="00896C23">
        <w:rPr>
          <w:szCs w:val="24"/>
        </w:rPr>
        <w:t>. at 9 (emphasis added).</w:t>
      </w:r>
    </w:p>
    <w:p w:rsidR="00225530" w:rsidRDefault="00896C23" w:rsidP="003727F5">
      <w:pPr>
        <w:autoSpaceDE w:val="0"/>
        <w:autoSpaceDN w:val="0"/>
        <w:adjustRightInd w:val="0"/>
        <w:rPr>
          <w:b/>
          <w:szCs w:val="24"/>
        </w:rPr>
      </w:pPr>
      <w:r w:rsidRPr="003727F5">
        <w:rPr>
          <w:b/>
          <w:szCs w:val="24"/>
        </w:rPr>
        <w:t xml:space="preserve"> </w:t>
      </w:r>
      <w:r w:rsidR="00564253" w:rsidRPr="003727F5">
        <w:rPr>
          <w:b/>
          <w:szCs w:val="24"/>
        </w:rPr>
        <w:t>C.</w:t>
      </w:r>
      <w:r w:rsidR="00564253" w:rsidRPr="003727F5">
        <w:rPr>
          <w:b/>
          <w:szCs w:val="24"/>
        </w:rPr>
        <w:tab/>
        <w:t xml:space="preserve">The NYPD’s Prior Agreement with the United States to Provide Auxiliary Aids and </w:t>
      </w:r>
      <w:r w:rsidR="003727F5" w:rsidRPr="003727F5">
        <w:rPr>
          <w:b/>
          <w:szCs w:val="24"/>
        </w:rPr>
        <w:tab/>
      </w:r>
      <w:r w:rsidR="00564253" w:rsidRPr="003727F5">
        <w:rPr>
          <w:b/>
          <w:szCs w:val="24"/>
        </w:rPr>
        <w:t>Services</w:t>
      </w:r>
      <w:r w:rsidR="003727F5" w:rsidRPr="003727F5">
        <w:rPr>
          <w:b/>
          <w:szCs w:val="24"/>
        </w:rPr>
        <w:t xml:space="preserve"> to People </w:t>
      </w:r>
      <w:r w:rsidR="00104FA7">
        <w:rPr>
          <w:b/>
          <w:szCs w:val="24"/>
        </w:rPr>
        <w:t>Who Are Deaf and Have</w:t>
      </w:r>
      <w:r w:rsidR="003727F5" w:rsidRPr="003727F5">
        <w:rPr>
          <w:b/>
          <w:szCs w:val="24"/>
        </w:rPr>
        <w:t xml:space="preserve"> Hearing Impairments</w:t>
      </w:r>
    </w:p>
    <w:p w:rsidR="003727F5" w:rsidRPr="003727F5" w:rsidRDefault="003727F5" w:rsidP="003727F5">
      <w:pPr>
        <w:autoSpaceDE w:val="0"/>
        <w:autoSpaceDN w:val="0"/>
        <w:adjustRightInd w:val="0"/>
        <w:rPr>
          <w:b/>
          <w:szCs w:val="24"/>
        </w:rPr>
      </w:pPr>
    </w:p>
    <w:p w:rsidR="00564253" w:rsidRDefault="003727F5" w:rsidP="003727F5">
      <w:pPr>
        <w:pStyle w:val="Normal--indent"/>
        <w:spacing w:line="480" w:lineRule="auto"/>
      </w:pPr>
      <w:r>
        <w:t xml:space="preserve">Consistent with its statutory and regulatory authority, this Office previously took enforcement action against the NYPD after having received multiple complaints of </w:t>
      </w:r>
      <w:r w:rsidR="00344DD7">
        <w:t xml:space="preserve">the NYPD’s </w:t>
      </w:r>
      <w:r>
        <w:t xml:space="preserve">failure to communicate effectively with arrestees who are </w:t>
      </w:r>
      <w:r w:rsidR="00A91AB3">
        <w:t xml:space="preserve">deaf or </w:t>
      </w:r>
      <w:r>
        <w:t>hard of hearing. The investigation resolved in the form of a</w:t>
      </w:r>
      <w:r w:rsidR="00564253">
        <w:t xml:space="preserve"> Settlement Agreement on November 18, 2009.  </w:t>
      </w:r>
      <w:r w:rsidR="00344DD7">
        <w:t>(</w:t>
      </w:r>
      <w:r w:rsidR="00564253">
        <w:t xml:space="preserve">A copy of the Settlement Agreement </w:t>
      </w:r>
      <w:r w:rsidR="00344DD7">
        <w:t>with exhibits is attached as Exhibit B to the Kennedy Decl.</w:t>
      </w:r>
      <w:r w:rsidR="00564253">
        <w:t xml:space="preserve"> (the “Agreement”).</w:t>
      </w:r>
      <w:r w:rsidR="00344DD7">
        <w:t>)</w:t>
      </w:r>
      <w:r w:rsidR="00564253">
        <w:t xml:space="preserve">  As the Agreement recites, the United States conducted an investigation into complaints filed pursuant to Title II of the Americans with Disabilities Act, 42 U.S.C. §§ 12131-12134, that NYPD officers did not effectively communicate with people with hearing impairments, including arrestees</w:t>
      </w:r>
      <w:r>
        <w:t xml:space="preserve"> – the same subject matter of this case</w:t>
      </w:r>
      <w:r w:rsidR="00564253">
        <w:t xml:space="preserve">.  </w:t>
      </w:r>
    </w:p>
    <w:p w:rsidR="00564253" w:rsidRDefault="00564253" w:rsidP="003727F5">
      <w:pPr>
        <w:pStyle w:val="Normal--indent"/>
        <w:spacing w:line="480" w:lineRule="auto"/>
      </w:pPr>
      <w:r>
        <w:t xml:space="preserve">To resolve the investigation, the NYPD agreed to take a number of steps to ensure that NYPD officers would in the future effectively communicate with people with hearing impairments, including </w:t>
      </w:r>
      <w:r w:rsidR="003727F5">
        <w:t xml:space="preserve">arrestees, by </w:t>
      </w:r>
      <w:r>
        <w:t>adopting an Interim Order on “Interaction with Hearing Impaired Persons” (the “Interim Order”) (Agreement ¶ 3); committing to ensure that NYPD’s “services, programs and activities are accessible to qualified individuals with hearing impairments” (Agreement ¶ 5a); “[c]</w:t>
      </w:r>
      <w:proofErr w:type="spellStart"/>
      <w:r>
        <w:t>ontinu</w:t>
      </w:r>
      <w:proofErr w:type="spellEnd"/>
      <w:r>
        <w:t>[</w:t>
      </w:r>
      <w:proofErr w:type="spellStart"/>
      <w:r>
        <w:t>ing</w:t>
      </w:r>
      <w:proofErr w:type="spellEnd"/>
      <w:r>
        <w:t>] to provide, at no cost to the qualified individual with a hearing impairment, appropriate auxiliary aids and services, including, but not limited to, qualified interpreters” (Agreement ¶ 5b); and “train[</w:t>
      </w:r>
      <w:proofErr w:type="spellStart"/>
      <w:r>
        <w:t>ing</w:t>
      </w:r>
      <w:proofErr w:type="spellEnd"/>
      <w:r>
        <w:t xml:space="preserve">] all new recruits, supervisory personnel, and executive level staff in the Department regarding the NYPD’s policies and procedures concerning qualified individuals with hearing impairments” (Agreement ¶ 9).  That training includes, among other things, review of the Interim Order, review of a grievance procedure for members of the public with disabilities, and a pamphlet entitled “Communicating With People Who Are Deaf or Hard of Hearing” (the “Pamphlet”) (Agreement ¶ 9c). </w:t>
      </w:r>
      <w:r w:rsidR="00A20A4D">
        <w:t>The Pamphlet gives specific examples and descriptions of situations requiring an interpreter</w:t>
      </w:r>
      <w:r w:rsidR="00EB2528">
        <w:t>:</w:t>
      </w:r>
      <w:r w:rsidR="00A20A4D">
        <w:t xml:space="preserve"> “[L]</w:t>
      </w:r>
      <w:proofErr w:type="spellStart"/>
      <w:r w:rsidR="00A20A4D">
        <w:t>engthy</w:t>
      </w:r>
      <w:proofErr w:type="spellEnd"/>
      <w:r w:rsidR="00A20A4D">
        <w:t xml:space="preserve"> or complex transactions,” including interviewing victims, suspects, or arrestees, require an interpreter “if the person being interviewed normally relies on sign language or speech reading to understand what others are saying.” Simple transactions (</w:t>
      </w:r>
      <w:r w:rsidR="00A20A4D" w:rsidRPr="00FC3E4B">
        <w:rPr>
          <w:i/>
        </w:rPr>
        <w:t>i.e.</w:t>
      </w:r>
      <w:r w:rsidR="00A20A4D">
        <w:t xml:space="preserve">, checking a driver’s license), emergencies, and hot pursuit situations are the exceptions to the requirement for an interpreter. </w:t>
      </w:r>
      <w:r w:rsidR="00A20A4D" w:rsidRPr="00521B7F">
        <w:rPr>
          <w:i/>
        </w:rPr>
        <w:t>Id</w:t>
      </w:r>
      <w:r w:rsidR="00A20A4D">
        <w:t xml:space="preserve">.  </w:t>
      </w:r>
      <w:r>
        <w:t>The Agreement notes that the United States specifically refrained from filing a civil suit in consideration for the NYPD’s performance of its obligations under the Agreement.  (Agreement ¶ 2.)</w:t>
      </w:r>
    </w:p>
    <w:p w:rsidR="00564253" w:rsidRDefault="00564253" w:rsidP="003727F5">
      <w:pPr>
        <w:pStyle w:val="Normal--indent"/>
        <w:tabs>
          <w:tab w:val="left" w:pos="540"/>
        </w:tabs>
        <w:spacing w:line="480" w:lineRule="auto"/>
        <w:ind w:firstLine="0"/>
      </w:pPr>
      <w:r>
        <w:tab/>
      </w:r>
      <w:r w:rsidR="00A20A4D">
        <w:t>Under the Agreement, o</w:t>
      </w:r>
      <w:r>
        <w:t xml:space="preserve">fficer interactions with impaired individuals are guided by NYPD Interim Order 31: Interacting with Hearing Impaired Persons (incorporated into the Agreement as Exhibit A), which delineates the procedure an officer should follow when dealing with a victim, witness, suspect, or arrestee: </w:t>
      </w:r>
    </w:p>
    <w:p w:rsidR="00564253" w:rsidRDefault="00564253" w:rsidP="00344DD7">
      <w:pPr>
        <w:pStyle w:val="Normal--indent"/>
        <w:tabs>
          <w:tab w:val="left" w:pos="900"/>
        </w:tabs>
        <w:ind w:left="900" w:right="720" w:hanging="90"/>
      </w:pPr>
      <w:r>
        <w:t>1.</w:t>
      </w:r>
      <w:r>
        <w:tab/>
        <w:t xml:space="preserve">Ascertain from the person with the hearing impairment the type of </w:t>
      </w:r>
      <w:r w:rsidR="00344DD7">
        <w:tab/>
      </w:r>
      <w:r w:rsidR="00344DD7">
        <w:tab/>
      </w:r>
      <w:r>
        <w:t>auxiliary aid required.</w:t>
      </w:r>
    </w:p>
    <w:p w:rsidR="00564253" w:rsidRDefault="00564253" w:rsidP="00564253">
      <w:pPr>
        <w:pStyle w:val="Normal--indent"/>
        <w:tabs>
          <w:tab w:val="left" w:pos="900"/>
        </w:tabs>
        <w:ind w:left="810" w:right="720" w:firstLine="0"/>
      </w:pPr>
      <w:r>
        <w:t>2.</w:t>
      </w:r>
      <w:r>
        <w:tab/>
        <w:t xml:space="preserve">Utilize appropriate auxiliary aids to facilitate communication. </w:t>
      </w:r>
    </w:p>
    <w:p w:rsidR="00564253" w:rsidRDefault="00564253" w:rsidP="00344DD7">
      <w:pPr>
        <w:pStyle w:val="Normal--indent"/>
        <w:tabs>
          <w:tab w:val="left" w:pos="900"/>
        </w:tabs>
        <w:ind w:left="1440" w:right="720" w:hanging="630"/>
      </w:pPr>
      <w:r>
        <w:t>3.</w:t>
      </w:r>
      <w:r>
        <w:tab/>
        <w:t xml:space="preserve">Contact the desk officer if the services of a qualified sign language interpreter are needed. </w:t>
      </w:r>
    </w:p>
    <w:p w:rsidR="00564253" w:rsidRDefault="00564253" w:rsidP="00344DD7">
      <w:pPr>
        <w:pStyle w:val="Normal--indent"/>
        <w:tabs>
          <w:tab w:val="left" w:pos="900"/>
        </w:tabs>
        <w:ind w:left="1440" w:right="720" w:hanging="630"/>
      </w:pPr>
      <w:r>
        <w:t>4.</w:t>
      </w:r>
      <w:r>
        <w:tab/>
        <w:t>Follow P.G. 208-03, “Arrests</w:t>
      </w:r>
      <w:r w:rsidR="003657FD">
        <w:t xml:space="preserve"> -- </w:t>
      </w:r>
      <w:r>
        <w:t xml:space="preserve">General Processing” when probable cause has been established. </w:t>
      </w:r>
    </w:p>
    <w:p w:rsidR="00344DD7" w:rsidRDefault="00344DD7" w:rsidP="00344DD7">
      <w:pPr>
        <w:pStyle w:val="Normal--indent"/>
        <w:tabs>
          <w:tab w:val="left" w:pos="900"/>
        </w:tabs>
        <w:ind w:left="1440" w:right="720" w:hanging="630"/>
      </w:pPr>
    </w:p>
    <w:p w:rsidR="00564253" w:rsidRDefault="00564253" w:rsidP="00564253">
      <w:pPr>
        <w:pStyle w:val="Normal--indent"/>
        <w:tabs>
          <w:tab w:val="left" w:pos="900"/>
        </w:tabs>
        <w:ind w:left="810" w:right="720" w:firstLine="0"/>
        <w:rPr>
          <w:i/>
        </w:rPr>
      </w:pPr>
      <w:r w:rsidRPr="00521B7F">
        <w:rPr>
          <w:i/>
        </w:rPr>
        <w:t xml:space="preserve">Note: In cases where probable cause has been developed, the arrest of a hearing impaired person shall proceed in accordance with standard arrest and safety procedure. Should communication with a hearing-impaired suspect be necessary to establish probable cause, or for a pre-arrest interview, etc., the appropriate auxiliary aid should be employed. When dealing with hearing impaired arrestees, auxiliary aids will be used to communicate with the arrestee (e.g. informing arrestee of charges and nature of the offense, interrogation, etc.) </w:t>
      </w:r>
    </w:p>
    <w:p w:rsidR="00344DD7" w:rsidRPr="00521B7F" w:rsidRDefault="00344DD7" w:rsidP="00564253">
      <w:pPr>
        <w:pStyle w:val="Normal--indent"/>
        <w:tabs>
          <w:tab w:val="left" w:pos="900"/>
        </w:tabs>
        <w:ind w:left="810" w:right="720" w:firstLine="0"/>
        <w:rPr>
          <w:i/>
        </w:rPr>
      </w:pPr>
    </w:p>
    <w:p w:rsidR="009C1182" w:rsidRDefault="00564253" w:rsidP="009C1182">
      <w:pPr>
        <w:pStyle w:val="Normal--indent"/>
        <w:tabs>
          <w:tab w:val="left" w:pos="900"/>
        </w:tabs>
        <w:ind w:left="1440" w:right="720" w:hanging="630"/>
      </w:pPr>
      <w:r>
        <w:t>5.</w:t>
      </w:r>
      <w:r>
        <w:tab/>
        <w:t>Document in detail any auxiliary aids utilize</w:t>
      </w:r>
      <w:r w:rsidR="009C1182">
        <w:t>d in Activity Log (PD112-145).</w:t>
      </w:r>
    </w:p>
    <w:p w:rsidR="00A20A4D" w:rsidRDefault="009C1182" w:rsidP="009C1182">
      <w:pPr>
        <w:pStyle w:val="Normal--indent"/>
        <w:tabs>
          <w:tab w:val="left" w:pos="900"/>
        </w:tabs>
        <w:ind w:left="1440" w:right="720" w:hanging="630"/>
      </w:pPr>
      <w:r>
        <w:t xml:space="preserve"> </w:t>
      </w:r>
    </w:p>
    <w:p w:rsidR="00564253" w:rsidRDefault="00A20A4D" w:rsidP="00A20A4D">
      <w:pPr>
        <w:pStyle w:val="Normal--indent"/>
        <w:spacing w:line="480" w:lineRule="auto"/>
        <w:ind w:firstLine="0"/>
      </w:pPr>
      <w:r>
        <w:t>(</w:t>
      </w:r>
      <w:r w:rsidR="00344DD7">
        <w:t xml:space="preserve">Kennedy Decl. </w:t>
      </w:r>
      <w:proofErr w:type="spellStart"/>
      <w:r w:rsidR="00344DD7">
        <w:t>Exh</w:t>
      </w:r>
      <w:proofErr w:type="spellEnd"/>
      <w:r w:rsidR="00344DD7">
        <w:t>. B (</w:t>
      </w:r>
      <w:r>
        <w:t xml:space="preserve">Agreement </w:t>
      </w:r>
      <w:proofErr w:type="spellStart"/>
      <w:r>
        <w:t>Exh</w:t>
      </w:r>
      <w:proofErr w:type="spellEnd"/>
      <w:r>
        <w:t>. A</w:t>
      </w:r>
      <w:r w:rsidR="00BC16FC">
        <w:t>)</w:t>
      </w:r>
      <w:r w:rsidR="00344DD7">
        <w:t>, at 2</w:t>
      </w:r>
      <w:r>
        <w:t xml:space="preserve">.) </w:t>
      </w:r>
      <w:r w:rsidR="00564253">
        <w:t>Pursuant to the Agreement, the NYPD must “[c]</w:t>
      </w:r>
      <w:proofErr w:type="spellStart"/>
      <w:r w:rsidR="00564253">
        <w:t>ontinue</w:t>
      </w:r>
      <w:proofErr w:type="spellEnd"/>
      <w:r w:rsidR="00564253">
        <w:t xml:space="preserve"> to ensure that its services, programs and activities are accessible to qualified individuals,” (Agreement </w:t>
      </w:r>
      <w:r w:rsidR="00564253" w:rsidRPr="00697657">
        <w:t>¶</w:t>
      </w:r>
      <w:r w:rsidR="00564253">
        <w:t xml:space="preserve"> 5a), to “[c]</w:t>
      </w:r>
      <w:proofErr w:type="spellStart"/>
      <w:r w:rsidR="00564253">
        <w:t>ontinue</w:t>
      </w:r>
      <w:proofErr w:type="spellEnd"/>
      <w:r w:rsidR="00564253">
        <w:t xml:space="preserve"> to provide, at no cost to the qualified individual with a hearing impairment, appropriate auxiliary aids and services,” (</w:t>
      </w:r>
      <w:r w:rsidR="00BC16FC">
        <w:rPr>
          <w:i/>
        </w:rPr>
        <w:t>i</w:t>
      </w:r>
      <w:r w:rsidR="00564253" w:rsidRPr="00521B7F">
        <w:rPr>
          <w:i/>
        </w:rPr>
        <w:t>d</w:t>
      </w:r>
      <w:r w:rsidR="00564253">
        <w:t xml:space="preserve">. at </w:t>
      </w:r>
      <w:r w:rsidR="00564253" w:rsidRPr="00697657">
        <w:t>¶</w:t>
      </w:r>
      <w:r w:rsidR="00564253">
        <w:t xml:space="preserve"> 5c) and to “train all new recruits, supervisory personnel, and executive level staff in the Department regarding the NYPD’s policies and procedures concerning qualified individuals with hearing impairments.” (</w:t>
      </w:r>
      <w:r w:rsidR="00564253" w:rsidRPr="00521B7F">
        <w:rPr>
          <w:i/>
        </w:rPr>
        <w:t>Id</w:t>
      </w:r>
      <w:r w:rsidR="00564253">
        <w:t xml:space="preserve">. at </w:t>
      </w:r>
      <w:r w:rsidR="00564253" w:rsidRPr="00697657">
        <w:t>¶</w:t>
      </w:r>
      <w:r w:rsidR="00564253">
        <w:t xml:space="preserve"> 9).</w:t>
      </w:r>
    </w:p>
    <w:p w:rsidR="00564253" w:rsidRDefault="00A20A4D" w:rsidP="007C3D26">
      <w:pPr>
        <w:pStyle w:val="Normal--indent"/>
        <w:spacing w:line="480" w:lineRule="auto"/>
      </w:pPr>
      <w:r>
        <w:t>The</w:t>
      </w:r>
      <w:r w:rsidR="00564253">
        <w:t xml:space="preserve"> term of the Agreement was for three years from its Effective Date of November 18, 2009 (</w:t>
      </w:r>
      <w:r w:rsidR="00564253" w:rsidRPr="00521B7F">
        <w:rPr>
          <w:i/>
        </w:rPr>
        <w:t>i.e.</w:t>
      </w:r>
      <w:r w:rsidR="00564253">
        <w:t xml:space="preserve">, through November 18, 2012).  </w:t>
      </w:r>
      <w:r>
        <w:t xml:space="preserve">The incident involving </w:t>
      </w:r>
      <w:r w:rsidR="00A44AAE">
        <w:t>Williams</w:t>
      </w:r>
      <w:r w:rsidR="00564253">
        <w:t xml:space="preserve"> occurred on September 11, 2011, during the term of the Agreement.</w:t>
      </w:r>
      <w:r>
        <w:t xml:space="preserve"> The United States has requested information from the NYPD to assess whether this case</w:t>
      </w:r>
      <w:r w:rsidR="008B2901">
        <w:t>, and NYPD’s training generally, would constitute a breach of the Agreement, but has made no final determination.</w:t>
      </w:r>
    </w:p>
    <w:p w:rsidR="009130A5" w:rsidRPr="00FB323D" w:rsidRDefault="009130A5" w:rsidP="00FB323D">
      <w:pPr>
        <w:pStyle w:val="Normal--indent"/>
        <w:spacing w:line="480" w:lineRule="auto"/>
        <w:jc w:val="center"/>
        <w:rPr>
          <w:b/>
        </w:rPr>
      </w:pPr>
      <w:r w:rsidRPr="00FB323D">
        <w:rPr>
          <w:b/>
        </w:rPr>
        <w:t>STATEMENT OF FACTS</w:t>
      </w:r>
    </w:p>
    <w:p w:rsidR="009130A5" w:rsidRDefault="009130A5" w:rsidP="009130A5">
      <w:pPr>
        <w:spacing w:line="480" w:lineRule="auto"/>
        <w:rPr>
          <w:rFonts w:ascii="CenturyExpandedBT-Bold" w:eastAsia="Calibri" w:hAnsi="CenturyExpandedBT-Bold" w:cs="CenturyExpandedBT-Bold"/>
          <w:bCs/>
          <w:szCs w:val="24"/>
        </w:rPr>
      </w:pPr>
      <w:r>
        <w:rPr>
          <w:rFonts w:ascii="CenturyExpandedBT-Bold" w:eastAsia="Calibri" w:hAnsi="CenturyExpandedBT-Bold" w:cs="CenturyExpandedBT-Bold"/>
          <w:bCs/>
          <w:szCs w:val="24"/>
        </w:rPr>
        <w:tab/>
      </w:r>
      <w:r w:rsidRPr="00677C67">
        <w:rPr>
          <w:rFonts w:ascii="CenturyExpandedBT-Bold" w:eastAsia="Calibri" w:hAnsi="CenturyExpandedBT-Bold" w:cs="CenturyExpandedBT-Bold"/>
          <w:bCs/>
          <w:szCs w:val="24"/>
        </w:rPr>
        <w:t xml:space="preserve">The circumstances that led to </w:t>
      </w:r>
      <w:r>
        <w:rPr>
          <w:rFonts w:ascii="CenturyExpandedBT-Bold" w:eastAsia="Calibri" w:hAnsi="CenturyExpandedBT-Bold" w:cs="CenturyExpandedBT-Bold"/>
          <w:bCs/>
          <w:szCs w:val="24"/>
        </w:rPr>
        <w:t>Williams</w:t>
      </w:r>
      <w:r w:rsidRPr="00677C67">
        <w:rPr>
          <w:rFonts w:ascii="CenturyExpandedBT-Bold" w:eastAsia="Calibri" w:hAnsi="CenturyExpandedBT-Bold" w:cs="CenturyExpandedBT-Bold"/>
          <w:bCs/>
          <w:szCs w:val="24"/>
        </w:rPr>
        <w:t xml:space="preserve">’s arrest arose out a landlord-tenant dispute on September 11, 2011, in which </w:t>
      </w:r>
      <w:r>
        <w:rPr>
          <w:rFonts w:ascii="CenturyExpandedBT-Bold" w:eastAsia="Calibri" w:hAnsi="CenturyExpandedBT-Bold" w:cs="CenturyExpandedBT-Bold"/>
          <w:bCs/>
          <w:szCs w:val="24"/>
        </w:rPr>
        <w:t>Williams</w:t>
      </w:r>
      <w:r w:rsidRPr="00677C67">
        <w:rPr>
          <w:rFonts w:ascii="CenturyExpandedBT-Bold" w:eastAsia="Calibri" w:hAnsi="CenturyExpandedBT-Bold" w:cs="CenturyExpandedBT-Bold"/>
          <w:bCs/>
          <w:szCs w:val="24"/>
        </w:rPr>
        <w:t xml:space="preserve"> and her husband were the landlords</w:t>
      </w:r>
      <w:r>
        <w:rPr>
          <w:rFonts w:ascii="CenturyExpandedBT-Bold" w:eastAsia="Calibri" w:hAnsi="CenturyExpandedBT-Bold" w:cs="CenturyExpandedBT-Bold"/>
          <w:bCs/>
          <w:szCs w:val="24"/>
        </w:rPr>
        <w:t xml:space="preserve"> evicting a tenant who lived in the same building</w:t>
      </w:r>
      <w:r w:rsidRPr="00677C67">
        <w:rPr>
          <w:rFonts w:ascii="CenturyExpandedBT-Bold" w:eastAsia="Calibri" w:hAnsi="CenturyExpandedBT-Bold" w:cs="CenturyExpandedBT-Bold"/>
          <w:bCs/>
          <w:szCs w:val="24"/>
        </w:rPr>
        <w:t xml:space="preserve">. (Def. Stat. ¶¶ 1-3; Pl. Resp. ¶¶ 1-3.) </w:t>
      </w:r>
      <w:r>
        <w:rPr>
          <w:rFonts w:ascii="CenturyExpandedBT-Bold" w:eastAsia="Calibri" w:hAnsi="CenturyExpandedBT-Bold" w:cs="CenturyExpandedBT-Bold"/>
          <w:bCs/>
          <w:szCs w:val="24"/>
        </w:rPr>
        <w:t>Williams</w:t>
      </w:r>
      <w:r w:rsidRPr="00677C67">
        <w:rPr>
          <w:rFonts w:ascii="CenturyExpandedBT-Bold" w:eastAsia="Calibri" w:hAnsi="CenturyExpandedBT-Bold" w:cs="CenturyExpandedBT-Bold"/>
          <w:bCs/>
          <w:szCs w:val="24"/>
        </w:rPr>
        <w:t xml:space="preserve"> is deaf</w:t>
      </w:r>
      <w:r>
        <w:rPr>
          <w:rFonts w:ascii="CenturyExpandedBT-Bold" w:eastAsia="Calibri" w:hAnsi="CenturyExpandedBT-Bold" w:cs="CenturyExpandedBT-Bold"/>
          <w:bCs/>
          <w:szCs w:val="24"/>
        </w:rPr>
        <w:t xml:space="preserve"> and communicates primarily in American Sign Language; Williams’s husband is also deaf, but considers himself capable of communicating in written English</w:t>
      </w:r>
      <w:r w:rsidRPr="00677C67">
        <w:rPr>
          <w:rFonts w:ascii="CenturyExpandedBT-Bold" w:eastAsia="Calibri" w:hAnsi="CenturyExpandedBT-Bold" w:cs="CenturyExpandedBT-Bold"/>
          <w:bCs/>
          <w:szCs w:val="24"/>
        </w:rPr>
        <w:t>. (Def. Stat. ¶ 11; Pl. Resp. ¶ 11</w:t>
      </w:r>
      <w:r>
        <w:rPr>
          <w:rFonts w:ascii="CenturyExpandedBT-Bold" w:eastAsia="Calibri" w:hAnsi="CenturyExpandedBT-Bold" w:cs="CenturyExpandedBT-Bold"/>
          <w:bCs/>
          <w:szCs w:val="24"/>
        </w:rPr>
        <w:t>; Pl. Stat. ¶¶ 1, 3-4</w:t>
      </w:r>
      <w:r w:rsidRPr="00677C67">
        <w:rPr>
          <w:rFonts w:ascii="CenturyExpandedBT-Bold" w:eastAsia="Calibri" w:hAnsi="CenturyExpandedBT-Bold" w:cs="CenturyExpandedBT-Bold"/>
          <w:bCs/>
          <w:szCs w:val="24"/>
        </w:rPr>
        <w:t xml:space="preserve">.) </w:t>
      </w:r>
      <w:r>
        <w:rPr>
          <w:rFonts w:ascii="CenturyExpandedBT-Bold" w:eastAsia="Calibri" w:hAnsi="CenturyExpandedBT-Bold" w:cs="CenturyExpandedBT-Bold"/>
          <w:bCs/>
          <w:szCs w:val="24"/>
        </w:rPr>
        <w:t xml:space="preserve">The tenant who moved out of the building on September 11, 2011, is also deaf, and cannot speak English. (Pl. Stat. ¶ 7.) While there is no dispute that during the eviction the tenant threatened Williams, it is disputed whether the tenant and Williams ever touched one another. </w:t>
      </w:r>
      <w:r w:rsidRPr="00677C67">
        <w:rPr>
          <w:rFonts w:ascii="CenturyExpandedBT-Bold" w:eastAsia="Calibri" w:hAnsi="CenturyExpandedBT-Bold" w:cs="CenturyExpandedBT-Bold"/>
          <w:bCs/>
          <w:szCs w:val="24"/>
        </w:rPr>
        <w:t>(Def. Stat. ¶¶ </w:t>
      </w:r>
      <w:r>
        <w:rPr>
          <w:rFonts w:ascii="CenturyExpandedBT-Bold" w:eastAsia="Calibri" w:hAnsi="CenturyExpandedBT-Bold" w:cs="CenturyExpandedBT-Bold"/>
          <w:bCs/>
          <w:szCs w:val="24"/>
        </w:rPr>
        <w:t>24-25; Pl. Resp.</w:t>
      </w:r>
      <w:r w:rsidRPr="00677C67">
        <w:rPr>
          <w:rFonts w:ascii="CenturyExpandedBT-Bold" w:eastAsia="Calibri" w:hAnsi="CenturyExpandedBT-Bold" w:cs="CenturyExpandedBT-Bold"/>
          <w:bCs/>
          <w:szCs w:val="24"/>
        </w:rPr>
        <w:t xml:space="preserve"> ¶¶ </w:t>
      </w:r>
      <w:r>
        <w:rPr>
          <w:rFonts w:ascii="CenturyExpandedBT-Bold" w:eastAsia="Calibri" w:hAnsi="CenturyExpandedBT-Bold" w:cs="CenturyExpandedBT-Bold"/>
          <w:bCs/>
          <w:szCs w:val="24"/>
        </w:rPr>
        <w:t>24-25.</w:t>
      </w:r>
      <w:r w:rsidRPr="00677C67">
        <w:rPr>
          <w:rFonts w:ascii="CenturyExpandedBT-Bold" w:eastAsia="Calibri" w:hAnsi="CenturyExpandedBT-Bold" w:cs="CenturyExpandedBT-Bold"/>
          <w:bCs/>
          <w:szCs w:val="24"/>
        </w:rPr>
        <w:t>)</w:t>
      </w:r>
      <w:r>
        <w:rPr>
          <w:rFonts w:ascii="CenturyExpandedBT-Bold" w:eastAsia="Calibri" w:hAnsi="CenturyExpandedBT-Bold" w:cs="CenturyExpandedBT-Bold"/>
          <w:bCs/>
          <w:szCs w:val="24"/>
        </w:rPr>
        <w:t xml:space="preserve"> At some point, however, the tenant’s boyfriend arrived, pushed Williams’s husband, and put his hand into the shape of a gun and threatened to shoot him, prompting Williams’s husband to call the police. </w:t>
      </w:r>
      <w:r w:rsidRPr="00677C67">
        <w:rPr>
          <w:rFonts w:ascii="CenturyExpandedBT-Bold" w:eastAsia="Calibri" w:hAnsi="CenturyExpandedBT-Bold" w:cs="CenturyExpandedBT-Bold"/>
          <w:bCs/>
          <w:szCs w:val="24"/>
        </w:rPr>
        <w:t>(Def. Stat. ¶¶ </w:t>
      </w:r>
      <w:r>
        <w:rPr>
          <w:rFonts w:ascii="CenturyExpandedBT-Bold" w:eastAsia="Calibri" w:hAnsi="CenturyExpandedBT-Bold" w:cs="CenturyExpandedBT-Bold"/>
          <w:bCs/>
          <w:szCs w:val="24"/>
        </w:rPr>
        <w:t>35-39, 42</w:t>
      </w:r>
      <w:r w:rsidRPr="00677C67">
        <w:rPr>
          <w:rFonts w:ascii="CenturyExpandedBT-Bold" w:eastAsia="Calibri" w:hAnsi="CenturyExpandedBT-Bold" w:cs="CenturyExpandedBT-Bold"/>
          <w:bCs/>
          <w:szCs w:val="24"/>
        </w:rPr>
        <w:t>; Pl. Resp. ¶¶ </w:t>
      </w:r>
      <w:r>
        <w:rPr>
          <w:rFonts w:ascii="CenturyExpandedBT-Bold" w:eastAsia="Calibri" w:hAnsi="CenturyExpandedBT-Bold" w:cs="CenturyExpandedBT-Bold"/>
          <w:bCs/>
          <w:szCs w:val="24"/>
        </w:rPr>
        <w:t>35-39, 42.</w:t>
      </w:r>
      <w:r w:rsidRPr="00677C67">
        <w:rPr>
          <w:rFonts w:ascii="CenturyExpandedBT-Bold" w:eastAsia="Calibri" w:hAnsi="CenturyExpandedBT-Bold" w:cs="CenturyExpandedBT-Bold"/>
          <w:bCs/>
          <w:szCs w:val="24"/>
        </w:rPr>
        <w:t>)</w:t>
      </w:r>
      <w:r>
        <w:rPr>
          <w:rFonts w:ascii="CenturyExpandedBT-Bold" w:eastAsia="Calibri" w:hAnsi="CenturyExpandedBT-Bold" w:cs="CenturyExpandedBT-Bold"/>
          <w:bCs/>
          <w:szCs w:val="24"/>
        </w:rPr>
        <w:t xml:space="preserve"> NYPD </w:t>
      </w:r>
      <w:r w:rsidR="00C431F7">
        <w:rPr>
          <w:rFonts w:ascii="CenturyExpandedBT-Bold" w:eastAsia="Calibri" w:hAnsi="CenturyExpandedBT-Bold" w:cs="CenturyExpandedBT-Bold"/>
          <w:bCs/>
          <w:szCs w:val="24"/>
        </w:rPr>
        <w:t>o</w:t>
      </w:r>
      <w:r>
        <w:rPr>
          <w:rFonts w:ascii="CenturyExpandedBT-Bold" w:eastAsia="Calibri" w:hAnsi="CenturyExpandedBT-Bold" w:cs="CenturyExpandedBT-Bold"/>
          <w:bCs/>
          <w:szCs w:val="24"/>
        </w:rPr>
        <w:t xml:space="preserve">fficers Romano and Costanzo </w:t>
      </w:r>
      <w:r w:rsidR="00C431F7">
        <w:rPr>
          <w:rFonts w:ascii="CenturyExpandedBT-Bold" w:eastAsia="Calibri" w:hAnsi="CenturyExpandedBT-Bold" w:cs="CenturyExpandedBT-Bold"/>
          <w:bCs/>
          <w:szCs w:val="24"/>
        </w:rPr>
        <w:t xml:space="preserve">(the “NYPD Officers”) </w:t>
      </w:r>
      <w:r>
        <w:rPr>
          <w:rFonts w:ascii="CenturyExpandedBT-Bold" w:eastAsia="Calibri" w:hAnsi="CenturyExpandedBT-Bold" w:cs="CenturyExpandedBT-Bold"/>
          <w:bCs/>
          <w:szCs w:val="24"/>
        </w:rPr>
        <w:t xml:space="preserve">arrived on the scene a few minutes later. </w:t>
      </w:r>
      <w:r w:rsidRPr="00677C67">
        <w:rPr>
          <w:rFonts w:ascii="CenturyExpandedBT-Bold" w:eastAsia="Calibri" w:hAnsi="CenturyExpandedBT-Bold" w:cs="CenturyExpandedBT-Bold"/>
          <w:bCs/>
          <w:szCs w:val="24"/>
        </w:rPr>
        <w:t>(Def. Stat. ¶</w:t>
      </w:r>
      <w:r>
        <w:rPr>
          <w:rFonts w:ascii="CenturyExpandedBT-Bold" w:eastAsia="Calibri" w:hAnsi="CenturyExpandedBT-Bold" w:cs="CenturyExpandedBT-Bold"/>
          <w:bCs/>
          <w:szCs w:val="24"/>
        </w:rPr>
        <w:t xml:space="preserve"> 46</w:t>
      </w:r>
      <w:r w:rsidRPr="00677C67">
        <w:rPr>
          <w:rFonts w:ascii="CenturyExpandedBT-Bold" w:eastAsia="Calibri" w:hAnsi="CenturyExpandedBT-Bold" w:cs="CenturyExpandedBT-Bold"/>
          <w:bCs/>
          <w:szCs w:val="24"/>
        </w:rPr>
        <w:t>; Pl. Resp. ¶ </w:t>
      </w:r>
      <w:r>
        <w:rPr>
          <w:rFonts w:ascii="CenturyExpandedBT-Bold" w:eastAsia="Calibri" w:hAnsi="CenturyExpandedBT-Bold" w:cs="CenturyExpandedBT-Bold"/>
          <w:bCs/>
          <w:szCs w:val="24"/>
        </w:rPr>
        <w:t>46.</w:t>
      </w:r>
      <w:r w:rsidRPr="00677C67">
        <w:rPr>
          <w:rFonts w:ascii="CenturyExpandedBT-Bold" w:eastAsia="Calibri" w:hAnsi="CenturyExpandedBT-Bold" w:cs="CenturyExpandedBT-Bold"/>
          <w:bCs/>
          <w:szCs w:val="24"/>
        </w:rPr>
        <w:t>)</w:t>
      </w:r>
    </w:p>
    <w:p w:rsidR="009130A5" w:rsidRPr="009130A5" w:rsidRDefault="009130A5" w:rsidP="00FB323D">
      <w:pPr>
        <w:spacing w:line="480" w:lineRule="auto"/>
        <w:rPr>
          <w:rFonts w:ascii="CenturyExpandedBT-Bold" w:eastAsia="Calibri" w:hAnsi="CenturyExpandedBT-Bold" w:cs="CenturyExpandedBT-Bold"/>
          <w:bCs/>
          <w:szCs w:val="24"/>
        </w:rPr>
      </w:pPr>
      <w:r>
        <w:rPr>
          <w:rFonts w:ascii="CenturyExpandedBT-Bold" w:eastAsia="Calibri" w:hAnsi="CenturyExpandedBT-Bold" w:cs="CenturyExpandedBT-Bold"/>
          <w:bCs/>
          <w:szCs w:val="24"/>
        </w:rPr>
        <w:tab/>
        <w:t xml:space="preserve">The </w:t>
      </w:r>
      <w:r w:rsidR="00C431F7">
        <w:rPr>
          <w:rFonts w:ascii="CenturyExpandedBT-Bold" w:eastAsia="Calibri" w:hAnsi="CenturyExpandedBT-Bold" w:cs="CenturyExpandedBT-Bold"/>
          <w:bCs/>
          <w:szCs w:val="24"/>
        </w:rPr>
        <w:t xml:space="preserve">plaintiff makes a series of allegations that the NYPD Officers failed to accommodate her disability. </w:t>
      </w:r>
      <w:r>
        <w:rPr>
          <w:rFonts w:ascii="CenturyExpandedBT-Bold" w:eastAsia="Calibri" w:hAnsi="CenturyExpandedBT-Bold" w:cs="CenturyExpandedBT-Bold"/>
          <w:bCs/>
          <w:szCs w:val="24"/>
        </w:rPr>
        <w:t>According to Williams, her husband repeatedly sought to communicate with the NYPD Officers by showing them a copy of the lease, but the NYPD Officers ignored him, preferring instead to speak to the tenant’s friend and boyfriend, who were both able to speak. (Pl. Stat. ¶¶ 3</w:t>
      </w:r>
      <w:r w:rsidR="00C431F7">
        <w:rPr>
          <w:rFonts w:ascii="CenturyExpandedBT-Bold" w:eastAsia="Calibri" w:hAnsi="CenturyExpandedBT-Bold" w:cs="CenturyExpandedBT-Bold"/>
          <w:bCs/>
          <w:szCs w:val="24"/>
        </w:rPr>
        <w:t>5</w:t>
      </w:r>
      <w:r>
        <w:rPr>
          <w:rFonts w:ascii="CenturyExpandedBT-Bold" w:eastAsia="Calibri" w:hAnsi="CenturyExpandedBT-Bold" w:cs="CenturyExpandedBT-Bold"/>
          <w:bCs/>
          <w:szCs w:val="24"/>
        </w:rPr>
        <w:t>-3</w:t>
      </w:r>
      <w:r w:rsidR="00C431F7">
        <w:rPr>
          <w:rFonts w:ascii="CenturyExpandedBT-Bold" w:eastAsia="Calibri" w:hAnsi="CenturyExpandedBT-Bold" w:cs="CenturyExpandedBT-Bold"/>
          <w:bCs/>
          <w:szCs w:val="24"/>
        </w:rPr>
        <w:t>6</w:t>
      </w:r>
      <w:r>
        <w:rPr>
          <w:rFonts w:ascii="CenturyExpandedBT-Bold" w:eastAsia="Calibri" w:hAnsi="CenturyExpandedBT-Bold" w:cs="CenturyExpandedBT-Bold"/>
          <w:bCs/>
          <w:szCs w:val="24"/>
        </w:rPr>
        <w:t>.)  Williams, her husband, and her brother made repeated requests for an interpreter, but the NYPD Officers ignored them and failed to provide any auxiliary aids or services. (Pl. Stat. ¶¶ 3</w:t>
      </w:r>
      <w:r w:rsidR="00C431F7">
        <w:rPr>
          <w:rFonts w:ascii="CenturyExpandedBT-Bold" w:eastAsia="Calibri" w:hAnsi="CenturyExpandedBT-Bold" w:cs="CenturyExpandedBT-Bold"/>
          <w:bCs/>
          <w:szCs w:val="24"/>
        </w:rPr>
        <w:t>7</w:t>
      </w:r>
      <w:r>
        <w:rPr>
          <w:rFonts w:ascii="CenturyExpandedBT-Bold" w:eastAsia="Calibri" w:hAnsi="CenturyExpandedBT-Bold" w:cs="CenturyExpandedBT-Bold"/>
          <w:bCs/>
          <w:szCs w:val="24"/>
        </w:rPr>
        <w:t>-3</w:t>
      </w:r>
      <w:r w:rsidR="00C431F7">
        <w:rPr>
          <w:rFonts w:ascii="CenturyExpandedBT-Bold" w:eastAsia="Calibri" w:hAnsi="CenturyExpandedBT-Bold" w:cs="CenturyExpandedBT-Bold"/>
          <w:bCs/>
          <w:szCs w:val="24"/>
        </w:rPr>
        <w:t>9</w:t>
      </w:r>
      <w:r>
        <w:rPr>
          <w:rFonts w:ascii="CenturyExpandedBT-Bold" w:eastAsia="Calibri" w:hAnsi="CenturyExpandedBT-Bold" w:cs="CenturyExpandedBT-Bold"/>
          <w:bCs/>
          <w:szCs w:val="24"/>
        </w:rPr>
        <w:t>.) The arresting officer, Officer Romano, gave conflicting testimony at his deposition as to whether he spoke with Williams and how he communicated with her; indeed, he stated at his second deposition that he did not consider Williams, who is deaf, to be disabled. (Pl. Stat. ¶¶ </w:t>
      </w:r>
      <w:r w:rsidR="00C431F7">
        <w:rPr>
          <w:rFonts w:ascii="CenturyExpandedBT-Bold" w:eastAsia="Calibri" w:hAnsi="CenturyExpandedBT-Bold" w:cs="CenturyExpandedBT-Bold"/>
          <w:bCs/>
          <w:szCs w:val="24"/>
        </w:rPr>
        <w:t>40-</w:t>
      </w:r>
      <w:r>
        <w:rPr>
          <w:rFonts w:ascii="CenturyExpandedBT-Bold" w:eastAsia="Calibri" w:hAnsi="CenturyExpandedBT-Bold" w:cs="CenturyExpandedBT-Bold"/>
          <w:bCs/>
          <w:szCs w:val="24"/>
        </w:rPr>
        <w:t>42</w:t>
      </w:r>
      <w:r w:rsidR="00C431F7">
        <w:rPr>
          <w:rFonts w:ascii="CenturyExpandedBT-Bold" w:eastAsia="Calibri" w:hAnsi="CenturyExpandedBT-Bold" w:cs="CenturyExpandedBT-Bold"/>
          <w:bCs/>
          <w:szCs w:val="24"/>
        </w:rPr>
        <w:t>, 51</w:t>
      </w:r>
      <w:r>
        <w:rPr>
          <w:rFonts w:ascii="CenturyExpandedBT-Bold" w:eastAsia="Calibri" w:hAnsi="CenturyExpandedBT-Bold" w:cs="CenturyExpandedBT-Bold"/>
          <w:bCs/>
          <w:szCs w:val="24"/>
        </w:rPr>
        <w:t xml:space="preserve"> (citing Romano Dep. 4</w:t>
      </w:r>
      <w:r w:rsidR="00C431F7">
        <w:rPr>
          <w:rFonts w:ascii="CenturyExpandedBT-Bold" w:eastAsia="Calibri" w:hAnsi="CenturyExpandedBT-Bold" w:cs="CenturyExpandedBT-Bold"/>
          <w:bCs/>
          <w:szCs w:val="24"/>
        </w:rPr>
        <w:t>7</w:t>
      </w:r>
      <w:r>
        <w:rPr>
          <w:rFonts w:ascii="CenturyExpandedBT-Bold" w:eastAsia="Calibri" w:hAnsi="CenturyExpandedBT-Bold" w:cs="CenturyExpandedBT-Bold"/>
          <w:bCs/>
          <w:szCs w:val="24"/>
        </w:rPr>
        <w:t>:</w:t>
      </w:r>
      <w:r w:rsidR="00C431F7">
        <w:rPr>
          <w:rFonts w:ascii="CenturyExpandedBT-Bold" w:eastAsia="Calibri" w:hAnsi="CenturyExpandedBT-Bold" w:cs="CenturyExpandedBT-Bold"/>
          <w:bCs/>
          <w:szCs w:val="24"/>
        </w:rPr>
        <w:t>25 – 49:8</w:t>
      </w:r>
      <w:r>
        <w:rPr>
          <w:rFonts w:ascii="CenturyExpandedBT-Bold" w:eastAsia="Calibri" w:hAnsi="CenturyExpandedBT-Bold" w:cs="CenturyExpandedBT-Bold"/>
          <w:bCs/>
          <w:szCs w:val="24"/>
        </w:rPr>
        <w:t xml:space="preserve">).) Officer Romano then arrested the tenant and Williams, without providing Williams with </w:t>
      </w:r>
      <w:r>
        <w:rPr>
          <w:rFonts w:ascii="CenturyExpandedBT-Bold" w:eastAsia="Calibri" w:hAnsi="CenturyExpandedBT-Bold" w:cs="CenturyExpandedBT-Bold"/>
          <w:bCs/>
          <w:i/>
          <w:szCs w:val="24"/>
        </w:rPr>
        <w:t>Miranda</w:t>
      </w:r>
      <w:r>
        <w:rPr>
          <w:rFonts w:ascii="CenturyExpandedBT-Bold" w:eastAsia="Calibri" w:hAnsi="CenturyExpandedBT-Bold" w:cs="CenturyExpandedBT-Bold"/>
          <w:bCs/>
          <w:szCs w:val="24"/>
        </w:rPr>
        <w:t xml:space="preserve"> warnings or the reason for her arrest. </w:t>
      </w:r>
      <w:r w:rsidR="00C431F7">
        <w:rPr>
          <w:rFonts w:ascii="CenturyExpandedBT-Bold" w:eastAsia="Calibri" w:hAnsi="CenturyExpandedBT-Bold" w:cs="CenturyExpandedBT-Bold"/>
          <w:bCs/>
          <w:szCs w:val="24"/>
        </w:rPr>
        <w:t xml:space="preserve"> (Pl. Stat. ¶¶ 48-49, 52.) Williams was handcuffed with her hands behind her back</w:t>
      </w:r>
      <w:r w:rsidR="00F7329B">
        <w:rPr>
          <w:rFonts w:ascii="CenturyExpandedBT-Bold" w:eastAsia="Calibri" w:hAnsi="CenturyExpandedBT-Bold" w:cs="CenturyExpandedBT-Bold"/>
          <w:bCs/>
          <w:szCs w:val="24"/>
        </w:rPr>
        <w:t>, preventing her from signing or using a pad and pen to communicate</w:t>
      </w:r>
      <w:r w:rsidR="00C431F7">
        <w:rPr>
          <w:rFonts w:ascii="CenturyExpandedBT-Bold" w:eastAsia="Calibri" w:hAnsi="CenturyExpandedBT-Bold" w:cs="CenturyExpandedBT-Bold"/>
          <w:bCs/>
          <w:szCs w:val="24"/>
        </w:rPr>
        <w:t xml:space="preserve">. </w:t>
      </w:r>
      <w:r>
        <w:rPr>
          <w:rFonts w:ascii="CenturyExpandedBT-Bold" w:eastAsia="Calibri" w:hAnsi="CenturyExpandedBT-Bold" w:cs="CenturyExpandedBT-Bold"/>
          <w:bCs/>
          <w:szCs w:val="24"/>
        </w:rPr>
        <w:t>(Pl. Stat. ¶ 4</w:t>
      </w:r>
      <w:r w:rsidR="00C431F7">
        <w:rPr>
          <w:rFonts w:ascii="CenturyExpandedBT-Bold" w:eastAsia="Calibri" w:hAnsi="CenturyExpandedBT-Bold" w:cs="CenturyExpandedBT-Bold"/>
          <w:bCs/>
          <w:szCs w:val="24"/>
        </w:rPr>
        <w:t>8</w:t>
      </w:r>
      <w:r>
        <w:rPr>
          <w:rFonts w:ascii="CenturyExpandedBT-Bold" w:eastAsia="Calibri" w:hAnsi="CenturyExpandedBT-Bold" w:cs="CenturyExpandedBT-Bold"/>
          <w:bCs/>
          <w:szCs w:val="24"/>
        </w:rPr>
        <w:t>.)</w:t>
      </w:r>
      <w:r>
        <w:rPr>
          <w:rStyle w:val="FootnoteReference"/>
          <w:rFonts w:ascii="CenturyExpandedBT-Bold" w:eastAsia="Calibri" w:hAnsi="CenturyExpandedBT-Bold" w:cs="CenturyExpandedBT-Bold"/>
          <w:bCs/>
          <w:szCs w:val="24"/>
        </w:rPr>
        <w:footnoteReference w:id="5"/>
      </w:r>
    </w:p>
    <w:p w:rsidR="00225530" w:rsidRPr="00225530" w:rsidRDefault="00225530" w:rsidP="00225530">
      <w:pPr>
        <w:spacing w:line="480" w:lineRule="auto"/>
        <w:jc w:val="center"/>
        <w:rPr>
          <w:b/>
          <w:szCs w:val="24"/>
        </w:rPr>
      </w:pPr>
      <w:r w:rsidRPr="00225530">
        <w:rPr>
          <w:b/>
          <w:szCs w:val="24"/>
        </w:rPr>
        <w:t>ARGUMENT</w:t>
      </w:r>
    </w:p>
    <w:p w:rsidR="00225530" w:rsidRPr="00225530" w:rsidRDefault="00225530" w:rsidP="00225530">
      <w:pPr>
        <w:jc w:val="center"/>
        <w:rPr>
          <w:b/>
          <w:szCs w:val="24"/>
        </w:rPr>
      </w:pPr>
      <w:r w:rsidRPr="00225530">
        <w:rPr>
          <w:b/>
          <w:szCs w:val="24"/>
        </w:rPr>
        <w:t xml:space="preserve">THE ADA APPLIES TO LAW ENFORCEMENT ACTIVITIES, </w:t>
      </w:r>
    </w:p>
    <w:p w:rsidR="00104FA7" w:rsidRDefault="00225530" w:rsidP="00A91AB3">
      <w:pPr>
        <w:jc w:val="center"/>
        <w:rPr>
          <w:b/>
          <w:szCs w:val="24"/>
        </w:rPr>
      </w:pPr>
      <w:r w:rsidRPr="00225530">
        <w:rPr>
          <w:b/>
          <w:szCs w:val="24"/>
        </w:rPr>
        <w:t xml:space="preserve">INCLUDING ARRESTS, </w:t>
      </w:r>
      <w:r w:rsidR="00F7329B">
        <w:rPr>
          <w:b/>
          <w:szCs w:val="24"/>
        </w:rPr>
        <w:t>AND</w:t>
      </w:r>
      <w:r w:rsidRPr="00225530">
        <w:rPr>
          <w:b/>
          <w:szCs w:val="24"/>
        </w:rPr>
        <w:t xml:space="preserve"> REQUIRE</w:t>
      </w:r>
      <w:r w:rsidR="00F7329B">
        <w:rPr>
          <w:b/>
          <w:szCs w:val="24"/>
        </w:rPr>
        <w:t>S</w:t>
      </w:r>
      <w:r w:rsidRPr="00225530">
        <w:rPr>
          <w:b/>
          <w:szCs w:val="24"/>
        </w:rPr>
        <w:t xml:space="preserve"> THAT OFFICERS </w:t>
      </w:r>
      <w:r w:rsidR="00104FA7">
        <w:rPr>
          <w:b/>
          <w:szCs w:val="24"/>
        </w:rPr>
        <w:t>COMMUNICATE EFFECTIVELY WITH PEOPLE WITH DISABILITIES</w:t>
      </w:r>
    </w:p>
    <w:p w:rsidR="00225530" w:rsidRPr="00225530" w:rsidRDefault="00225530" w:rsidP="00225530">
      <w:pPr>
        <w:jc w:val="center"/>
        <w:rPr>
          <w:b/>
          <w:szCs w:val="24"/>
        </w:rPr>
      </w:pPr>
    </w:p>
    <w:p w:rsidR="00225530" w:rsidRPr="00225530" w:rsidRDefault="00D01009" w:rsidP="007D5C89">
      <w:pPr>
        <w:spacing w:line="480" w:lineRule="auto"/>
        <w:rPr>
          <w:rFonts w:ascii="CenturyExpandedBT-Roman" w:eastAsia="Calibri" w:hAnsi="CenturyExpandedBT-Roman" w:cs="CenturyExpandedBT-Roman"/>
          <w:szCs w:val="24"/>
        </w:rPr>
      </w:pPr>
      <w:r>
        <w:rPr>
          <w:rFonts w:ascii="CenturyExpandedBT-Roman" w:eastAsia="Calibri" w:hAnsi="CenturyExpandedBT-Roman" w:cs="CenturyExpandedBT-Roman"/>
          <w:szCs w:val="24"/>
        </w:rPr>
        <w:tab/>
      </w:r>
      <w:r w:rsidR="00C62E1A">
        <w:rPr>
          <w:rFonts w:ascii="CenturyExpandedBT-Roman" w:eastAsia="Calibri" w:hAnsi="CenturyExpandedBT-Roman" w:cs="CenturyExpandedBT-Roman"/>
          <w:szCs w:val="24"/>
        </w:rPr>
        <w:t>Consistent with the</w:t>
      </w:r>
      <w:r w:rsidR="008B2901">
        <w:rPr>
          <w:rFonts w:ascii="CenturyExpandedBT-Roman" w:eastAsia="Calibri" w:hAnsi="CenturyExpandedBT-Roman" w:cs="CenturyExpandedBT-Roman"/>
          <w:szCs w:val="24"/>
        </w:rPr>
        <w:t xml:space="preserve"> statutory </w:t>
      </w:r>
      <w:r w:rsidR="00C62E1A">
        <w:rPr>
          <w:rFonts w:ascii="CenturyExpandedBT-Roman" w:eastAsia="Calibri" w:hAnsi="CenturyExpandedBT-Roman" w:cs="CenturyExpandedBT-Roman"/>
          <w:szCs w:val="24"/>
        </w:rPr>
        <w:t xml:space="preserve">and regulatory </w:t>
      </w:r>
      <w:r w:rsidR="008B2901">
        <w:rPr>
          <w:rFonts w:ascii="CenturyExpandedBT-Roman" w:eastAsia="Calibri" w:hAnsi="CenturyExpandedBT-Roman" w:cs="CenturyExpandedBT-Roman"/>
          <w:szCs w:val="24"/>
        </w:rPr>
        <w:t>provisions</w:t>
      </w:r>
      <w:r w:rsidR="00C62E1A">
        <w:rPr>
          <w:rFonts w:ascii="CenturyExpandedBT-Roman" w:eastAsia="Calibri" w:hAnsi="CenturyExpandedBT-Roman" w:cs="CenturyExpandedBT-Roman"/>
          <w:szCs w:val="24"/>
        </w:rPr>
        <w:t xml:space="preserve"> described above</w:t>
      </w:r>
      <w:r w:rsidR="008B2901">
        <w:rPr>
          <w:rFonts w:ascii="CenturyExpandedBT-Roman" w:eastAsia="Calibri" w:hAnsi="CenturyExpandedBT-Roman" w:cs="CenturyExpandedBT-Roman"/>
          <w:szCs w:val="24"/>
        </w:rPr>
        <w:t xml:space="preserve">, the ADA requires arresting officers to </w:t>
      </w:r>
      <w:r w:rsidR="00A91AB3">
        <w:rPr>
          <w:rFonts w:ascii="CenturyExpandedBT-Roman" w:eastAsia="Calibri" w:hAnsi="CenturyExpandedBT-Roman" w:cs="CenturyExpandedBT-Roman"/>
          <w:szCs w:val="24"/>
        </w:rPr>
        <w:t>provide auxiliary aids and services necessary</w:t>
      </w:r>
      <w:r w:rsidR="00104FA7">
        <w:rPr>
          <w:rFonts w:ascii="CenturyExpandedBT-Roman" w:eastAsia="Calibri" w:hAnsi="CenturyExpandedBT-Roman" w:cs="CenturyExpandedBT-Roman"/>
          <w:szCs w:val="24"/>
        </w:rPr>
        <w:t xml:space="preserve"> to communicate effectively with people with disabilities</w:t>
      </w:r>
      <w:r w:rsidR="008B2901">
        <w:rPr>
          <w:rFonts w:ascii="CenturyExpandedBT-Roman" w:eastAsia="Calibri" w:hAnsi="CenturyExpandedBT-Roman" w:cs="CenturyExpandedBT-Roman"/>
          <w:szCs w:val="24"/>
        </w:rPr>
        <w:t xml:space="preserve"> in the conduct of arrests.</w:t>
      </w:r>
    </w:p>
    <w:p w:rsidR="00225530" w:rsidRPr="00225530" w:rsidRDefault="007D5C89" w:rsidP="007D5C89">
      <w:pPr>
        <w:spacing w:line="480" w:lineRule="auto"/>
        <w:rPr>
          <w:rFonts w:ascii="CenturyExpandedBT-Bold" w:eastAsia="Calibri" w:hAnsi="CenturyExpandedBT-Bold" w:cs="CenturyExpandedBT-Bold"/>
          <w:b/>
          <w:bCs/>
          <w:szCs w:val="24"/>
        </w:rPr>
      </w:pPr>
      <w:r w:rsidRPr="00225530">
        <w:rPr>
          <w:rFonts w:ascii="CenturyExpandedBT-Bold" w:eastAsia="Calibri" w:hAnsi="CenturyExpandedBT-Bold" w:cs="CenturyExpandedBT-Bold"/>
          <w:b/>
          <w:bCs/>
          <w:szCs w:val="24"/>
        </w:rPr>
        <w:t xml:space="preserve">A. </w:t>
      </w:r>
      <w:r w:rsidR="00D01009">
        <w:rPr>
          <w:rFonts w:ascii="CenturyExpandedBT-Bold" w:eastAsia="Calibri" w:hAnsi="CenturyExpandedBT-Bold" w:cs="CenturyExpandedBT-Bold"/>
          <w:b/>
          <w:bCs/>
          <w:szCs w:val="24"/>
        </w:rPr>
        <w:tab/>
      </w:r>
      <w:r w:rsidRPr="00225530">
        <w:rPr>
          <w:rFonts w:ascii="CenturyExpandedBT-Bold" w:eastAsia="Calibri" w:hAnsi="CenturyExpandedBT-Bold" w:cs="CenturyExpandedBT-Bold"/>
          <w:b/>
          <w:bCs/>
          <w:szCs w:val="24"/>
        </w:rPr>
        <w:t xml:space="preserve">Title II Applies To All Law Enforcement Activities, Including Arrests </w:t>
      </w:r>
    </w:p>
    <w:p w:rsidR="00BC16FC" w:rsidRDefault="008B2901" w:rsidP="00BC16FC">
      <w:pPr>
        <w:rPr>
          <w:rFonts w:ascii="CenturyExpandedBT-Roman" w:eastAsia="Calibri" w:hAnsi="CenturyExpandedBT-Roman" w:cs="CenturyExpandedBT-Roman"/>
          <w:b/>
          <w:szCs w:val="24"/>
        </w:rPr>
      </w:pPr>
      <w:r>
        <w:rPr>
          <w:rFonts w:ascii="CenturyExpandedBT-Roman" w:eastAsia="Calibri" w:hAnsi="CenturyExpandedBT-Roman" w:cs="CenturyExpandedBT-Roman"/>
          <w:szCs w:val="24"/>
        </w:rPr>
        <w:tab/>
      </w:r>
      <w:r w:rsidR="00BC16FC" w:rsidRPr="00BC16FC">
        <w:rPr>
          <w:rFonts w:ascii="CenturyExpandedBT-Roman" w:eastAsia="Calibri" w:hAnsi="CenturyExpandedBT-Roman" w:cs="CenturyExpandedBT-Roman"/>
          <w:b/>
          <w:szCs w:val="24"/>
        </w:rPr>
        <w:t>1.</w:t>
      </w:r>
      <w:r w:rsidR="00BC16FC" w:rsidRPr="00BC16FC">
        <w:rPr>
          <w:rFonts w:ascii="CenturyExpandedBT-Roman" w:eastAsia="Calibri" w:hAnsi="CenturyExpandedBT-Roman" w:cs="CenturyExpandedBT-Roman"/>
          <w:b/>
          <w:szCs w:val="24"/>
        </w:rPr>
        <w:tab/>
        <w:t xml:space="preserve">The Language of the Statute, and the Department of Justice Regulations and </w:t>
      </w:r>
      <w:r w:rsidR="00BC16FC" w:rsidRPr="00BC16FC">
        <w:rPr>
          <w:rFonts w:ascii="CenturyExpandedBT-Roman" w:eastAsia="Calibri" w:hAnsi="CenturyExpandedBT-Roman" w:cs="CenturyExpandedBT-Roman"/>
          <w:b/>
          <w:szCs w:val="24"/>
        </w:rPr>
        <w:tab/>
      </w:r>
      <w:r w:rsidR="00BC16FC" w:rsidRPr="00BC16FC">
        <w:rPr>
          <w:rFonts w:ascii="CenturyExpandedBT-Roman" w:eastAsia="Calibri" w:hAnsi="CenturyExpandedBT-Roman" w:cs="CenturyExpandedBT-Roman"/>
          <w:b/>
          <w:szCs w:val="24"/>
        </w:rPr>
        <w:tab/>
      </w:r>
      <w:r w:rsidR="00BC16FC" w:rsidRPr="00BC16FC">
        <w:rPr>
          <w:rFonts w:ascii="CenturyExpandedBT-Roman" w:eastAsia="Calibri" w:hAnsi="CenturyExpandedBT-Roman" w:cs="CenturyExpandedBT-Roman"/>
          <w:b/>
          <w:szCs w:val="24"/>
        </w:rPr>
        <w:tab/>
        <w:t>Guidance, Make Plain That Title II Applies to Arrests</w:t>
      </w:r>
    </w:p>
    <w:p w:rsidR="00BC16FC" w:rsidRPr="00BC16FC" w:rsidRDefault="00BC16FC" w:rsidP="00BC16FC">
      <w:pPr>
        <w:rPr>
          <w:rFonts w:ascii="CenturyExpandedBT-Roman" w:eastAsia="Calibri" w:hAnsi="CenturyExpandedBT-Roman" w:cs="CenturyExpandedBT-Roman"/>
          <w:b/>
          <w:szCs w:val="24"/>
        </w:rPr>
      </w:pPr>
    </w:p>
    <w:p w:rsidR="008B2901" w:rsidRDefault="00BC16FC" w:rsidP="007D5C89">
      <w:pPr>
        <w:spacing w:line="480" w:lineRule="auto"/>
        <w:rPr>
          <w:rFonts w:ascii="CenturyExpandedBT-Roman" w:eastAsia="Calibri" w:hAnsi="CenturyExpandedBT-Roman" w:cs="CenturyExpandedBT-Roman"/>
          <w:szCs w:val="24"/>
        </w:rPr>
      </w:pPr>
      <w:r>
        <w:rPr>
          <w:rFonts w:ascii="CenturyExpandedBT-Roman" w:eastAsia="Calibri" w:hAnsi="CenturyExpandedBT-Roman" w:cs="CenturyExpandedBT-Roman"/>
          <w:szCs w:val="24"/>
        </w:rPr>
        <w:tab/>
      </w:r>
      <w:r w:rsidR="007D5C89" w:rsidRPr="00225530">
        <w:rPr>
          <w:rFonts w:ascii="CenturyExpandedBT-Roman" w:eastAsia="Calibri" w:hAnsi="CenturyExpandedBT-Roman" w:cs="CenturyExpandedBT-Roman"/>
          <w:szCs w:val="24"/>
        </w:rPr>
        <w:t xml:space="preserve">The starting point in determining the ADA’s applicability to law enforcement operations is the statutory text. </w:t>
      </w:r>
      <w:r w:rsidR="007D5C89" w:rsidRPr="008B2901">
        <w:rPr>
          <w:rFonts w:ascii="CenturyExpandedBT-Roman" w:eastAsia="Calibri" w:hAnsi="CenturyExpandedBT-Roman" w:cs="CenturyExpandedBT-Roman"/>
          <w:i/>
          <w:szCs w:val="24"/>
        </w:rPr>
        <w:t>See</w:t>
      </w:r>
      <w:r w:rsidR="007D5C89" w:rsidRPr="00225530">
        <w:rPr>
          <w:rFonts w:ascii="CenturyExpandedBT-Roman" w:eastAsia="Calibri" w:hAnsi="CenturyExpandedBT-Roman" w:cs="CenturyExpandedBT-Roman"/>
          <w:szCs w:val="24"/>
        </w:rPr>
        <w:t xml:space="preserve"> </w:t>
      </w:r>
      <w:r w:rsidR="007D5C89" w:rsidRPr="00225530">
        <w:rPr>
          <w:rFonts w:ascii="CenturyExpandedBT-Italic" w:eastAsia="Calibri" w:hAnsi="CenturyExpandedBT-Italic" w:cs="CenturyExpandedBT-Italic"/>
          <w:i/>
          <w:iCs/>
          <w:szCs w:val="24"/>
        </w:rPr>
        <w:t>Pennsylvania Dep’t of Corr.</w:t>
      </w:r>
      <w:r w:rsidR="007D5C89" w:rsidRPr="008B2901">
        <w:rPr>
          <w:rFonts w:ascii="CenturyExpandedBT-Italic" w:eastAsia="Calibri" w:hAnsi="CenturyExpandedBT-Italic" w:cs="CenturyExpandedBT-Italic"/>
          <w:i/>
          <w:iCs/>
          <w:szCs w:val="24"/>
        </w:rPr>
        <w:t xml:space="preserve"> </w:t>
      </w:r>
      <w:r w:rsidR="007D5C89" w:rsidRPr="008B2901">
        <w:rPr>
          <w:rFonts w:ascii="CenturyExpandedBT-Roman" w:eastAsia="Calibri" w:hAnsi="CenturyExpandedBT-Roman" w:cs="CenturyExpandedBT-Roman"/>
          <w:i/>
          <w:szCs w:val="24"/>
        </w:rPr>
        <w:t xml:space="preserve">v. </w:t>
      </w:r>
      <w:proofErr w:type="spellStart"/>
      <w:r w:rsidR="007D5C89" w:rsidRPr="00225530">
        <w:rPr>
          <w:rFonts w:ascii="CenturyExpandedBT-Italic" w:eastAsia="Calibri" w:hAnsi="CenturyExpandedBT-Italic" w:cs="CenturyExpandedBT-Italic"/>
          <w:i/>
          <w:iCs/>
          <w:szCs w:val="24"/>
        </w:rPr>
        <w:t>Yeskey</w:t>
      </w:r>
      <w:proofErr w:type="spellEnd"/>
      <w:r w:rsidR="007D5C89" w:rsidRPr="00225530">
        <w:rPr>
          <w:rFonts w:ascii="CenturyExpandedBT-Roman" w:eastAsia="Calibri" w:hAnsi="CenturyExpandedBT-Roman" w:cs="CenturyExpandedBT-Roman"/>
          <w:szCs w:val="24"/>
        </w:rPr>
        <w:t>, 524 U.S. 206, 209</w:t>
      </w:r>
      <w:r w:rsidR="009C1182">
        <w:rPr>
          <w:rFonts w:ascii="CenturyExpandedBT-Roman" w:eastAsia="Calibri" w:hAnsi="CenturyExpandedBT-Roman" w:cs="CenturyExpandedBT-Roman"/>
          <w:szCs w:val="24"/>
        </w:rPr>
        <w:t>-10</w:t>
      </w:r>
      <w:r w:rsidR="007D5C89" w:rsidRPr="00225530">
        <w:rPr>
          <w:rFonts w:ascii="CenturyExpandedBT-Roman" w:eastAsia="Calibri" w:hAnsi="CenturyExpandedBT-Roman" w:cs="CenturyExpandedBT-Roman"/>
          <w:szCs w:val="24"/>
        </w:rPr>
        <w:t xml:space="preserve"> (1998)</w:t>
      </w:r>
      <w:r w:rsidR="009C1182">
        <w:rPr>
          <w:rFonts w:ascii="CenturyExpandedBT-Roman" w:eastAsia="Calibri" w:hAnsi="CenturyExpandedBT-Roman" w:cs="CenturyExpandedBT-Roman"/>
          <w:szCs w:val="24"/>
        </w:rPr>
        <w:t xml:space="preserve"> (ruling that state prisons “fall squarely within the statutory definition of ‘public entity’” in Title II of the ADA)</w:t>
      </w:r>
      <w:r w:rsidR="007D5C89" w:rsidRPr="00225530">
        <w:rPr>
          <w:rFonts w:ascii="CenturyExpandedBT-Roman" w:eastAsia="Calibri" w:hAnsi="CenturyExpandedBT-Roman" w:cs="CenturyExpandedBT-Roman"/>
          <w:szCs w:val="24"/>
        </w:rPr>
        <w:t xml:space="preserve">. Title II’s antidiscrimination provision provides that no individual with a disability “shall, by reason of such disability, be excluded from participation in or be denied the benefits of the services, programs, or activities of a public entity, or be subjected to discrimination by any such entity.” 42 U.S.C. </w:t>
      </w:r>
      <w:r w:rsidR="008B2901">
        <w:rPr>
          <w:rFonts w:ascii="CenturyExpandedBT-Roman" w:eastAsia="Calibri" w:hAnsi="CenturyExpandedBT-Roman" w:cs="CenturyExpandedBT-Roman"/>
          <w:szCs w:val="24"/>
        </w:rPr>
        <w:t>§ </w:t>
      </w:r>
      <w:r w:rsidR="007D5C89" w:rsidRPr="00225530">
        <w:rPr>
          <w:rFonts w:ascii="CenturyExpandedBT-Roman" w:eastAsia="Calibri" w:hAnsi="CenturyExpandedBT-Roman" w:cs="CenturyExpandedBT-Roman"/>
          <w:szCs w:val="24"/>
        </w:rPr>
        <w:t xml:space="preserve">12132.  By its plain terms, Title II applies to all governmental entities, including law enforcement agencies. Title II uses the term “any” in its ordinary “expansive” sense, </w:t>
      </w:r>
      <w:r w:rsidR="007D5C89" w:rsidRPr="00225530">
        <w:rPr>
          <w:rFonts w:ascii="CenturyExpandedBT-Italic" w:eastAsia="Calibri" w:hAnsi="CenturyExpandedBT-Italic" w:cs="CenturyExpandedBT-Italic"/>
          <w:i/>
          <w:iCs/>
          <w:szCs w:val="24"/>
        </w:rPr>
        <w:t>i.e.</w:t>
      </w:r>
      <w:r w:rsidR="007D5C89" w:rsidRPr="00225530">
        <w:rPr>
          <w:rFonts w:ascii="CenturyExpandedBT-Roman" w:eastAsia="Calibri" w:hAnsi="CenturyExpandedBT-Roman" w:cs="CenturyExpandedBT-Roman"/>
          <w:szCs w:val="24"/>
        </w:rPr>
        <w:t xml:space="preserve">, “one or some indiscriminately of whatever kind.” </w:t>
      </w:r>
      <w:r w:rsidR="007D5C89" w:rsidRPr="00225530">
        <w:rPr>
          <w:rFonts w:ascii="CenturyExpandedBT-Italic" w:eastAsia="Calibri" w:hAnsi="CenturyExpandedBT-Italic" w:cs="CenturyExpandedBT-Italic"/>
          <w:i/>
          <w:iCs/>
          <w:szCs w:val="24"/>
        </w:rPr>
        <w:t>United State</w:t>
      </w:r>
      <w:r w:rsidR="007D5C89" w:rsidRPr="008B2901">
        <w:rPr>
          <w:rFonts w:ascii="CenturyExpandedBT-Italic" w:eastAsia="Calibri" w:hAnsi="CenturyExpandedBT-Italic" w:cs="CenturyExpandedBT-Italic"/>
          <w:iCs/>
          <w:szCs w:val="24"/>
        </w:rPr>
        <w:t xml:space="preserve">s </w:t>
      </w:r>
      <w:r w:rsidR="007D5C89" w:rsidRPr="00013427">
        <w:rPr>
          <w:rFonts w:ascii="CenturyExpandedBT-Roman" w:eastAsia="Calibri" w:hAnsi="CenturyExpandedBT-Roman" w:cs="CenturyExpandedBT-Roman"/>
          <w:i/>
          <w:szCs w:val="24"/>
        </w:rPr>
        <w:t xml:space="preserve">v. </w:t>
      </w:r>
      <w:r w:rsidR="007D5C89" w:rsidRPr="00013427">
        <w:rPr>
          <w:rFonts w:ascii="CenturyExpandedBT-Italic" w:eastAsia="Calibri" w:hAnsi="CenturyExpandedBT-Italic" w:cs="CenturyExpandedBT-Italic"/>
          <w:i/>
          <w:iCs/>
          <w:szCs w:val="24"/>
        </w:rPr>
        <w:t>Go</w:t>
      </w:r>
      <w:r w:rsidR="007D5C89" w:rsidRPr="00225530">
        <w:rPr>
          <w:rFonts w:ascii="CenturyExpandedBT-Italic" w:eastAsia="Calibri" w:hAnsi="CenturyExpandedBT-Italic" w:cs="CenturyExpandedBT-Italic"/>
          <w:i/>
          <w:iCs/>
          <w:szCs w:val="24"/>
        </w:rPr>
        <w:t>nzales</w:t>
      </w:r>
      <w:r w:rsidR="007D5C89" w:rsidRPr="00225530">
        <w:rPr>
          <w:rFonts w:ascii="CenturyExpandedBT-Roman" w:eastAsia="Calibri" w:hAnsi="CenturyExpandedBT-Roman" w:cs="CenturyExpandedBT-Roman"/>
          <w:szCs w:val="24"/>
        </w:rPr>
        <w:t xml:space="preserve">, 520 U.S. 1, 5 (1997) (citation omitted). Moreover, the statutory text contains no “exception that could cast the coverage of ” law enforcement entities “into doubt.” </w:t>
      </w:r>
      <w:proofErr w:type="spellStart"/>
      <w:r w:rsidR="007D5C89" w:rsidRPr="00225530">
        <w:rPr>
          <w:rFonts w:ascii="CenturyExpandedBT-Italic" w:eastAsia="Calibri" w:hAnsi="CenturyExpandedBT-Italic" w:cs="CenturyExpandedBT-Italic"/>
          <w:i/>
          <w:iCs/>
          <w:szCs w:val="24"/>
        </w:rPr>
        <w:t>Yeskey</w:t>
      </w:r>
      <w:proofErr w:type="spellEnd"/>
      <w:r w:rsidR="007D5C89" w:rsidRPr="00225530">
        <w:rPr>
          <w:rFonts w:ascii="CenturyExpandedBT-Roman" w:eastAsia="Calibri" w:hAnsi="CenturyExpandedBT-Roman" w:cs="CenturyExpandedBT-Roman"/>
          <w:szCs w:val="24"/>
        </w:rPr>
        <w:t xml:space="preserve">, 524 U.S. at 209. Accordingly, law enforcement agencies fall within the ADA’s comprehensive definition of a public entity. </w:t>
      </w:r>
    </w:p>
    <w:p w:rsidR="008B2901" w:rsidRDefault="008B2901" w:rsidP="007D5C89">
      <w:pPr>
        <w:spacing w:line="480" w:lineRule="auto"/>
        <w:rPr>
          <w:rFonts w:ascii="CenturyExpandedBT-Roman" w:eastAsia="Calibri" w:hAnsi="CenturyExpandedBT-Roman" w:cs="CenturyExpandedBT-Roman"/>
          <w:szCs w:val="24"/>
        </w:rPr>
      </w:pPr>
      <w:r>
        <w:rPr>
          <w:rFonts w:ascii="CenturyExpandedBT-Roman" w:eastAsia="Calibri" w:hAnsi="CenturyExpandedBT-Roman" w:cs="CenturyExpandedBT-Roman"/>
          <w:szCs w:val="24"/>
        </w:rPr>
        <w:tab/>
      </w:r>
      <w:r w:rsidR="007D5C89" w:rsidRPr="00225530">
        <w:rPr>
          <w:rFonts w:ascii="CenturyExpandedBT-Roman" w:eastAsia="Calibri" w:hAnsi="CenturyExpandedBT-Roman" w:cs="CenturyExpandedBT-Roman"/>
          <w:szCs w:val="24"/>
        </w:rPr>
        <w:t xml:space="preserve">The statutory text further demonstrates that law enforcement entities are subject to Title II’s antidiscrimination mandate with respect to all of their operations, including arrests. The reference to “services, programs, or activities,” 42 U.S.C. </w:t>
      </w:r>
      <w:r>
        <w:rPr>
          <w:rFonts w:ascii="CenturyExpandedBT-Roman" w:eastAsia="Calibri" w:hAnsi="CenturyExpandedBT-Roman" w:cs="CenturyExpandedBT-Roman"/>
          <w:szCs w:val="24"/>
        </w:rPr>
        <w:t>§ </w:t>
      </w:r>
      <w:r w:rsidR="007D5C89" w:rsidRPr="00225530">
        <w:rPr>
          <w:rFonts w:ascii="CenturyExpandedBT-Roman" w:eastAsia="Calibri" w:hAnsi="CenturyExpandedBT-Roman" w:cs="CenturyExpandedBT-Roman"/>
          <w:szCs w:val="24"/>
        </w:rPr>
        <w:t xml:space="preserve">12132, is an all-inclusive phrase that covers everything a public entity does. </w:t>
      </w:r>
      <w:r w:rsidR="007D5C89" w:rsidRPr="008B2901">
        <w:rPr>
          <w:rFonts w:ascii="CenturyExpandedBT-Roman" w:eastAsia="Calibri" w:hAnsi="CenturyExpandedBT-Roman" w:cs="CenturyExpandedBT-Roman"/>
          <w:i/>
          <w:szCs w:val="24"/>
        </w:rPr>
        <w:t xml:space="preserve">See, </w:t>
      </w:r>
      <w:r w:rsidR="007D5C89" w:rsidRPr="008B2901">
        <w:rPr>
          <w:rFonts w:ascii="CenturyExpandedBT-Italic" w:eastAsia="Calibri" w:hAnsi="CenturyExpandedBT-Italic" w:cs="CenturyExpandedBT-Italic"/>
          <w:i/>
          <w:iCs/>
          <w:szCs w:val="24"/>
        </w:rPr>
        <w:t>e.g.</w:t>
      </w:r>
      <w:r w:rsidR="007D5C89" w:rsidRPr="00225530">
        <w:rPr>
          <w:rFonts w:ascii="CenturyExpandedBT-Roman" w:eastAsia="Calibri" w:hAnsi="CenturyExpandedBT-Roman" w:cs="CenturyExpandedBT-Roman"/>
          <w:szCs w:val="24"/>
        </w:rPr>
        <w:t xml:space="preserve">, </w:t>
      </w:r>
      <w:r w:rsidR="007D5C89" w:rsidRPr="00225530">
        <w:rPr>
          <w:rFonts w:ascii="CenturyExpandedBT-Italic" w:eastAsia="Calibri" w:hAnsi="CenturyExpandedBT-Italic" w:cs="CenturyExpandedBT-Italic"/>
          <w:i/>
          <w:iCs/>
          <w:szCs w:val="24"/>
        </w:rPr>
        <w:t xml:space="preserve">The Random House Dictionary of the English Language </w:t>
      </w:r>
      <w:r w:rsidR="007D5C89" w:rsidRPr="00225530">
        <w:rPr>
          <w:rFonts w:ascii="CenturyExpandedBT-Roman" w:eastAsia="Calibri" w:hAnsi="CenturyExpandedBT-Roman" w:cs="CenturyExpandedBT-Roman"/>
          <w:szCs w:val="24"/>
        </w:rPr>
        <w:t xml:space="preserve">20 (2d ed. 1987) (defining “activity” as “a specific deed, action, function, or sphere of action”); </w:t>
      </w:r>
      <w:r w:rsidR="007D5C89" w:rsidRPr="00225530">
        <w:rPr>
          <w:rFonts w:ascii="CenturyExpandedBT-Italic" w:eastAsia="Calibri" w:hAnsi="CenturyExpandedBT-Italic" w:cs="CenturyExpandedBT-Italic"/>
          <w:i/>
          <w:iCs/>
          <w:szCs w:val="24"/>
        </w:rPr>
        <w:t xml:space="preserve">Webster’s Third New International Dictionary </w:t>
      </w:r>
      <w:r w:rsidR="007D5C89" w:rsidRPr="00225530">
        <w:rPr>
          <w:rFonts w:ascii="CenturyExpandedBT-Roman" w:eastAsia="Calibri" w:hAnsi="CenturyExpandedBT-Roman" w:cs="CenturyExpandedBT-Roman"/>
          <w:szCs w:val="24"/>
        </w:rPr>
        <w:t>1812 (1986) (defining “program” as “a plan of procedure: a schedule or system under which action may be ta</w:t>
      </w:r>
      <w:r>
        <w:rPr>
          <w:rFonts w:ascii="CenturyExpandedBT-Roman" w:eastAsia="Calibri" w:hAnsi="CenturyExpandedBT-Roman" w:cs="CenturyExpandedBT-Roman"/>
          <w:szCs w:val="24"/>
        </w:rPr>
        <w:t>ken toward a desired goal”).</w:t>
      </w:r>
      <w:r w:rsidR="007D5C89" w:rsidRPr="00225530">
        <w:rPr>
          <w:rFonts w:ascii="CenturyExpandedBT-Roman" w:eastAsia="Calibri" w:hAnsi="CenturyExpandedBT-Roman" w:cs="CenturyExpandedBT-Roman"/>
          <w:szCs w:val="24"/>
        </w:rPr>
        <w:t xml:space="preserve">  Notably, Congress expressly defined the term “[p]</w:t>
      </w:r>
      <w:proofErr w:type="spellStart"/>
      <w:r w:rsidR="007D5C89" w:rsidRPr="00225530">
        <w:rPr>
          <w:rFonts w:ascii="CenturyExpandedBT-Roman" w:eastAsia="Calibri" w:hAnsi="CenturyExpandedBT-Roman" w:cs="CenturyExpandedBT-Roman"/>
          <w:szCs w:val="24"/>
        </w:rPr>
        <w:t>rogram</w:t>
      </w:r>
      <w:proofErr w:type="spellEnd"/>
      <w:r w:rsidR="007D5C89" w:rsidRPr="00225530">
        <w:rPr>
          <w:rFonts w:ascii="CenturyExpandedBT-Roman" w:eastAsia="Calibri" w:hAnsi="CenturyExpandedBT-Roman" w:cs="CenturyExpandedBT-Roman"/>
          <w:szCs w:val="24"/>
        </w:rPr>
        <w:t xml:space="preserve"> or activity” in Section 504 of the Rehabilitation Act of 1973, 29 U.S.C. </w:t>
      </w:r>
      <w:r>
        <w:rPr>
          <w:rFonts w:ascii="CenturyExpandedBT-Roman" w:eastAsia="Calibri" w:hAnsi="CenturyExpandedBT-Roman" w:cs="CenturyExpandedBT-Roman"/>
          <w:szCs w:val="24"/>
        </w:rPr>
        <w:t>§ </w:t>
      </w:r>
      <w:r w:rsidR="007D5C89" w:rsidRPr="00225530">
        <w:rPr>
          <w:rFonts w:ascii="CenturyExpandedBT-Roman" w:eastAsia="Calibri" w:hAnsi="CenturyExpandedBT-Roman" w:cs="CenturyExpandedBT-Roman"/>
          <w:szCs w:val="24"/>
        </w:rPr>
        <w:t xml:space="preserve">701 </w:t>
      </w:r>
      <w:r w:rsidR="007D5C89" w:rsidRPr="00225530">
        <w:rPr>
          <w:rFonts w:ascii="CenturyExpandedBT-Italic" w:eastAsia="Calibri" w:hAnsi="CenturyExpandedBT-Italic" w:cs="CenturyExpandedBT-Italic"/>
          <w:i/>
          <w:iCs/>
          <w:szCs w:val="24"/>
        </w:rPr>
        <w:t>et seq.</w:t>
      </w:r>
      <w:r w:rsidR="007D5C89" w:rsidRPr="00225530">
        <w:rPr>
          <w:rFonts w:ascii="CenturyExpandedBT-Roman" w:eastAsia="Calibri" w:hAnsi="CenturyExpandedBT-Roman" w:cs="CenturyExpandedBT-Roman"/>
          <w:szCs w:val="24"/>
        </w:rPr>
        <w:t>, which served as the model for Title II, to “mean[</w:t>
      </w:r>
      <w:r w:rsidR="00225530" w:rsidRPr="00225530">
        <w:rPr>
          <w:rFonts w:ascii="CenturyExpandedBT-Roman" w:eastAsia="Calibri" w:hAnsi="CenturyExpandedBT-Roman" w:cs="CenturyExpandedBT-Roman"/>
          <w:szCs w:val="24"/>
        </w:rPr>
        <w:t xml:space="preserve"> </w:t>
      </w:r>
      <w:r w:rsidR="007D5C89" w:rsidRPr="00225530">
        <w:rPr>
          <w:rFonts w:ascii="CenturyExpandedBT-Roman" w:eastAsia="Calibri" w:hAnsi="CenturyExpandedBT-Roman" w:cs="CenturyExpandedBT-Roman"/>
          <w:szCs w:val="24"/>
        </w:rPr>
        <w:t xml:space="preserve">] all of the operations of ” a covered entity. </w:t>
      </w:r>
      <w:r>
        <w:rPr>
          <w:rFonts w:ascii="CenturyExpandedBT-Roman" w:eastAsia="Calibri" w:hAnsi="CenturyExpandedBT-Roman" w:cs="CenturyExpandedBT-Roman"/>
          <w:szCs w:val="24"/>
        </w:rPr>
        <w:t xml:space="preserve"> </w:t>
      </w:r>
      <w:r>
        <w:rPr>
          <w:rFonts w:ascii="CenturyExpandedBT-Roman" w:eastAsia="Calibri" w:hAnsi="CenturyExpandedBT-Roman" w:cs="CenturyExpandedBT-Roman"/>
          <w:i/>
          <w:szCs w:val="24"/>
        </w:rPr>
        <w:t xml:space="preserve">See </w:t>
      </w:r>
      <w:r w:rsidR="007D5C89" w:rsidRPr="00225530">
        <w:rPr>
          <w:rFonts w:ascii="CenturyExpandedBT-Roman" w:eastAsia="Calibri" w:hAnsi="CenturyExpandedBT-Roman" w:cs="CenturyExpandedBT-Roman"/>
          <w:szCs w:val="24"/>
        </w:rPr>
        <w:t xml:space="preserve">29 U.S.C. </w:t>
      </w:r>
      <w:r>
        <w:rPr>
          <w:rFonts w:ascii="CenturyExpandedBT-Roman" w:eastAsia="Calibri" w:hAnsi="CenturyExpandedBT-Roman" w:cs="CenturyExpandedBT-Roman"/>
          <w:szCs w:val="24"/>
        </w:rPr>
        <w:t>§ </w:t>
      </w:r>
      <w:r w:rsidR="007D5C89" w:rsidRPr="00225530">
        <w:rPr>
          <w:rFonts w:ascii="CenturyExpandedBT-Roman" w:eastAsia="Calibri" w:hAnsi="CenturyExpandedBT-Roman" w:cs="CenturyExpandedBT-Roman"/>
          <w:szCs w:val="24"/>
        </w:rPr>
        <w:t xml:space="preserve">794(b). Because Congress directed that Title II should not “be construed to apply a lesser standard than the standards applied under” Section 504, 42 U.S.C. </w:t>
      </w:r>
      <w:r>
        <w:rPr>
          <w:rFonts w:ascii="CenturyExpandedBT-Roman" w:eastAsia="Calibri" w:hAnsi="CenturyExpandedBT-Roman" w:cs="CenturyExpandedBT-Roman"/>
          <w:szCs w:val="24"/>
        </w:rPr>
        <w:t>§ </w:t>
      </w:r>
      <w:r w:rsidR="007D5C89" w:rsidRPr="00225530">
        <w:rPr>
          <w:rFonts w:ascii="CenturyExpandedBT-Roman" w:eastAsia="Calibri" w:hAnsi="CenturyExpandedBT-Roman" w:cs="CenturyExpandedBT-Roman"/>
          <w:szCs w:val="24"/>
        </w:rPr>
        <w:t xml:space="preserve">12201(a), the phrase “service, programs, or activities” carries a similarly broad meaning under the ADA. </w:t>
      </w:r>
      <w:r w:rsidR="007D5C89" w:rsidRPr="008B2901">
        <w:rPr>
          <w:rFonts w:ascii="CenturyExpandedBT-Roman" w:eastAsia="Calibri" w:hAnsi="CenturyExpandedBT-Roman" w:cs="CenturyExpandedBT-Roman"/>
          <w:i/>
          <w:szCs w:val="24"/>
        </w:rPr>
        <w:t>See</w:t>
      </w:r>
      <w:r w:rsidR="007D5C89" w:rsidRPr="00225530">
        <w:rPr>
          <w:rFonts w:ascii="CenturyExpandedBT-Roman" w:eastAsia="Calibri" w:hAnsi="CenturyExpandedBT-Roman" w:cs="CenturyExpandedBT-Roman"/>
          <w:szCs w:val="24"/>
        </w:rPr>
        <w:t xml:space="preserve"> </w:t>
      </w:r>
      <w:proofErr w:type="spellStart"/>
      <w:r w:rsidR="007D5C89" w:rsidRPr="00225530">
        <w:rPr>
          <w:rFonts w:ascii="CenturyExpandedBT-Italic" w:eastAsia="Calibri" w:hAnsi="CenturyExpandedBT-Italic" w:cs="CenturyExpandedBT-Italic"/>
          <w:i/>
          <w:iCs/>
          <w:szCs w:val="24"/>
        </w:rPr>
        <w:t>Bragdo</w:t>
      </w:r>
      <w:r w:rsidR="007D5C89" w:rsidRPr="00013427">
        <w:rPr>
          <w:rFonts w:ascii="CenturyExpandedBT-Italic" w:eastAsia="Calibri" w:hAnsi="CenturyExpandedBT-Italic" w:cs="CenturyExpandedBT-Italic"/>
          <w:i/>
          <w:iCs/>
          <w:szCs w:val="24"/>
        </w:rPr>
        <w:t>n</w:t>
      </w:r>
      <w:proofErr w:type="spellEnd"/>
      <w:r>
        <w:rPr>
          <w:rFonts w:ascii="CenturyExpandedBT-Roman" w:eastAsia="Calibri" w:hAnsi="CenturyExpandedBT-Roman" w:cs="CenturyExpandedBT-Roman"/>
          <w:szCs w:val="24"/>
        </w:rPr>
        <w:t xml:space="preserve">, 524 U.S. </w:t>
      </w:r>
      <w:r w:rsidR="00F7329B">
        <w:rPr>
          <w:rFonts w:ascii="CenturyExpandedBT-Roman" w:eastAsia="Calibri" w:hAnsi="CenturyExpandedBT-Roman" w:cs="CenturyExpandedBT-Roman"/>
          <w:szCs w:val="24"/>
        </w:rPr>
        <w:t>at</w:t>
      </w:r>
      <w:r>
        <w:rPr>
          <w:rFonts w:ascii="CenturyExpandedBT-Roman" w:eastAsia="Calibri" w:hAnsi="CenturyExpandedBT-Roman" w:cs="CenturyExpandedBT-Roman"/>
          <w:szCs w:val="24"/>
        </w:rPr>
        <w:t xml:space="preserve"> 631-32.  T</w:t>
      </w:r>
      <w:r w:rsidR="007D5C89" w:rsidRPr="00225530">
        <w:rPr>
          <w:rFonts w:ascii="CenturyExpandedBT-Roman" w:eastAsia="Calibri" w:hAnsi="CenturyExpandedBT-Roman" w:cs="CenturyExpandedBT-Roman"/>
          <w:szCs w:val="24"/>
        </w:rPr>
        <w:t xml:space="preserve">he statute further protects individuals with disabilities from being “subjected to discrimination,” 42 U.S.C. </w:t>
      </w:r>
      <w:r>
        <w:rPr>
          <w:rFonts w:ascii="CenturyExpandedBT-Roman" w:eastAsia="Calibri" w:hAnsi="CenturyExpandedBT-Roman" w:cs="CenturyExpandedBT-Roman"/>
          <w:szCs w:val="24"/>
        </w:rPr>
        <w:t>§ </w:t>
      </w:r>
      <w:r w:rsidR="007D5C89" w:rsidRPr="00225530">
        <w:rPr>
          <w:rFonts w:ascii="CenturyExpandedBT-Roman" w:eastAsia="Calibri" w:hAnsi="CenturyExpandedBT-Roman" w:cs="CenturyExpandedBT-Roman"/>
          <w:szCs w:val="24"/>
        </w:rPr>
        <w:t xml:space="preserve">12132, which can occur during any aspect of an individual’s interaction with a public entity. The statute therefore extends to all law enforcement operations, including arrests. </w:t>
      </w:r>
    </w:p>
    <w:p w:rsidR="008B2901" w:rsidRDefault="008B2901" w:rsidP="007D5C89">
      <w:pPr>
        <w:spacing w:line="480" w:lineRule="auto"/>
        <w:rPr>
          <w:rFonts w:ascii="CenturyExpandedBT-Roman" w:eastAsia="Calibri" w:hAnsi="CenturyExpandedBT-Roman" w:cs="CenturyExpandedBT-Roman"/>
          <w:szCs w:val="24"/>
        </w:rPr>
      </w:pPr>
      <w:r>
        <w:rPr>
          <w:rFonts w:ascii="CenturyExpandedBT-Roman" w:eastAsia="Calibri" w:hAnsi="CenturyExpandedBT-Roman" w:cs="CenturyExpandedBT-Roman"/>
          <w:szCs w:val="24"/>
        </w:rPr>
        <w:tab/>
      </w:r>
      <w:r w:rsidR="007D5C89" w:rsidRPr="00225530">
        <w:rPr>
          <w:rFonts w:ascii="CenturyExpandedBT-Roman" w:eastAsia="Calibri" w:hAnsi="CenturyExpandedBT-Roman" w:cs="CenturyExpandedBT-Roman"/>
          <w:szCs w:val="24"/>
        </w:rPr>
        <w:t>The legislative history confirms that Congress contemplated that Title II would apply to law enforcement operations generally, and to arrests in particular. The House Report specified that Title II’s anti-discrimination mandate would “extend[</w:t>
      </w:r>
      <w:r w:rsidR="00013427">
        <w:rPr>
          <w:rFonts w:ascii="CenturyExpandedBT-Roman" w:eastAsia="Calibri" w:hAnsi="CenturyExpandedBT-Roman" w:cs="CenturyExpandedBT-Roman"/>
          <w:szCs w:val="24"/>
        </w:rPr>
        <w:t xml:space="preserve"> </w:t>
      </w:r>
      <w:r w:rsidR="007D5C89" w:rsidRPr="00225530">
        <w:rPr>
          <w:rFonts w:ascii="CenturyExpandedBT-Roman" w:eastAsia="Calibri" w:hAnsi="CenturyExpandedBT-Roman" w:cs="CenturyExpandedBT-Roman"/>
          <w:szCs w:val="24"/>
        </w:rPr>
        <w:t xml:space="preserve">] </w:t>
      </w:r>
      <w:r>
        <w:rPr>
          <w:rFonts w:ascii="CenturyExpandedBT-Roman" w:eastAsia="Calibri" w:hAnsi="CenturyExpandedBT-Roman" w:cs="CenturyExpandedBT-Roman"/>
          <w:szCs w:val="24"/>
        </w:rPr>
        <w:t>. . .</w:t>
      </w:r>
      <w:r w:rsidR="007D5C89" w:rsidRPr="00225530">
        <w:rPr>
          <w:rFonts w:ascii="CenturyExpandedBT-Roman" w:eastAsia="Calibri" w:hAnsi="CenturyExpandedBT-Roman" w:cs="CenturyExpandedBT-Roman"/>
          <w:szCs w:val="24"/>
        </w:rPr>
        <w:t xml:space="preserve"> to </w:t>
      </w:r>
      <w:r w:rsidR="007D5C89" w:rsidRPr="00225530">
        <w:rPr>
          <w:rFonts w:ascii="CenturyExpandedBT-Italic" w:eastAsia="Calibri" w:hAnsi="CenturyExpandedBT-Italic" w:cs="CenturyExpandedBT-Italic"/>
          <w:i/>
          <w:iCs/>
          <w:szCs w:val="24"/>
        </w:rPr>
        <w:t xml:space="preserve">all </w:t>
      </w:r>
      <w:r w:rsidR="007D5C89" w:rsidRPr="00225530">
        <w:rPr>
          <w:rFonts w:ascii="CenturyExpandedBT-Roman" w:eastAsia="Calibri" w:hAnsi="CenturyExpandedBT-Roman" w:cs="CenturyExpandedBT-Roman"/>
          <w:szCs w:val="24"/>
        </w:rPr>
        <w:t xml:space="preserve">actions of state and local governments.” H.R. Rep. No. </w:t>
      </w:r>
      <w:r w:rsidR="004F33A7">
        <w:rPr>
          <w:rFonts w:ascii="CenturyExpandedBT-Roman" w:eastAsia="Calibri" w:hAnsi="CenturyExpandedBT-Roman" w:cs="CenturyExpandedBT-Roman"/>
          <w:szCs w:val="24"/>
        </w:rPr>
        <w:t>101-</w:t>
      </w:r>
      <w:r w:rsidR="007D5C89" w:rsidRPr="00225530">
        <w:rPr>
          <w:rFonts w:ascii="CenturyExpandedBT-Roman" w:eastAsia="Calibri" w:hAnsi="CenturyExpandedBT-Roman" w:cs="CenturyExpandedBT-Roman"/>
          <w:szCs w:val="24"/>
        </w:rPr>
        <w:t>485</w:t>
      </w:r>
      <w:r w:rsidR="004F33A7">
        <w:rPr>
          <w:rFonts w:ascii="CenturyExpandedBT-Roman" w:eastAsia="Calibri" w:hAnsi="CenturyExpandedBT-Roman" w:cs="CenturyExpandedBT-Roman"/>
          <w:szCs w:val="24"/>
        </w:rPr>
        <w:t xml:space="preserve"> (II)</w:t>
      </w:r>
      <w:r w:rsidR="007D5C89" w:rsidRPr="00225530">
        <w:rPr>
          <w:rFonts w:ascii="CenturyExpandedBT-Roman" w:eastAsia="Calibri" w:hAnsi="CenturyExpandedBT-Roman" w:cs="CenturyExpandedBT-Roman"/>
          <w:szCs w:val="24"/>
        </w:rPr>
        <w:t xml:space="preserve">, at 84 (1990) (emphasis added). </w:t>
      </w:r>
      <w:r>
        <w:rPr>
          <w:rFonts w:ascii="CenturyExpandedBT-Roman" w:eastAsia="Calibri" w:hAnsi="CenturyExpandedBT-Roman" w:cs="CenturyExpandedBT-Roman"/>
          <w:szCs w:val="24"/>
        </w:rPr>
        <w:t>The R</w:t>
      </w:r>
      <w:r w:rsidR="007D5C89" w:rsidRPr="00225530">
        <w:rPr>
          <w:rFonts w:ascii="CenturyExpandedBT-Roman" w:eastAsia="Calibri" w:hAnsi="CenturyExpandedBT-Roman" w:cs="CenturyExpandedBT-Roman"/>
          <w:szCs w:val="24"/>
        </w:rPr>
        <w:t xml:space="preserve">eport further singled out arrests as an example of an activity where “discriminatory treatment based on disability can be avoided by proper training.” </w:t>
      </w:r>
      <w:r w:rsidR="007D5C89" w:rsidRPr="00225530">
        <w:rPr>
          <w:rFonts w:ascii="CenturyExpandedBT-Italic" w:eastAsia="Calibri" w:hAnsi="CenturyExpandedBT-Italic" w:cs="CenturyExpandedBT-Italic"/>
          <w:i/>
          <w:iCs/>
          <w:szCs w:val="24"/>
        </w:rPr>
        <w:t xml:space="preserve">Id. </w:t>
      </w:r>
      <w:r w:rsidR="007D5C89" w:rsidRPr="00225530">
        <w:rPr>
          <w:rFonts w:ascii="CenturyExpandedBT-Roman" w:eastAsia="Calibri" w:hAnsi="CenturyExpandedBT-Roman" w:cs="CenturyExpandedBT-Roman"/>
          <w:szCs w:val="24"/>
        </w:rPr>
        <w:t xml:space="preserve">Pt. 3, at 50. In addition, legislators emphasized that Title II would address discrimination in law enforcement, including the arrest of individuals with disabilities. </w:t>
      </w:r>
      <w:r w:rsidR="007D5C89" w:rsidRPr="008B2901">
        <w:rPr>
          <w:rFonts w:ascii="CenturyExpandedBT-Roman" w:eastAsia="Calibri" w:hAnsi="CenturyExpandedBT-Roman" w:cs="CenturyExpandedBT-Roman"/>
          <w:i/>
          <w:szCs w:val="24"/>
        </w:rPr>
        <w:t xml:space="preserve">See, </w:t>
      </w:r>
      <w:r w:rsidR="007D5C89" w:rsidRPr="008B2901">
        <w:rPr>
          <w:rFonts w:ascii="CenturyExpandedBT-Italic" w:eastAsia="Calibri" w:hAnsi="CenturyExpandedBT-Italic" w:cs="CenturyExpandedBT-Italic"/>
          <w:i/>
          <w:iCs/>
          <w:szCs w:val="24"/>
        </w:rPr>
        <w:t>e.g.</w:t>
      </w:r>
      <w:r w:rsidR="007D5C89" w:rsidRPr="00225530">
        <w:rPr>
          <w:rFonts w:ascii="CenturyExpandedBT-Roman" w:eastAsia="Calibri" w:hAnsi="CenturyExpandedBT-Roman" w:cs="CenturyExpandedBT-Roman"/>
          <w:szCs w:val="24"/>
        </w:rPr>
        <w:t xml:space="preserve">, 136 Cong. Rec. 11,461 (1990) (“Many times, deaf persons who are arrested are put in handcuffs. But many deaf persons use their hands to communicate. </w:t>
      </w:r>
      <w:r>
        <w:rPr>
          <w:rFonts w:ascii="CenturyExpandedBT-Roman" w:eastAsia="Calibri" w:hAnsi="CenturyExpandedBT-Roman" w:cs="CenturyExpandedBT-Roman"/>
          <w:szCs w:val="24"/>
        </w:rPr>
        <w:t>. . .</w:t>
      </w:r>
      <w:r w:rsidR="007D5C89" w:rsidRPr="00225530">
        <w:rPr>
          <w:rFonts w:ascii="CenturyExpandedBT-Roman" w:eastAsia="Calibri" w:hAnsi="CenturyExpandedBT-Roman" w:cs="CenturyExpandedBT-Roman"/>
          <w:szCs w:val="24"/>
        </w:rPr>
        <w:t xml:space="preserve"> [T]</w:t>
      </w:r>
      <w:proofErr w:type="spellStart"/>
      <w:r w:rsidR="007D5C89" w:rsidRPr="00225530">
        <w:rPr>
          <w:rFonts w:ascii="CenturyExpandedBT-Roman" w:eastAsia="Calibri" w:hAnsi="CenturyExpandedBT-Roman" w:cs="CenturyExpandedBT-Roman"/>
          <w:szCs w:val="24"/>
        </w:rPr>
        <w:t>hese</w:t>
      </w:r>
      <w:proofErr w:type="spellEnd"/>
      <w:r w:rsidR="007D5C89" w:rsidRPr="00225530">
        <w:rPr>
          <w:rFonts w:ascii="CenturyExpandedBT-Roman" w:eastAsia="Calibri" w:hAnsi="CenturyExpandedBT-Roman" w:cs="CenturyExpandedBT-Roman"/>
          <w:szCs w:val="24"/>
        </w:rPr>
        <w:t xml:space="preserve"> mistakes </w:t>
      </w:r>
      <w:r>
        <w:rPr>
          <w:rFonts w:ascii="CenturyExpandedBT-Roman" w:eastAsia="Calibri" w:hAnsi="CenturyExpandedBT-Roman" w:cs="CenturyExpandedBT-Roman"/>
          <w:szCs w:val="24"/>
        </w:rPr>
        <w:t>. . .</w:t>
      </w:r>
      <w:r w:rsidR="007D5C89" w:rsidRPr="00225530">
        <w:rPr>
          <w:rFonts w:ascii="CenturyExpandedBT-Roman" w:eastAsia="Calibri" w:hAnsi="CenturyExpandedBT-Roman" w:cs="CenturyExpandedBT-Roman"/>
          <w:szCs w:val="24"/>
        </w:rPr>
        <w:t xml:space="preserve"> constitute discrimination.”); </w:t>
      </w:r>
      <w:r w:rsidR="007D5C89" w:rsidRPr="00225530">
        <w:rPr>
          <w:rFonts w:ascii="CenturyExpandedBT-Italic" w:eastAsia="Calibri" w:hAnsi="CenturyExpandedBT-Italic" w:cs="CenturyExpandedBT-Italic"/>
          <w:i/>
          <w:iCs/>
          <w:szCs w:val="24"/>
        </w:rPr>
        <w:t xml:space="preserve">id. </w:t>
      </w:r>
      <w:r w:rsidR="007D5C89" w:rsidRPr="00225530">
        <w:rPr>
          <w:rFonts w:ascii="CenturyExpandedBT-Roman" w:eastAsia="Calibri" w:hAnsi="CenturyExpandedBT-Roman" w:cs="CenturyExpandedBT-Roman"/>
          <w:szCs w:val="24"/>
        </w:rPr>
        <w:t>at E1913, E1916 (daily ed. June 13, 1990) (“[P]</w:t>
      </w:r>
      <w:proofErr w:type="spellStart"/>
      <w:r w:rsidR="007D5C89" w:rsidRPr="00225530">
        <w:rPr>
          <w:rFonts w:ascii="CenturyExpandedBT-Roman" w:eastAsia="Calibri" w:hAnsi="CenturyExpandedBT-Roman" w:cs="CenturyExpandedBT-Roman"/>
          <w:szCs w:val="24"/>
        </w:rPr>
        <w:t>ersons</w:t>
      </w:r>
      <w:proofErr w:type="spellEnd"/>
      <w:r w:rsidR="007D5C89" w:rsidRPr="00225530">
        <w:rPr>
          <w:rFonts w:ascii="CenturyExpandedBT-Roman" w:eastAsia="Calibri" w:hAnsi="CenturyExpandedBT-Roman" w:cs="CenturyExpandedBT-Roman"/>
          <w:szCs w:val="24"/>
        </w:rPr>
        <w:t xml:space="preserve"> who have epilepsy are sometimes inappropriately arrested because police officers have not received proper training to recognize seizures and to respond to them.”). Congress thus expected and intended Title II to cover all law enforcement operations in accordance with the statut</w:t>
      </w:r>
      <w:r>
        <w:rPr>
          <w:rFonts w:ascii="CenturyExpandedBT-Roman" w:eastAsia="Calibri" w:hAnsi="CenturyExpandedBT-Roman" w:cs="CenturyExpandedBT-Roman"/>
          <w:szCs w:val="24"/>
        </w:rPr>
        <w:t xml:space="preserve">e’s plain text. </w:t>
      </w:r>
    </w:p>
    <w:p w:rsidR="008B2901" w:rsidRDefault="008B2901" w:rsidP="007D5C89">
      <w:pPr>
        <w:spacing w:line="480" w:lineRule="auto"/>
        <w:rPr>
          <w:rFonts w:ascii="CenturyExpandedBT-Roman" w:eastAsia="Calibri" w:hAnsi="CenturyExpandedBT-Roman" w:cs="CenturyExpandedBT-Roman"/>
          <w:szCs w:val="24"/>
        </w:rPr>
      </w:pPr>
      <w:r>
        <w:rPr>
          <w:rFonts w:ascii="CenturyExpandedBT-Roman" w:eastAsia="Calibri" w:hAnsi="CenturyExpandedBT-Roman" w:cs="CenturyExpandedBT-Roman"/>
          <w:szCs w:val="24"/>
        </w:rPr>
        <w:tab/>
      </w:r>
      <w:r w:rsidR="007D5C89" w:rsidRPr="00225530">
        <w:rPr>
          <w:rFonts w:ascii="CenturyExpandedBT-Roman" w:eastAsia="Calibri" w:hAnsi="CenturyExpandedBT-Roman" w:cs="CenturyExpandedBT-Roman"/>
          <w:szCs w:val="24"/>
        </w:rPr>
        <w:t xml:space="preserve">The administrative implementation of Title II also </w:t>
      </w:r>
      <w:r>
        <w:rPr>
          <w:rFonts w:ascii="CenturyExpandedBT-Roman" w:eastAsia="Calibri" w:hAnsi="CenturyExpandedBT-Roman" w:cs="CenturyExpandedBT-Roman"/>
          <w:szCs w:val="24"/>
        </w:rPr>
        <w:t>demonstrates that Title II of the ADA applies to arrests</w:t>
      </w:r>
      <w:r w:rsidR="007D5C89" w:rsidRPr="00225530">
        <w:rPr>
          <w:rFonts w:ascii="CenturyExpandedBT-Roman" w:eastAsia="Calibri" w:hAnsi="CenturyExpandedBT-Roman" w:cs="CenturyExpandedBT-Roman"/>
          <w:szCs w:val="24"/>
        </w:rPr>
        <w:t xml:space="preserve">. The Department </w:t>
      </w:r>
      <w:r w:rsidR="00564873">
        <w:rPr>
          <w:rFonts w:ascii="CenturyExpandedBT-Roman" w:eastAsia="Calibri" w:hAnsi="CenturyExpandedBT-Roman" w:cs="CenturyExpandedBT-Roman"/>
          <w:szCs w:val="24"/>
        </w:rPr>
        <w:t xml:space="preserve">of Justice </w:t>
      </w:r>
      <w:r w:rsidR="007D5C89" w:rsidRPr="00225530">
        <w:rPr>
          <w:rFonts w:ascii="CenturyExpandedBT-Roman" w:eastAsia="Calibri" w:hAnsi="CenturyExpandedBT-Roman" w:cs="CenturyExpandedBT-Roman"/>
          <w:szCs w:val="24"/>
        </w:rPr>
        <w:t>has construed Title II to “</w:t>
      </w:r>
      <w:proofErr w:type="spellStart"/>
      <w:r w:rsidR="007D5C89" w:rsidRPr="00225530">
        <w:rPr>
          <w:rFonts w:ascii="CenturyExpandedBT-Roman" w:eastAsia="Calibri" w:hAnsi="CenturyExpandedBT-Roman" w:cs="CenturyExpandedBT-Roman"/>
          <w:szCs w:val="24"/>
        </w:rPr>
        <w:t>appl</w:t>
      </w:r>
      <w:proofErr w:type="spellEnd"/>
      <w:r w:rsidR="007D5C89" w:rsidRPr="00225530">
        <w:rPr>
          <w:rFonts w:ascii="CenturyExpandedBT-Roman" w:eastAsia="Calibri" w:hAnsi="CenturyExpandedBT-Roman" w:cs="CenturyExpandedBT-Roman"/>
          <w:szCs w:val="24"/>
        </w:rPr>
        <w:t xml:space="preserve">[y] to anything a public entity does.” 28 C.F.R. Pt. 35, App. B; </w:t>
      </w:r>
      <w:r w:rsidR="007D5C89" w:rsidRPr="008B2901">
        <w:rPr>
          <w:rFonts w:ascii="CenturyExpandedBT-Roman" w:eastAsia="Calibri" w:hAnsi="CenturyExpandedBT-Roman" w:cs="CenturyExpandedBT-Roman"/>
          <w:i/>
          <w:szCs w:val="24"/>
        </w:rPr>
        <w:t xml:space="preserve">see </w:t>
      </w:r>
      <w:r w:rsidR="005E7FE5">
        <w:rPr>
          <w:rFonts w:ascii="CenturyExpandedBT-Italic" w:eastAsia="Calibri" w:hAnsi="CenturyExpandedBT-Italic" w:cs="CenturyExpandedBT-Italic"/>
          <w:i/>
          <w:iCs/>
          <w:szCs w:val="24"/>
        </w:rPr>
        <w:t>i</w:t>
      </w:r>
      <w:r w:rsidR="007D5C89" w:rsidRPr="00225530">
        <w:rPr>
          <w:rFonts w:ascii="CenturyExpandedBT-Italic" w:eastAsia="Calibri" w:hAnsi="CenturyExpandedBT-Italic" w:cs="CenturyExpandedBT-Italic"/>
          <w:i/>
          <w:iCs/>
          <w:szCs w:val="24"/>
        </w:rPr>
        <w:t xml:space="preserve">d. </w:t>
      </w:r>
      <w:r w:rsidR="007D5C89" w:rsidRPr="00225530">
        <w:rPr>
          <w:rFonts w:ascii="CenturyExpandedBT-Roman" w:eastAsia="Calibri" w:hAnsi="CenturyExpandedBT-Roman" w:cs="CenturyExpandedBT-Roman"/>
          <w:szCs w:val="24"/>
        </w:rPr>
        <w:t>(“All governmental activities of public entities are covered.”). In particular, the Department oversees the implementation of Title II with respect to “[a]</w:t>
      </w:r>
      <w:proofErr w:type="spellStart"/>
      <w:r w:rsidR="007D5C89" w:rsidRPr="00225530">
        <w:rPr>
          <w:rFonts w:ascii="CenturyExpandedBT-Roman" w:eastAsia="Calibri" w:hAnsi="CenturyExpandedBT-Roman" w:cs="CenturyExpandedBT-Roman"/>
          <w:szCs w:val="24"/>
        </w:rPr>
        <w:t>ll</w:t>
      </w:r>
      <w:proofErr w:type="spellEnd"/>
      <w:r w:rsidR="007D5C89" w:rsidRPr="00225530">
        <w:rPr>
          <w:rFonts w:ascii="CenturyExpandedBT-Roman" w:eastAsia="Calibri" w:hAnsi="CenturyExpandedBT-Roman" w:cs="CenturyExpandedBT-Roman"/>
          <w:szCs w:val="24"/>
        </w:rPr>
        <w:t xml:space="preserve"> programs, services, and regulatory activities relating to law enforcement.” 28 C.F.R. </w:t>
      </w:r>
      <w:r w:rsidR="005E7FE5">
        <w:rPr>
          <w:rFonts w:ascii="CenturyExpandedBT-Roman" w:eastAsia="Calibri" w:hAnsi="CenturyExpandedBT-Roman" w:cs="CenturyExpandedBT-Roman"/>
          <w:szCs w:val="24"/>
        </w:rPr>
        <w:t>§ </w:t>
      </w:r>
      <w:r w:rsidR="007D5C89" w:rsidRPr="00225530">
        <w:rPr>
          <w:rFonts w:ascii="CenturyExpandedBT-Roman" w:eastAsia="Calibri" w:hAnsi="CenturyExpandedBT-Roman" w:cs="CenturyExpandedBT-Roman"/>
          <w:szCs w:val="24"/>
        </w:rPr>
        <w:t xml:space="preserve">35.190(b)(6). And the Department has further stated that “[t]he general regulatory obligation to modify policies, practices, or procedures requires law enforcement to make changes in policies that result in discriminatory arrests or abuse of individuals with disabilities.” 56 Fed. Reg. 35,703 (July 26, 1991). </w:t>
      </w:r>
    </w:p>
    <w:p w:rsidR="004F33A7" w:rsidRDefault="008B2901" w:rsidP="007D5C89">
      <w:pPr>
        <w:spacing w:line="480" w:lineRule="auto"/>
        <w:rPr>
          <w:rFonts w:ascii="CenturyExpandedBT-Roman" w:eastAsia="Calibri" w:hAnsi="CenturyExpandedBT-Roman" w:cs="CenturyExpandedBT-Roman"/>
          <w:szCs w:val="24"/>
        </w:rPr>
      </w:pPr>
      <w:r>
        <w:rPr>
          <w:rFonts w:ascii="CenturyExpandedBT-Roman" w:eastAsia="Calibri" w:hAnsi="CenturyExpandedBT-Roman" w:cs="CenturyExpandedBT-Roman"/>
          <w:szCs w:val="24"/>
        </w:rPr>
        <w:tab/>
      </w:r>
      <w:r w:rsidR="007D5C89" w:rsidRPr="00225530">
        <w:rPr>
          <w:rFonts w:ascii="CenturyExpandedBT-Roman" w:eastAsia="Calibri" w:hAnsi="CenturyExpandedBT-Roman" w:cs="CenturyExpandedBT-Roman"/>
          <w:szCs w:val="24"/>
        </w:rPr>
        <w:t xml:space="preserve">Consistent with this interpretation, the Department has repeatedly issued guidance to assist law enforcement entities in complying with the ADA, including in the context of arrests. For example, the Department’s Title II Technical Assistance Manual states that “[a] municipal police department encounters many situations where effective communication with members of the public who are deaf or hard of hearing is critical,” including “interviewing suspects prior to arrest,” and “interrogating arrestees.” U.S. Dep’t of Justice, </w:t>
      </w:r>
      <w:r w:rsidR="007D5C89" w:rsidRPr="00225530">
        <w:rPr>
          <w:rFonts w:ascii="CenturyExpandedBT-Italic" w:eastAsia="Calibri" w:hAnsi="CenturyExpandedBT-Italic" w:cs="CenturyExpandedBT-Italic"/>
          <w:i/>
          <w:iCs/>
          <w:szCs w:val="24"/>
        </w:rPr>
        <w:t xml:space="preserve">Americans with Disabilities Act: Title II Technical Assistance Manual Covering State and Local Government Programs and Services </w:t>
      </w:r>
      <w:r w:rsidR="00564873">
        <w:rPr>
          <w:rFonts w:ascii="CenturyExpandedBT-Roman" w:eastAsia="Calibri" w:hAnsi="CenturyExpandedBT-Roman" w:cs="CenturyExpandedBT-Roman"/>
          <w:szCs w:val="24"/>
        </w:rPr>
        <w:t>§ II- 7.1000(B), illus. 3, at 3</w:t>
      </w:r>
      <w:r w:rsidR="007D5C89" w:rsidRPr="00225530">
        <w:rPr>
          <w:rFonts w:ascii="CenturyExpandedBT-Roman" w:eastAsia="Calibri" w:hAnsi="CenturyExpandedBT-Roman" w:cs="CenturyExpandedBT-Roman"/>
          <w:szCs w:val="24"/>
        </w:rPr>
        <w:t xml:space="preserve"> (Nov. 1993 &amp; Supp. 1994)</w:t>
      </w:r>
      <w:r w:rsidR="00564873">
        <w:rPr>
          <w:rFonts w:ascii="CenturyExpandedBT-Roman" w:eastAsia="Calibri" w:hAnsi="CenturyExpandedBT-Roman" w:cs="CenturyExpandedBT-Roman"/>
          <w:szCs w:val="24"/>
        </w:rPr>
        <w:t xml:space="preserve">, available at </w:t>
      </w:r>
      <w:hyperlink r:id="rId10" w:history="1">
        <w:r w:rsidR="00564873" w:rsidRPr="00E60CE5">
          <w:rPr>
            <w:rStyle w:val="Hyperlink"/>
            <w:rFonts w:ascii="CenturyExpandedBT-Roman" w:eastAsia="Calibri" w:hAnsi="CenturyExpandedBT-Roman" w:cs="CenturyExpandedBT-Roman"/>
            <w:szCs w:val="24"/>
          </w:rPr>
          <w:t>http://www.ada.gov/taman2up.html</w:t>
        </w:r>
      </w:hyperlink>
      <w:r w:rsidR="00564873">
        <w:rPr>
          <w:rFonts w:ascii="CenturyExpandedBT-Roman" w:eastAsia="Calibri" w:hAnsi="CenturyExpandedBT-Roman" w:cs="CenturyExpandedBT-Roman"/>
          <w:szCs w:val="24"/>
        </w:rPr>
        <w:t xml:space="preserve">.  </w:t>
      </w:r>
      <w:r w:rsidR="007D5C89" w:rsidRPr="00225530">
        <w:rPr>
          <w:rFonts w:ascii="CenturyExpandedBT-Roman" w:eastAsia="Calibri" w:hAnsi="CenturyExpandedBT-Roman" w:cs="CenturyExpandedBT-Roman"/>
          <w:szCs w:val="24"/>
        </w:rPr>
        <w:t xml:space="preserve"> (</w:t>
      </w:r>
      <w:r w:rsidR="00564873">
        <w:rPr>
          <w:rFonts w:ascii="CenturyExpandedBT-Roman" w:eastAsia="Calibri" w:hAnsi="CenturyExpandedBT-Roman" w:cs="CenturyExpandedBT-Roman"/>
          <w:szCs w:val="24"/>
        </w:rPr>
        <w:t>A copy of this document is attached as Exhibit C to the Kennedy Decl. (</w:t>
      </w:r>
      <w:r w:rsidR="00564873" w:rsidRPr="00564873">
        <w:rPr>
          <w:rFonts w:ascii="CenturyExpandedBT-Roman" w:eastAsia="Calibri" w:hAnsi="CenturyExpandedBT-Roman" w:cs="CenturyExpandedBT-Roman"/>
          <w:szCs w:val="24"/>
        </w:rPr>
        <w:t>“</w:t>
      </w:r>
      <w:r w:rsidR="007D5C89" w:rsidRPr="00225530">
        <w:rPr>
          <w:rFonts w:ascii="CenturyExpandedBT-Italic" w:eastAsia="Calibri" w:hAnsi="CenturyExpandedBT-Italic" w:cs="CenturyExpandedBT-Italic"/>
          <w:i/>
          <w:iCs/>
          <w:szCs w:val="24"/>
        </w:rPr>
        <w:t>Title II Technical Assistance</w:t>
      </w:r>
      <w:r w:rsidR="00564873" w:rsidRPr="00564873">
        <w:rPr>
          <w:rFonts w:ascii="CenturyExpandedBT-Italic" w:eastAsia="Calibri" w:hAnsi="CenturyExpandedBT-Italic" w:cs="CenturyExpandedBT-Italic"/>
          <w:iCs/>
          <w:szCs w:val="24"/>
        </w:rPr>
        <w:t>”</w:t>
      </w:r>
      <w:r w:rsidR="007D5C89" w:rsidRPr="00564873">
        <w:rPr>
          <w:rFonts w:ascii="CenturyExpandedBT-Roman" w:eastAsia="Calibri" w:hAnsi="CenturyExpandedBT-Roman" w:cs="CenturyExpandedBT-Roman"/>
          <w:szCs w:val="24"/>
        </w:rPr>
        <w:t>)</w:t>
      </w:r>
      <w:r w:rsidR="007D5C89" w:rsidRPr="00225530">
        <w:rPr>
          <w:rFonts w:ascii="CenturyExpandedBT-Roman" w:eastAsia="Calibri" w:hAnsi="CenturyExpandedBT-Roman" w:cs="CenturyExpandedBT-Roman"/>
          <w:szCs w:val="24"/>
        </w:rPr>
        <w:t>.</w:t>
      </w:r>
      <w:r w:rsidR="00A63FD9">
        <w:rPr>
          <w:rFonts w:ascii="CenturyExpandedBT-Roman" w:eastAsia="Calibri" w:hAnsi="CenturyExpandedBT-Roman" w:cs="CenturyExpandedBT-Roman"/>
          <w:szCs w:val="24"/>
        </w:rPr>
        <w:t>)</w:t>
      </w:r>
      <w:r w:rsidR="007D5C89" w:rsidRPr="00225530">
        <w:rPr>
          <w:rFonts w:ascii="CenturyExpandedBT-Roman" w:eastAsia="Calibri" w:hAnsi="CenturyExpandedBT-Roman" w:cs="CenturyExpandedBT-Roman"/>
          <w:szCs w:val="24"/>
        </w:rPr>
        <w:t xml:space="preserve"> In addition, 2006 guidance states that “[t]he ADA affects virtually everything that officers and deputies do,” including “arresting, booking, and holding suspects.” U.S. Dep’t of Justice, </w:t>
      </w:r>
      <w:r w:rsidR="007D5C89" w:rsidRPr="00225530">
        <w:rPr>
          <w:rFonts w:ascii="CenturyExpandedBT-Italic" w:eastAsia="Calibri" w:hAnsi="CenturyExpandedBT-Italic" w:cs="CenturyExpandedBT-Italic"/>
          <w:i/>
          <w:iCs/>
          <w:szCs w:val="24"/>
        </w:rPr>
        <w:t xml:space="preserve">Commonly Asked Questions About the Americans with Disabilities Act and Law Enforcement </w:t>
      </w:r>
      <w:r w:rsidR="007D5C89" w:rsidRPr="00225530">
        <w:rPr>
          <w:rFonts w:ascii="CenturyExpandedBT-Roman" w:eastAsia="Calibri" w:hAnsi="CenturyExpandedBT-Roman" w:cs="CenturyExpandedBT-Roman"/>
          <w:szCs w:val="24"/>
        </w:rPr>
        <w:t>§ I</w:t>
      </w:r>
      <w:r w:rsidR="003E7078">
        <w:rPr>
          <w:rFonts w:ascii="CenturyExpandedBT-Roman" w:eastAsia="Calibri" w:hAnsi="CenturyExpandedBT-Roman" w:cs="CenturyExpandedBT-Roman"/>
          <w:szCs w:val="24"/>
        </w:rPr>
        <w:t>, question 2</w:t>
      </w:r>
      <w:r w:rsidR="007D5C89" w:rsidRPr="00225530">
        <w:rPr>
          <w:rFonts w:ascii="CenturyExpandedBT-Roman" w:eastAsia="Calibri" w:hAnsi="CenturyExpandedBT-Roman" w:cs="CenturyExpandedBT-Roman"/>
          <w:szCs w:val="24"/>
        </w:rPr>
        <w:t xml:space="preserve"> (Apr. 4, 2006)</w:t>
      </w:r>
      <w:r w:rsidR="003E7078">
        <w:rPr>
          <w:rFonts w:ascii="CenturyExpandedBT-Roman" w:eastAsia="Calibri" w:hAnsi="CenturyExpandedBT-Roman" w:cs="CenturyExpandedBT-Roman"/>
          <w:szCs w:val="24"/>
        </w:rPr>
        <w:t>.</w:t>
      </w:r>
      <w:r w:rsidR="007D5C89" w:rsidRPr="00225530">
        <w:rPr>
          <w:rFonts w:ascii="CenturyExpandedBT-Roman" w:eastAsia="Calibri" w:hAnsi="CenturyExpandedBT-Roman" w:cs="CenturyExpandedBT-Roman"/>
          <w:szCs w:val="24"/>
        </w:rPr>
        <w:t xml:space="preserve"> (</w:t>
      </w:r>
      <w:r w:rsidR="003E7078">
        <w:rPr>
          <w:rFonts w:ascii="CenturyExpandedBT-Roman" w:eastAsia="Calibri" w:hAnsi="CenturyExpandedBT-Roman" w:cs="CenturyExpandedBT-Roman"/>
          <w:szCs w:val="24"/>
        </w:rPr>
        <w:t>A copy of this document is attached as Exhibit D to the Kennedy Decl. (“</w:t>
      </w:r>
      <w:r w:rsidR="007D5C89" w:rsidRPr="00225530">
        <w:rPr>
          <w:rFonts w:ascii="CenturyExpandedBT-Italic" w:eastAsia="Calibri" w:hAnsi="CenturyExpandedBT-Italic" w:cs="CenturyExpandedBT-Italic"/>
          <w:i/>
          <w:iCs/>
          <w:szCs w:val="24"/>
        </w:rPr>
        <w:t>2006 Guidance</w:t>
      </w:r>
      <w:r w:rsidR="003E7078">
        <w:rPr>
          <w:rFonts w:ascii="CenturyExpandedBT-Roman" w:eastAsia="Calibri" w:hAnsi="CenturyExpandedBT-Roman" w:cs="CenturyExpandedBT-Roman"/>
          <w:szCs w:val="24"/>
        </w:rPr>
        <w:t>”)</w:t>
      </w:r>
      <w:r w:rsidR="00A63FD9">
        <w:rPr>
          <w:rFonts w:ascii="CenturyExpandedBT-Roman" w:eastAsia="Calibri" w:hAnsi="CenturyExpandedBT-Roman" w:cs="CenturyExpandedBT-Roman"/>
          <w:szCs w:val="24"/>
        </w:rPr>
        <w:t>.</w:t>
      </w:r>
      <w:r w:rsidR="003E7078">
        <w:rPr>
          <w:rFonts w:ascii="CenturyExpandedBT-Roman" w:eastAsia="Calibri" w:hAnsi="CenturyExpandedBT-Roman" w:cs="CenturyExpandedBT-Roman"/>
          <w:szCs w:val="24"/>
        </w:rPr>
        <w:t>)</w:t>
      </w:r>
      <w:r w:rsidR="007D5C89" w:rsidRPr="00225530">
        <w:rPr>
          <w:rFonts w:ascii="CenturyExpandedBT-Roman" w:eastAsia="Calibri" w:hAnsi="CenturyExpandedBT-Roman" w:cs="CenturyExpandedBT-Roman"/>
          <w:szCs w:val="24"/>
        </w:rPr>
        <w:t xml:space="preserve"> Because Congress expressly vested the Department with authority to implement the ADA through regulations and technical assistance, the Department’s interpretation of Title II must be accorded “controlling weight unless it is ‘arbitrary, capricious, or manif</w:t>
      </w:r>
      <w:r w:rsidR="00C62E1A">
        <w:rPr>
          <w:rFonts w:ascii="CenturyExpandedBT-Roman" w:eastAsia="Calibri" w:hAnsi="CenturyExpandedBT-Roman" w:cs="CenturyExpandedBT-Roman"/>
          <w:szCs w:val="24"/>
        </w:rPr>
        <w:t>estly contrary to the statute.’</w:t>
      </w:r>
      <w:r w:rsidR="007D5C89" w:rsidRPr="00225530">
        <w:rPr>
          <w:rFonts w:ascii="CenturyExpandedBT-Roman" w:eastAsia="Calibri" w:hAnsi="CenturyExpandedBT-Roman" w:cs="CenturyExpandedBT-Roman"/>
          <w:szCs w:val="24"/>
        </w:rPr>
        <w:t xml:space="preserve">” </w:t>
      </w:r>
      <w:r w:rsidR="007D5C89" w:rsidRPr="00225530">
        <w:rPr>
          <w:rFonts w:ascii="CenturyExpandedBT-Italic" w:eastAsia="Calibri" w:hAnsi="CenturyExpandedBT-Italic" w:cs="CenturyExpandedBT-Italic"/>
          <w:i/>
          <w:iCs/>
          <w:szCs w:val="24"/>
        </w:rPr>
        <w:t>ABF Freight Sys., Inc.</w:t>
      </w:r>
      <w:r w:rsidR="007D5C89" w:rsidRPr="003E7078">
        <w:rPr>
          <w:rFonts w:ascii="CenturyExpandedBT-Italic" w:eastAsia="Calibri" w:hAnsi="CenturyExpandedBT-Italic" w:cs="CenturyExpandedBT-Italic"/>
          <w:i/>
          <w:iCs/>
          <w:szCs w:val="24"/>
        </w:rPr>
        <w:t xml:space="preserve"> </w:t>
      </w:r>
      <w:r w:rsidR="007D5C89" w:rsidRPr="003E7078">
        <w:rPr>
          <w:rFonts w:ascii="CenturyExpandedBT-Roman" w:eastAsia="Calibri" w:hAnsi="CenturyExpandedBT-Roman" w:cs="CenturyExpandedBT-Roman"/>
          <w:i/>
          <w:szCs w:val="24"/>
        </w:rPr>
        <w:t xml:space="preserve">v. </w:t>
      </w:r>
      <w:r w:rsidR="007D5C89" w:rsidRPr="00225530">
        <w:rPr>
          <w:rFonts w:ascii="CenturyExpandedBT-Italic" w:eastAsia="Calibri" w:hAnsi="CenturyExpandedBT-Italic" w:cs="CenturyExpandedBT-Italic"/>
          <w:i/>
          <w:iCs/>
          <w:szCs w:val="24"/>
        </w:rPr>
        <w:t>NLRB</w:t>
      </w:r>
      <w:r w:rsidR="007D5C89" w:rsidRPr="00225530">
        <w:rPr>
          <w:rFonts w:ascii="CenturyExpandedBT-Roman" w:eastAsia="Calibri" w:hAnsi="CenturyExpandedBT-Roman" w:cs="CenturyExpandedBT-Roman"/>
          <w:szCs w:val="24"/>
        </w:rPr>
        <w:t xml:space="preserve">, 510 U.S. 317, 324 (1994) (quoting </w:t>
      </w:r>
      <w:r w:rsidR="007D5C89" w:rsidRPr="00225530">
        <w:rPr>
          <w:rFonts w:ascii="CenturyExpandedBT-Italic" w:eastAsia="Calibri" w:hAnsi="CenturyExpandedBT-Italic" w:cs="CenturyExpandedBT-Italic"/>
          <w:i/>
          <w:iCs/>
          <w:szCs w:val="24"/>
        </w:rPr>
        <w:t>Chevron</w:t>
      </w:r>
      <w:r w:rsidR="007D5C89" w:rsidRPr="00225530">
        <w:rPr>
          <w:rFonts w:ascii="CenturyExpandedBT-Roman" w:eastAsia="Calibri" w:hAnsi="CenturyExpandedBT-Roman" w:cs="CenturyExpandedBT-Roman"/>
          <w:szCs w:val="24"/>
        </w:rPr>
        <w:t xml:space="preserve">, 467 U.S. </w:t>
      </w:r>
      <w:r w:rsidR="004F33A7">
        <w:rPr>
          <w:rFonts w:ascii="CenturyExpandedBT-Roman" w:eastAsia="Calibri" w:hAnsi="CenturyExpandedBT-Roman" w:cs="CenturyExpandedBT-Roman"/>
          <w:szCs w:val="24"/>
        </w:rPr>
        <w:t>at</w:t>
      </w:r>
      <w:r w:rsidR="007D5C89" w:rsidRPr="00225530">
        <w:rPr>
          <w:rFonts w:ascii="CenturyExpandedBT-Roman" w:eastAsia="Calibri" w:hAnsi="CenturyExpandedBT-Roman" w:cs="CenturyExpandedBT-Roman"/>
          <w:szCs w:val="24"/>
        </w:rPr>
        <w:t xml:space="preserve"> 844); </w:t>
      </w:r>
      <w:r w:rsidR="007D5C89" w:rsidRPr="003E7078">
        <w:rPr>
          <w:rFonts w:ascii="CenturyExpandedBT-Roman" w:eastAsia="Calibri" w:hAnsi="CenturyExpandedBT-Roman" w:cs="CenturyExpandedBT-Roman"/>
          <w:i/>
          <w:szCs w:val="24"/>
        </w:rPr>
        <w:t xml:space="preserve">see </w:t>
      </w:r>
      <w:proofErr w:type="spellStart"/>
      <w:r w:rsidR="007D5C89" w:rsidRPr="003E7078">
        <w:rPr>
          <w:rFonts w:ascii="CenturyExpandedBT-Italic" w:eastAsia="Calibri" w:hAnsi="CenturyExpandedBT-Italic" w:cs="CenturyExpandedBT-Italic"/>
          <w:i/>
          <w:iCs/>
          <w:szCs w:val="24"/>
        </w:rPr>
        <w:t>Bragdon</w:t>
      </w:r>
      <w:proofErr w:type="spellEnd"/>
      <w:r w:rsidR="007D5C89" w:rsidRPr="00225530">
        <w:rPr>
          <w:rFonts w:ascii="CenturyExpandedBT-Roman" w:eastAsia="Calibri" w:hAnsi="CenturyExpandedBT-Roman" w:cs="CenturyExpandedBT-Roman"/>
          <w:szCs w:val="24"/>
        </w:rPr>
        <w:t xml:space="preserve">, 524 U.S. </w:t>
      </w:r>
      <w:r w:rsidR="00A63FD9">
        <w:rPr>
          <w:rFonts w:ascii="CenturyExpandedBT-Roman" w:eastAsia="Calibri" w:hAnsi="CenturyExpandedBT-Roman" w:cs="CenturyExpandedBT-Roman"/>
          <w:szCs w:val="24"/>
        </w:rPr>
        <w:t>at</w:t>
      </w:r>
      <w:r w:rsidR="007D5C89" w:rsidRPr="00225530">
        <w:rPr>
          <w:rFonts w:ascii="CenturyExpandedBT-Roman" w:eastAsia="Calibri" w:hAnsi="CenturyExpandedBT-Roman" w:cs="CenturyExpandedBT-Roman"/>
          <w:szCs w:val="24"/>
        </w:rPr>
        <w:t xml:space="preserve"> 646 (recognizing that “the Department’s views are entitled to deference”); </w:t>
      </w:r>
      <w:r w:rsidR="007D5C89" w:rsidRPr="003E7078">
        <w:rPr>
          <w:rFonts w:ascii="CenturyExpandedBT-Italic" w:eastAsia="Calibri" w:hAnsi="CenturyExpandedBT-Italic" w:cs="CenturyExpandedBT-Italic"/>
          <w:i/>
          <w:iCs/>
          <w:szCs w:val="24"/>
        </w:rPr>
        <w:t xml:space="preserve">Johnson </w:t>
      </w:r>
      <w:r w:rsidR="007D5C89" w:rsidRPr="003E7078">
        <w:rPr>
          <w:rFonts w:ascii="CenturyExpandedBT-Roman" w:eastAsia="Calibri" w:hAnsi="CenturyExpandedBT-Roman" w:cs="CenturyExpandedBT-Roman"/>
          <w:i/>
          <w:szCs w:val="24"/>
        </w:rPr>
        <w:t>v.</w:t>
      </w:r>
      <w:r w:rsidR="007D5C89" w:rsidRPr="00225530">
        <w:rPr>
          <w:rFonts w:ascii="CenturyExpandedBT-Roman" w:eastAsia="Calibri" w:hAnsi="CenturyExpandedBT-Roman" w:cs="CenturyExpandedBT-Roman"/>
          <w:szCs w:val="24"/>
        </w:rPr>
        <w:t xml:space="preserve"> </w:t>
      </w:r>
      <w:r w:rsidR="007D5C89" w:rsidRPr="00225530">
        <w:rPr>
          <w:rFonts w:ascii="CenturyExpandedBT-Italic" w:eastAsia="Calibri" w:hAnsi="CenturyExpandedBT-Italic" w:cs="CenturyExpandedBT-Italic"/>
          <w:i/>
          <w:iCs/>
          <w:szCs w:val="24"/>
        </w:rPr>
        <w:t>City of Saline</w:t>
      </w:r>
      <w:r w:rsidR="007D5C89" w:rsidRPr="00225530">
        <w:rPr>
          <w:rFonts w:ascii="CenturyExpandedBT-Roman" w:eastAsia="Calibri" w:hAnsi="CenturyExpandedBT-Roman" w:cs="CenturyExpandedBT-Roman"/>
          <w:szCs w:val="24"/>
        </w:rPr>
        <w:t xml:space="preserve">, 151 F.3d 564, 570 (6th Cir. 1998) (granting deference to </w:t>
      </w:r>
      <w:r w:rsidR="007D5C89" w:rsidRPr="00225530">
        <w:rPr>
          <w:rFonts w:ascii="CenturyExpandedBT-Italic" w:eastAsia="Calibri" w:hAnsi="CenturyExpandedBT-Italic" w:cs="CenturyExpandedBT-Italic"/>
          <w:i/>
          <w:iCs/>
          <w:szCs w:val="24"/>
        </w:rPr>
        <w:t>Title II Technical Assistance</w:t>
      </w:r>
      <w:r w:rsidR="007D5C89" w:rsidRPr="00225530">
        <w:rPr>
          <w:rFonts w:ascii="CenturyExpandedBT-Roman" w:eastAsia="Calibri" w:hAnsi="CenturyExpandedBT-Roman" w:cs="CenturyExpandedBT-Roman"/>
          <w:szCs w:val="24"/>
        </w:rPr>
        <w:t xml:space="preserve">). The Department’s conclusion that Title II extends to all law enforcement activities follows from the text and history of the statute and definitively establishes that Title II applies to arrests. </w:t>
      </w:r>
    </w:p>
    <w:p w:rsidR="00037EB3" w:rsidRDefault="00037EB3" w:rsidP="00037EB3">
      <w:pPr>
        <w:rPr>
          <w:rFonts w:ascii="CenturyExpandedBT-Bold" w:eastAsia="Calibri" w:hAnsi="CenturyExpandedBT-Bold" w:cs="CenturyExpandedBT-Bold"/>
          <w:b/>
          <w:bCs/>
          <w:szCs w:val="24"/>
        </w:rPr>
      </w:pPr>
      <w:r>
        <w:rPr>
          <w:rFonts w:ascii="CenturyExpandedBT-Roman" w:eastAsia="Calibri" w:hAnsi="CenturyExpandedBT-Roman" w:cs="CenturyExpandedBT-Roman"/>
          <w:szCs w:val="24"/>
        </w:rPr>
        <w:tab/>
        <w:t xml:space="preserve">2. </w:t>
      </w:r>
      <w:r>
        <w:rPr>
          <w:rFonts w:ascii="CenturyExpandedBT-Roman" w:eastAsia="Calibri" w:hAnsi="CenturyExpandedBT-Roman" w:cs="CenturyExpandedBT-Roman"/>
          <w:szCs w:val="24"/>
        </w:rPr>
        <w:tab/>
      </w:r>
      <w:r w:rsidRPr="00225530">
        <w:rPr>
          <w:rFonts w:ascii="CenturyExpandedBT-Bold" w:eastAsia="Calibri" w:hAnsi="CenturyExpandedBT-Bold" w:cs="CenturyExpandedBT-Bold"/>
          <w:b/>
          <w:bCs/>
          <w:szCs w:val="24"/>
        </w:rPr>
        <w:t xml:space="preserve">Defendant’s Assertion that Arrests </w:t>
      </w:r>
      <w:r>
        <w:rPr>
          <w:rFonts w:ascii="CenturyExpandedBT-Bold" w:eastAsia="Calibri" w:hAnsi="CenturyExpandedBT-Bold" w:cs="CenturyExpandedBT-Bold"/>
          <w:b/>
          <w:bCs/>
          <w:szCs w:val="24"/>
        </w:rPr>
        <w:t>Do Not Fall Within the Scope of Title II</w:t>
      </w:r>
      <w:r w:rsidRPr="00225530">
        <w:rPr>
          <w:rFonts w:ascii="CenturyExpandedBT-Bold" w:eastAsia="Calibri" w:hAnsi="CenturyExpandedBT-Bold" w:cs="CenturyExpandedBT-Bold"/>
          <w:b/>
          <w:bCs/>
          <w:szCs w:val="24"/>
        </w:rPr>
        <w:t xml:space="preserve"> </w:t>
      </w:r>
      <w:r>
        <w:rPr>
          <w:rFonts w:ascii="CenturyExpandedBT-Bold" w:eastAsia="Calibri" w:hAnsi="CenturyExpandedBT-Bold" w:cs="CenturyExpandedBT-Bold"/>
          <w:b/>
          <w:bCs/>
          <w:szCs w:val="24"/>
        </w:rPr>
        <w:tab/>
      </w:r>
      <w:r>
        <w:rPr>
          <w:rFonts w:ascii="CenturyExpandedBT-Bold" w:eastAsia="Calibri" w:hAnsi="CenturyExpandedBT-Bold" w:cs="CenturyExpandedBT-Bold"/>
          <w:b/>
          <w:bCs/>
          <w:szCs w:val="24"/>
        </w:rPr>
        <w:tab/>
      </w:r>
      <w:r>
        <w:rPr>
          <w:rFonts w:ascii="CenturyExpandedBT-Bold" w:eastAsia="Calibri" w:hAnsi="CenturyExpandedBT-Bold" w:cs="CenturyExpandedBT-Bold"/>
          <w:b/>
          <w:bCs/>
          <w:szCs w:val="24"/>
        </w:rPr>
        <w:tab/>
      </w:r>
      <w:r w:rsidRPr="00225530">
        <w:rPr>
          <w:rFonts w:ascii="CenturyExpandedBT-Bold" w:eastAsia="Calibri" w:hAnsi="CenturyExpandedBT-Bold" w:cs="CenturyExpandedBT-Bold"/>
          <w:b/>
          <w:bCs/>
          <w:szCs w:val="24"/>
        </w:rPr>
        <w:t>Is Clearly Erroneous</w:t>
      </w:r>
    </w:p>
    <w:p w:rsidR="00037EB3" w:rsidRPr="00225530" w:rsidRDefault="00037EB3" w:rsidP="00037EB3">
      <w:pPr>
        <w:rPr>
          <w:rFonts w:ascii="CenturyExpandedBT-Bold" w:eastAsia="Calibri" w:hAnsi="CenturyExpandedBT-Bold" w:cs="CenturyExpandedBT-Bold"/>
          <w:b/>
          <w:bCs/>
          <w:szCs w:val="24"/>
        </w:rPr>
      </w:pPr>
    </w:p>
    <w:p w:rsidR="009C1182" w:rsidRDefault="00037EB3" w:rsidP="00037EB3">
      <w:pPr>
        <w:spacing w:line="480" w:lineRule="auto"/>
        <w:rPr>
          <w:rFonts w:ascii="CenturyExpandedBT-Bold" w:eastAsia="Calibri" w:hAnsi="CenturyExpandedBT-Bold" w:cs="CenturyExpandedBT-Bold"/>
          <w:bCs/>
          <w:szCs w:val="24"/>
        </w:rPr>
      </w:pPr>
      <w:r w:rsidRPr="00225530">
        <w:rPr>
          <w:rFonts w:ascii="CenturyExpandedBT-Bold" w:eastAsia="Calibri" w:hAnsi="CenturyExpandedBT-Bold" w:cs="CenturyExpandedBT-Bold"/>
          <w:b/>
          <w:bCs/>
          <w:szCs w:val="24"/>
        </w:rPr>
        <w:tab/>
      </w:r>
      <w:r w:rsidR="009C1182">
        <w:rPr>
          <w:rFonts w:ascii="CenturyExpandedBT-Bold" w:eastAsia="Calibri" w:hAnsi="CenturyExpandedBT-Bold" w:cs="CenturyExpandedBT-Bold"/>
          <w:bCs/>
          <w:szCs w:val="24"/>
        </w:rPr>
        <w:t xml:space="preserve">The Second Circuit has yet to address the question of whether </w:t>
      </w:r>
      <w:r w:rsidR="00F7329B">
        <w:rPr>
          <w:rFonts w:ascii="CenturyExpandedBT-Bold" w:eastAsia="Calibri" w:hAnsi="CenturyExpandedBT-Bold" w:cs="CenturyExpandedBT-Bold"/>
          <w:bCs/>
          <w:szCs w:val="24"/>
        </w:rPr>
        <w:t xml:space="preserve">Title II’s antidiscrimination mandate applies to arrests. </w:t>
      </w:r>
      <w:r w:rsidR="009C1182">
        <w:rPr>
          <w:rFonts w:ascii="CenturyExpandedBT-Bold" w:eastAsia="Calibri" w:hAnsi="CenturyExpandedBT-Bold" w:cs="CenturyExpandedBT-Bold"/>
          <w:bCs/>
          <w:szCs w:val="24"/>
        </w:rPr>
        <w:t xml:space="preserve"> </w:t>
      </w:r>
      <w:r w:rsidR="0010781D">
        <w:rPr>
          <w:rFonts w:ascii="CenturyExpandedBT-Bold" w:eastAsia="Calibri" w:hAnsi="CenturyExpandedBT-Bold" w:cs="CenturyExpandedBT-Bold"/>
          <w:bCs/>
          <w:i/>
          <w:szCs w:val="24"/>
        </w:rPr>
        <w:t xml:space="preserve">See </w:t>
      </w:r>
      <w:proofErr w:type="spellStart"/>
      <w:r w:rsidR="007B724A">
        <w:rPr>
          <w:rFonts w:ascii="CenturyExpandedBT-Bold" w:eastAsia="Calibri" w:hAnsi="CenturyExpandedBT-Bold" w:cs="CenturyExpandedBT-Bold"/>
          <w:bCs/>
          <w:i/>
          <w:szCs w:val="24"/>
        </w:rPr>
        <w:t>Valanzuolo</w:t>
      </w:r>
      <w:proofErr w:type="spellEnd"/>
      <w:r w:rsidR="007B724A">
        <w:rPr>
          <w:rFonts w:ascii="CenturyExpandedBT-Bold" w:eastAsia="Calibri" w:hAnsi="CenturyExpandedBT-Bold" w:cs="CenturyExpandedBT-Bold"/>
          <w:bCs/>
          <w:i/>
          <w:szCs w:val="24"/>
        </w:rPr>
        <w:t xml:space="preserve"> v. City of New Haven</w:t>
      </w:r>
      <w:r w:rsidR="007B724A">
        <w:rPr>
          <w:rFonts w:ascii="CenturyExpandedBT-Bold" w:eastAsia="Calibri" w:hAnsi="CenturyExpandedBT-Bold" w:cs="CenturyExpandedBT-Bold"/>
          <w:bCs/>
          <w:szCs w:val="24"/>
        </w:rPr>
        <w:t xml:space="preserve">, 972 F. Supp. 2d 263, 273 (D. Conn. 2013) (noting that the Second Circuit has not decided the issue); </w:t>
      </w:r>
      <w:r w:rsidR="0010781D">
        <w:rPr>
          <w:rFonts w:ascii="CenturyExpandedBT-Bold" w:eastAsia="Calibri" w:hAnsi="CenturyExpandedBT-Bold" w:cs="CenturyExpandedBT-Bold"/>
          <w:bCs/>
          <w:i/>
          <w:szCs w:val="24"/>
        </w:rPr>
        <w:t>Ryan v. Vermont State Police</w:t>
      </w:r>
      <w:r w:rsidR="0010781D">
        <w:rPr>
          <w:rFonts w:ascii="CenturyExpandedBT-Bold" w:eastAsia="Calibri" w:hAnsi="CenturyExpandedBT-Bold" w:cs="CenturyExpandedBT-Bold"/>
          <w:bCs/>
          <w:szCs w:val="24"/>
        </w:rPr>
        <w:t xml:space="preserve">, 667 F. Supp. 2d 378, 386 (D. Vt. 2009) (same). </w:t>
      </w:r>
      <w:r w:rsidR="009C1182">
        <w:rPr>
          <w:rFonts w:ascii="CenturyExpandedBT-Bold" w:eastAsia="Calibri" w:hAnsi="CenturyExpandedBT-Bold" w:cs="CenturyExpandedBT-Bold"/>
          <w:bCs/>
          <w:szCs w:val="24"/>
        </w:rPr>
        <w:t xml:space="preserve">That said, the Second Circuit has generally read the ADA broadly, </w:t>
      </w:r>
      <w:r w:rsidR="009C1182">
        <w:rPr>
          <w:rFonts w:ascii="CenturyExpandedBT-Bold" w:eastAsia="Calibri" w:hAnsi="CenturyExpandedBT-Bold" w:cs="CenturyExpandedBT-Bold"/>
          <w:bCs/>
          <w:i/>
          <w:szCs w:val="24"/>
        </w:rPr>
        <w:t>see, e.g.</w:t>
      </w:r>
      <w:r w:rsidR="009C1182">
        <w:rPr>
          <w:rFonts w:ascii="CenturyExpandedBT-Bold" w:eastAsia="Calibri" w:hAnsi="CenturyExpandedBT-Bold" w:cs="CenturyExpandedBT-Bold"/>
          <w:bCs/>
          <w:szCs w:val="24"/>
        </w:rPr>
        <w:t xml:space="preserve">, </w:t>
      </w:r>
      <w:r w:rsidR="009C1182" w:rsidRPr="00225530">
        <w:rPr>
          <w:i/>
          <w:szCs w:val="24"/>
        </w:rPr>
        <w:t>Henrietta D.</w:t>
      </w:r>
      <w:r w:rsidR="009C1182" w:rsidRPr="00225530">
        <w:rPr>
          <w:szCs w:val="24"/>
        </w:rPr>
        <w:t xml:space="preserve">, 331 F.3d </w:t>
      </w:r>
      <w:r w:rsidR="009C1182">
        <w:rPr>
          <w:szCs w:val="24"/>
        </w:rPr>
        <w:t xml:space="preserve">at 279, and specifically </w:t>
      </w:r>
      <w:r w:rsidR="009C1182">
        <w:rPr>
          <w:rFonts w:ascii="CenturyExpandedBT-Bold" w:eastAsia="Calibri" w:hAnsi="CenturyExpandedBT-Bold" w:cs="CenturyExpandedBT-Bold"/>
          <w:bCs/>
          <w:szCs w:val="24"/>
        </w:rPr>
        <w:t xml:space="preserve">interpreted Title II to </w:t>
      </w:r>
      <w:r w:rsidR="009C1182" w:rsidRPr="00225530">
        <w:rPr>
          <w:szCs w:val="24"/>
        </w:rPr>
        <w:t>reach “</w:t>
      </w:r>
      <w:r w:rsidR="009C1182" w:rsidRPr="009C1182">
        <w:rPr>
          <w:i/>
          <w:szCs w:val="24"/>
        </w:rPr>
        <w:t>all</w:t>
      </w:r>
      <w:r w:rsidR="009C1182" w:rsidRPr="00225530">
        <w:rPr>
          <w:szCs w:val="24"/>
        </w:rPr>
        <w:t xml:space="preserve"> </w:t>
      </w:r>
      <w:r w:rsidR="00ED2966">
        <w:rPr>
          <w:szCs w:val="24"/>
        </w:rPr>
        <w:t xml:space="preserve">discrimination based on disability by public entities.” </w:t>
      </w:r>
      <w:r w:rsidR="00ED2966">
        <w:rPr>
          <w:i/>
          <w:szCs w:val="24"/>
        </w:rPr>
        <w:t>RECAP</w:t>
      </w:r>
      <w:r w:rsidR="00ED2966">
        <w:rPr>
          <w:szCs w:val="24"/>
        </w:rPr>
        <w:t>, 294 F.3d at 45</w:t>
      </w:r>
      <w:r w:rsidR="005E7FE5">
        <w:rPr>
          <w:szCs w:val="24"/>
        </w:rPr>
        <w:t xml:space="preserve"> (emphasis added)</w:t>
      </w:r>
      <w:r w:rsidR="00ED2966">
        <w:rPr>
          <w:szCs w:val="24"/>
        </w:rPr>
        <w:t xml:space="preserve">. </w:t>
      </w:r>
      <w:r w:rsidR="009C1182">
        <w:rPr>
          <w:szCs w:val="24"/>
        </w:rPr>
        <w:t>Consist</w:t>
      </w:r>
      <w:r w:rsidR="002C7218">
        <w:rPr>
          <w:szCs w:val="24"/>
        </w:rPr>
        <w:t xml:space="preserve">ent with these principles, the court in </w:t>
      </w:r>
      <w:proofErr w:type="spellStart"/>
      <w:r w:rsidR="002C7218">
        <w:rPr>
          <w:i/>
          <w:szCs w:val="24"/>
        </w:rPr>
        <w:t>Valanzuolo</w:t>
      </w:r>
      <w:proofErr w:type="spellEnd"/>
      <w:r w:rsidR="002C7218">
        <w:rPr>
          <w:i/>
          <w:szCs w:val="24"/>
        </w:rPr>
        <w:t xml:space="preserve"> </w:t>
      </w:r>
      <w:r w:rsidR="002C7218">
        <w:rPr>
          <w:szCs w:val="24"/>
        </w:rPr>
        <w:t xml:space="preserve">concluded that the arresting officers had provided reasonable modifications to their practices by communicating with the plaintiff using pad and pencil, and giving the plaintiff an opportunity to read the arrest warrant. Thus, the court noted, “while there are times when a sign language interpreter is necessary to establish effective communication with a hearing-impaired arrestee . . . it is clear that effective communication occurred at the time of plaintiff’s arrest.” </w:t>
      </w:r>
      <w:proofErr w:type="spellStart"/>
      <w:r w:rsidR="002C7218">
        <w:rPr>
          <w:i/>
          <w:szCs w:val="24"/>
        </w:rPr>
        <w:t>Valanzuolo</w:t>
      </w:r>
      <w:proofErr w:type="spellEnd"/>
      <w:r w:rsidR="002C7218">
        <w:rPr>
          <w:szCs w:val="24"/>
        </w:rPr>
        <w:t xml:space="preserve">, 972 F. Supp. 2d at 279.  </w:t>
      </w:r>
      <w:r w:rsidR="00DD636B">
        <w:rPr>
          <w:szCs w:val="24"/>
        </w:rPr>
        <w:t xml:space="preserve">The court in </w:t>
      </w:r>
      <w:r w:rsidR="0010781D">
        <w:rPr>
          <w:i/>
          <w:szCs w:val="24"/>
        </w:rPr>
        <w:t>Ryan</w:t>
      </w:r>
      <w:r w:rsidR="00DD636B">
        <w:rPr>
          <w:i/>
          <w:szCs w:val="24"/>
        </w:rPr>
        <w:t xml:space="preserve"> </w:t>
      </w:r>
      <w:r w:rsidR="00DD636B">
        <w:rPr>
          <w:szCs w:val="24"/>
        </w:rPr>
        <w:t xml:space="preserve">declined to decide whether Title II applied at the time of arrest, although assumed </w:t>
      </w:r>
      <w:r w:rsidR="00DD636B">
        <w:rPr>
          <w:i/>
          <w:szCs w:val="24"/>
        </w:rPr>
        <w:t xml:space="preserve">arguendo </w:t>
      </w:r>
      <w:r w:rsidR="00DD636B">
        <w:rPr>
          <w:szCs w:val="24"/>
        </w:rPr>
        <w:t xml:space="preserve">that it did, and granted summary judgment on other grounds. </w:t>
      </w:r>
      <w:r w:rsidR="00DD636B">
        <w:rPr>
          <w:i/>
          <w:szCs w:val="24"/>
        </w:rPr>
        <w:t>See Ryan</w:t>
      </w:r>
      <w:r w:rsidR="0010781D">
        <w:rPr>
          <w:szCs w:val="24"/>
        </w:rPr>
        <w:t>, 667 F. Supp. 2d at 386-87</w:t>
      </w:r>
      <w:r w:rsidR="00DD636B">
        <w:rPr>
          <w:szCs w:val="24"/>
        </w:rPr>
        <w:t xml:space="preserve">. However, the </w:t>
      </w:r>
      <w:r w:rsidR="00DD636B">
        <w:rPr>
          <w:i/>
          <w:szCs w:val="24"/>
        </w:rPr>
        <w:t>Ryan</w:t>
      </w:r>
      <w:r w:rsidR="00DD636B">
        <w:rPr>
          <w:szCs w:val="24"/>
        </w:rPr>
        <w:t xml:space="preserve"> court squarely ruled that “[t]he ADA does impose a duty on law enforcement to provide arrestees who are disabled with reasonable accommodations once an arrest of a disabled person has been accomplished.” </w:t>
      </w:r>
      <w:r w:rsidR="00DD636B">
        <w:rPr>
          <w:i/>
          <w:szCs w:val="24"/>
        </w:rPr>
        <w:t>Id.</w:t>
      </w:r>
      <w:r w:rsidR="00DD636B">
        <w:rPr>
          <w:szCs w:val="24"/>
        </w:rPr>
        <w:t xml:space="preserve"> at 389. </w:t>
      </w:r>
      <w:r w:rsidR="0010781D">
        <w:rPr>
          <w:szCs w:val="24"/>
        </w:rPr>
        <w:t xml:space="preserve"> </w:t>
      </w:r>
      <w:r w:rsidR="002C7218">
        <w:rPr>
          <w:szCs w:val="24"/>
        </w:rPr>
        <w:t>In this case, by contrast, there is no evidence of any reasonable modification provided to Williams at any point during her interactions with the NYPD Officers.</w:t>
      </w:r>
    </w:p>
    <w:p w:rsidR="00064A04" w:rsidRPr="000B7927" w:rsidRDefault="009C1182" w:rsidP="00037EB3">
      <w:pPr>
        <w:spacing w:line="480" w:lineRule="auto"/>
        <w:rPr>
          <w:rFonts w:ascii="CenturyExpandedBT-Bold" w:eastAsia="Calibri" w:hAnsi="CenturyExpandedBT-Bold" w:cs="CenturyExpandedBT-Bold"/>
          <w:bCs/>
          <w:szCs w:val="24"/>
        </w:rPr>
      </w:pPr>
      <w:r>
        <w:rPr>
          <w:rFonts w:ascii="CenturyExpandedBT-Bold" w:eastAsia="Calibri" w:hAnsi="CenturyExpandedBT-Bold" w:cs="CenturyExpandedBT-Bold"/>
          <w:bCs/>
          <w:szCs w:val="24"/>
        </w:rPr>
        <w:tab/>
        <w:t>D</w:t>
      </w:r>
      <w:r w:rsidR="00037EB3">
        <w:rPr>
          <w:rFonts w:ascii="CenturyExpandedBT-Bold" w:eastAsia="Calibri" w:hAnsi="CenturyExpandedBT-Bold" w:cs="CenturyExpandedBT-Bold"/>
          <w:bCs/>
          <w:szCs w:val="24"/>
        </w:rPr>
        <w:t>efendant contends that “[s]</w:t>
      </w:r>
      <w:proofErr w:type="spellStart"/>
      <w:r w:rsidR="00037EB3">
        <w:rPr>
          <w:rFonts w:ascii="CenturyExpandedBT-Bold" w:eastAsia="Calibri" w:hAnsi="CenturyExpandedBT-Bold" w:cs="CenturyExpandedBT-Bold"/>
          <w:bCs/>
          <w:szCs w:val="24"/>
        </w:rPr>
        <w:t>ome</w:t>
      </w:r>
      <w:proofErr w:type="spellEnd"/>
      <w:r w:rsidR="00037EB3">
        <w:rPr>
          <w:rFonts w:ascii="CenturyExpandedBT-Bold" w:eastAsia="Calibri" w:hAnsi="CenturyExpandedBT-Bold" w:cs="CenturyExpandedBT-Bold"/>
          <w:bCs/>
          <w:szCs w:val="24"/>
        </w:rPr>
        <w:t xml:space="preserve"> courts have simply found that such street encounters are not covered ‘services, progra</w:t>
      </w:r>
      <w:r w:rsidR="00064A04">
        <w:rPr>
          <w:rFonts w:ascii="CenturyExpandedBT-Bold" w:eastAsia="Calibri" w:hAnsi="CenturyExpandedBT-Bold" w:cs="CenturyExpandedBT-Bold"/>
          <w:bCs/>
          <w:szCs w:val="24"/>
        </w:rPr>
        <w:t>ms or activities’ under the ADA.</w:t>
      </w:r>
      <w:r w:rsidR="00037EB3">
        <w:rPr>
          <w:rFonts w:ascii="CenturyExpandedBT-Bold" w:eastAsia="Calibri" w:hAnsi="CenturyExpandedBT-Bold" w:cs="CenturyExpandedBT-Bold"/>
          <w:bCs/>
          <w:szCs w:val="24"/>
        </w:rPr>
        <w:t>” (Def. Br. at 10</w:t>
      </w:r>
      <w:r w:rsidR="00064A04">
        <w:rPr>
          <w:rFonts w:ascii="CenturyExpandedBT-Bold" w:eastAsia="Calibri" w:hAnsi="CenturyExpandedBT-Bold" w:cs="CenturyExpandedBT-Bold"/>
          <w:bCs/>
          <w:szCs w:val="24"/>
        </w:rPr>
        <w:t>.</w:t>
      </w:r>
      <w:r w:rsidR="00037EB3">
        <w:rPr>
          <w:rFonts w:ascii="CenturyExpandedBT-Bold" w:eastAsia="Calibri" w:hAnsi="CenturyExpandedBT-Bold" w:cs="CenturyExpandedBT-Bold"/>
          <w:bCs/>
          <w:szCs w:val="24"/>
        </w:rPr>
        <w:t xml:space="preserve">) As the authority cited above demonstrates, however, the statute </w:t>
      </w:r>
      <w:r w:rsidR="00F7329B">
        <w:rPr>
          <w:rFonts w:ascii="CenturyExpandedBT-Bold" w:eastAsia="Calibri" w:hAnsi="CenturyExpandedBT-Bold" w:cs="CenturyExpandedBT-Bold"/>
          <w:bCs/>
          <w:szCs w:val="24"/>
        </w:rPr>
        <w:t xml:space="preserve">applies to “all discrimination,” </w:t>
      </w:r>
      <w:r w:rsidR="00F7329B">
        <w:rPr>
          <w:rFonts w:ascii="CenturyExpandedBT-Bold" w:eastAsia="Calibri" w:hAnsi="CenturyExpandedBT-Bold" w:cs="CenturyExpandedBT-Bold"/>
          <w:bCs/>
          <w:i/>
          <w:szCs w:val="24"/>
        </w:rPr>
        <w:t>RECAP</w:t>
      </w:r>
      <w:r w:rsidR="00F7329B">
        <w:rPr>
          <w:rFonts w:ascii="CenturyExpandedBT-Bold" w:eastAsia="Calibri" w:hAnsi="CenturyExpandedBT-Bold" w:cs="CenturyExpandedBT-Bold"/>
          <w:bCs/>
          <w:szCs w:val="24"/>
        </w:rPr>
        <w:t>, 294 F.3d at 45,</w:t>
      </w:r>
      <w:r w:rsidR="00037EB3">
        <w:rPr>
          <w:rFonts w:ascii="CenturyExpandedBT-Bold" w:eastAsia="Calibri" w:hAnsi="CenturyExpandedBT-Bold" w:cs="CenturyExpandedBT-Bold"/>
          <w:bCs/>
          <w:szCs w:val="24"/>
        </w:rPr>
        <w:t xml:space="preserve"> the legislative history expressly mentions arrests, and the Department of Justice, entrusted by Congress to interpret the statute and provide guidance, has noted </w:t>
      </w:r>
      <w:r w:rsidR="00037EB3" w:rsidRPr="00ED2966">
        <w:rPr>
          <w:rFonts w:eastAsia="Calibri"/>
          <w:bCs/>
          <w:szCs w:val="24"/>
        </w:rPr>
        <w:t xml:space="preserve">on multiple occasions that </w:t>
      </w:r>
      <w:r w:rsidR="00C62E1A">
        <w:rPr>
          <w:rFonts w:eastAsia="Calibri"/>
          <w:bCs/>
          <w:szCs w:val="24"/>
        </w:rPr>
        <w:t xml:space="preserve">the statute </w:t>
      </w:r>
      <w:r w:rsidR="00037EB3" w:rsidRPr="00ED2966">
        <w:rPr>
          <w:rFonts w:eastAsia="Calibri"/>
          <w:bCs/>
          <w:szCs w:val="24"/>
        </w:rPr>
        <w:t xml:space="preserve">applies to arrestees. </w:t>
      </w:r>
      <w:r w:rsidR="00064A04" w:rsidRPr="00ED2966">
        <w:rPr>
          <w:rFonts w:eastAsia="Calibri"/>
          <w:bCs/>
          <w:szCs w:val="24"/>
        </w:rPr>
        <w:t xml:space="preserve"> Many courts have also rejected </w:t>
      </w:r>
      <w:r w:rsidR="00C62E1A">
        <w:rPr>
          <w:rFonts w:eastAsia="Calibri"/>
          <w:bCs/>
          <w:szCs w:val="24"/>
        </w:rPr>
        <w:t>the</w:t>
      </w:r>
      <w:r w:rsidR="00ED2966">
        <w:rPr>
          <w:rFonts w:eastAsia="Calibri"/>
          <w:bCs/>
          <w:szCs w:val="24"/>
        </w:rPr>
        <w:t xml:space="preserve"> very</w:t>
      </w:r>
      <w:r w:rsidR="00064A04" w:rsidRPr="00ED2966">
        <w:rPr>
          <w:rFonts w:eastAsia="Calibri"/>
          <w:bCs/>
          <w:szCs w:val="24"/>
        </w:rPr>
        <w:t xml:space="preserve"> claim</w:t>
      </w:r>
      <w:r w:rsidR="00C62E1A">
        <w:rPr>
          <w:rFonts w:eastAsia="Calibri"/>
          <w:bCs/>
          <w:szCs w:val="24"/>
        </w:rPr>
        <w:t xml:space="preserve"> Defendant now makes</w:t>
      </w:r>
      <w:r w:rsidR="00064A04" w:rsidRPr="00ED2966">
        <w:rPr>
          <w:rFonts w:eastAsia="Calibri"/>
          <w:bCs/>
          <w:szCs w:val="24"/>
        </w:rPr>
        <w:t>.</w:t>
      </w:r>
      <w:r w:rsidR="00D40915" w:rsidRPr="00ED2966">
        <w:rPr>
          <w:rFonts w:eastAsia="Calibri"/>
          <w:bCs/>
          <w:szCs w:val="24"/>
        </w:rPr>
        <w:t xml:space="preserve"> </w:t>
      </w:r>
      <w:r w:rsidR="00D40915" w:rsidRPr="00ED2966">
        <w:rPr>
          <w:rFonts w:eastAsia="Calibri"/>
          <w:bCs/>
          <w:i/>
          <w:szCs w:val="24"/>
        </w:rPr>
        <w:t>See, e.g.</w:t>
      </w:r>
      <w:r w:rsidR="00D40915" w:rsidRPr="00ED2966">
        <w:rPr>
          <w:rFonts w:eastAsia="Calibri"/>
          <w:bCs/>
          <w:szCs w:val="24"/>
        </w:rPr>
        <w:t xml:space="preserve">, </w:t>
      </w:r>
      <w:r w:rsidR="00ED2966">
        <w:rPr>
          <w:rFonts w:ascii="CenturyExpandedBT-Roman" w:eastAsia="Calibri" w:hAnsi="CenturyExpandedBT-Roman" w:cs="CenturyExpandedBT-Roman"/>
          <w:i/>
          <w:szCs w:val="24"/>
        </w:rPr>
        <w:t>Waller v. City of Danville</w:t>
      </w:r>
      <w:r w:rsidR="00ED2966">
        <w:rPr>
          <w:rFonts w:ascii="CenturyExpandedBT-Roman" w:eastAsia="Calibri" w:hAnsi="CenturyExpandedBT-Roman" w:cs="CenturyExpandedBT-Roman"/>
          <w:szCs w:val="24"/>
        </w:rPr>
        <w:t>, 556 F.3d 171, 174 (4</w:t>
      </w:r>
      <w:r w:rsidR="00ED2966" w:rsidRPr="00ED2966">
        <w:rPr>
          <w:rFonts w:ascii="CenturyExpandedBT-Roman" w:eastAsia="Calibri" w:hAnsi="CenturyExpandedBT-Roman" w:cs="CenturyExpandedBT-Roman"/>
          <w:szCs w:val="24"/>
        </w:rPr>
        <w:t>th</w:t>
      </w:r>
      <w:r w:rsidR="00ED2966">
        <w:rPr>
          <w:rFonts w:ascii="CenturyExpandedBT-Roman" w:eastAsia="Calibri" w:hAnsi="CenturyExpandedBT-Roman" w:cs="CenturyExpandedBT-Roman"/>
          <w:szCs w:val="24"/>
        </w:rPr>
        <w:t xml:space="preserve"> Cir. 2009)</w:t>
      </w:r>
      <w:r w:rsidR="00ED2966" w:rsidRPr="00ED2966">
        <w:rPr>
          <w:rFonts w:eastAsia="Calibri"/>
          <w:bCs/>
          <w:szCs w:val="24"/>
        </w:rPr>
        <w:t xml:space="preserve"> (recognizing under ADA Title II, theory of “</w:t>
      </w:r>
      <w:r w:rsidR="00F27097" w:rsidRPr="00ED2966">
        <w:rPr>
          <w:color w:val="000000"/>
          <w:szCs w:val="24"/>
        </w:rPr>
        <w:t>reasonable accommodation, where police properly arrest a suspect but fail to reasonably accommodate his disability during the investigation or arrest, causing him to suffer greater injury or</w:t>
      </w:r>
      <w:r w:rsidR="00ED2966" w:rsidRPr="00ED2966">
        <w:rPr>
          <w:color w:val="000000"/>
          <w:szCs w:val="24"/>
        </w:rPr>
        <w:t xml:space="preserve"> indignity than other arrestees”);</w:t>
      </w:r>
      <w:r w:rsidR="00ED2966" w:rsidRPr="00ED2966">
        <w:rPr>
          <w:rFonts w:eastAsia="Calibri"/>
          <w:bCs/>
          <w:szCs w:val="24"/>
        </w:rPr>
        <w:t xml:space="preserve"> </w:t>
      </w:r>
      <w:proofErr w:type="spellStart"/>
      <w:r w:rsidR="00D40915" w:rsidRPr="00ED2966">
        <w:rPr>
          <w:rFonts w:eastAsia="Calibri"/>
          <w:bCs/>
          <w:i/>
          <w:szCs w:val="24"/>
        </w:rPr>
        <w:t>Goh</w:t>
      </w:r>
      <w:r w:rsidR="00D40915">
        <w:rPr>
          <w:rFonts w:ascii="CenturyExpandedBT-Bold" w:eastAsia="Calibri" w:hAnsi="CenturyExpandedBT-Bold" w:cs="CenturyExpandedBT-Bold"/>
          <w:bCs/>
          <w:i/>
          <w:szCs w:val="24"/>
        </w:rPr>
        <w:t>ier</w:t>
      </w:r>
      <w:proofErr w:type="spellEnd"/>
      <w:r w:rsidR="00D40915">
        <w:rPr>
          <w:rFonts w:ascii="CenturyExpandedBT-Bold" w:eastAsia="Calibri" w:hAnsi="CenturyExpandedBT-Bold" w:cs="CenturyExpandedBT-Bold"/>
          <w:bCs/>
          <w:i/>
          <w:szCs w:val="24"/>
        </w:rPr>
        <w:t xml:space="preserve"> v. Enright</w:t>
      </w:r>
      <w:r w:rsidR="00D40915">
        <w:rPr>
          <w:rFonts w:ascii="CenturyExpandedBT-Bold" w:eastAsia="Calibri" w:hAnsi="CenturyExpandedBT-Bold" w:cs="CenturyExpandedBT-Bold"/>
          <w:bCs/>
          <w:szCs w:val="24"/>
        </w:rPr>
        <w:t>, 186 F.3d 1216, 1221 (10</w:t>
      </w:r>
      <w:r w:rsidR="00D40915" w:rsidRPr="00ED2966">
        <w:rPr>
          <w:rFonts w:ascii="CenturyExpandedBT-Bold" w:eastAsia="Calibri" w:hAnsi="CenturyExpandedBT-Bold" w:cs="CenturyExpandedBT-Bold"/>
          <w:bCs/>
          <w:szCs w:val="24"/>
        </w:rPr>
        <w:t>th</w:t>
      </w:r>
      <w:r w:rsidR="00D40915">
        <w:rPr>
          <w:rFonts w:ascii="CenturyExpandedBT-Bold" w:eastAsia="Calibri" w:hAnsi="CenturyExpandedBT-Bold" w:cs="CenturyExpandedBT-Bold"/>
          <w:bCs/>
          <w:szCs w:val="24"/>
        </w:rPr>
        <w:t xml:space="preserve"> Cir. </w:t>
      </w:r>
      <w:r w:rsidR="000B7927">
        <w:rPr>
          <w:rFonts w:ascii="CenturyExpandedBT-Bold" w:eastAsia="Calibri" w:hAnsi="CenturyExpandedBT-Bold" w:cs="CenturyExpandedBT-Bold"/>
          <w:bCs/>
          <w:szCs w:val="24"/>
        </w:rPr>
        <w:t>1999</w:t>
      </w:r>
      <w:r w:rsidR="00D40915">
        <w:rPr>
          <w:rFonts w:ascii="CenturyExpandedBT-Bold" w:eastAsia="Calibri" w:hAnsi="CenturyExpandedBT-Bold" w:cs="CenturyExpandedBT-Bold"/>
          <w:bCs/>
          <w:szCs w:val="24"/>
        </w:rPr>
        <w:t>) (“[</w:t>
      </w:r>
      <w:r w:rsidR="00F7329B">
        <w:rPr>
          <w:rFonts w:ascii="CenturyExpandedBT-Bold" w:eastAsia="Calibri" w:hAnsi="CenturyExpandedBT-Bold" w:cs="CenturyExpandedBT-Bold"/>
          <w:bCs/>
          <w:szCs w:val="24"/>
        </w:rPr>
        <w:t>A</w:t>
      </w:r>
      <w:r w:rsidR="00D40915">
        <w:rPr>
          <w:rFonts w:ascii="CenturyExpandedBT-Bold" w:eastAsia="Calibri" w:hAnsi="CenturyExpandedBT-Bold" w:cs="CenturyExpandedBT-Bold"/>
          <w:bCs/>
          <w:szCs w:val="24"/>
        </w:rPr>
        <w:t xml:space="preserve">] broad rule categorically excluding arrests from the scope of Title II . . . is not the law.”); </w:t>
      </w:r>
      <w:r w:rsidR="00D40915">
        <w:rPr>
          <w:rFonts w:ascii="CenturyExpandedBT-Bold" w:eastAsia="Calibri" w:hAnsi="CenturyExpandedBT-Bold" w:cs="CenturyExpandedBT-Bold"/>
          <w:bCs/>
          <w:i/>
          <w:szCs w:val="24"/>
        </w:rPr>
        <w:t>Taylor v. City of Mason</w:t>
      </w:r>
      <w:r w:rsidR="00D40915">
        <w:rPr>
          <w:rFonts w:ascii="CenturyExpandedBT-Bold" w:eastAsia="Calibri" w:hAnsi="CenturyExpandedBT-Bold" w:cs="CenturyExpandedBT-Bold"/>
          <w:bCs/>
          <w:szCs w:val="24"/>
        </w:rPr>
        <w:t>, 970 F. Supp. 2d 776, 782 (S.D. Ohio 2013)(“When initiating communication with [deaf plaintiff], the police should have provided him the opportunity to communicate as effectively as a non-disabled person under the circumstances.”);</w:t>
      </w:r>
      <w:r w:rsidR="000B7927">
        <w:rPr>
          <w:rFonts w:ascii="CenturyExpandedBT-Bold" w:eastAsia="Calibri" w:hAnsi="CenturyExpandedBT-Bold" w:cs="CenturyExpandedBT-Bold"/>
          <w:bCs/>
          <w:szCs w:val="24"/>
        </w:rPr>
        <w:t xml:space="preserve"> </w:t>
      </w:r>
      <w:proofErr w:type="spellStart"/>
      <w:r w:rsidR="000B7927">
        <w:rPr>
          <w:rFonts w:ascii="CenturyExpandedBT-Bold" w:eastAsia="Calibri" w:hAnsi="CenturyExpandedBT-Bold" w:cs="CenturyExpandedBT-Bold"/>
          <w:bCs/>
          <w:i/>
          <w:szCs w:val="24"/>
        </w:rPr>
        <w:t>Schorr</w:t>
      </w:r>
      <w:proofErr w:type="spellEnd"/>
      <w:r w:rsidR="000B7927">
        <w:rPr>
          <w:rFonts w:ascii="CenturyExpandedBT-Bold" w:eastAsia="Calibri" w:hAnsi="CenturyExpandedBT-Bold" w:cs="CenturyExpandedBT-Bold"/>
          <w:bCs/>
          <w:i/>
          <w:szCs w:val="24"/>
        </w:rPr>
        <w:t xml:space="preserve"> v. Borough of Lemoyne</w:t>
      </w:r>
      <w:r w:rsidR="000B7927">
        <w:rPr>
          <w:rFonts w:ascii="CenturyExpandedBT-Bold" w:eastAsia="Calibri" w:hAnsi="CenturyExpandedBT-Bold" w:cs="CenturyExpandedBT-Bold"/>
          <w:bCs/>
          <w:szCs w:val="24"/>
        </w:rPr>
        <w:t xml:space="preserve">, 243 F. Supp. 2d 232, 235-38 (M.D. Pa. 2003) (relying on </w:t>
      </w:r>
      <w:proofErr w:type="spellStart"/>
      <w:r w:rsidR="000B7927">
        <w:rPr>
          <w:rFonts w:ascii="CenturyExpandedBT-Bold" w:eastAsia="Calibri" w:hAnsi="CenturyExpandedBT-Bold" w:cs="CenturyExpandedBT-Bold"/>
          <w:bCs/>
          <w:i/>
          <w:szCs w:val="24"/>
        </w:rPr>
        <w:t>Yeskey</w:t>
      </w:r>
      <w:proofErr w:type="spellEnd"/>
      <w:r w:rsidR="000B7927">
        <w:rPr>
          <w:rFonts w:ascii="CenturyExpandedBT-Bold" w:eastAsia="Calibri" w:hAnsi="CenturyExpandedBT-Bold" w:cs="CenturyExpandedBT-Bold"/>
          <w:bCs/>
          <w:szCs w:val="24"/>
        </w:rPr>
        <w:t>, Department of Justice regulations, and legislative history to conclude that ADA Title II applies to arrests, in context of municipal failure-to-train claim).</w:t>
      </w:r>
    </w:p>
    <w:p w:rsidR="00091D00" w:rsidRDefault="00037EB3" w:rsidP="007D5C89">
      <w:pPr>
        <w:spacing w:line="480" w:lineRule="auto"/>
        <w:rPr>
          <w:rFonts w:ascii="CenturyExpandedBT-Bold" w:eastAsia="Calibri" w:hAnsi="CenturyExpandedBT-Bold" w:cs="CenturyExpandedBT-Bold"/>
          <w:bCs/>
          <w:szCs w:val="24"/>
        </w:rPr>
      </w:pPr>
      <w:r>
        <w:rPr>
          <w:rFonts w:ascii="CenturyExpandedBT-Bold" w:eastAsia="Calibri" w:hAnsi="CenturyExpandedBT-Bold" w:cs="CenturyExpandedBT-Bold"/>
          <w:bCs/>
          <w:szCs w:val="24"/>
        </w:rPr>
        <w:tab/>
      </w:r>
      <w:r w:rsidR="00064A04">
        <w:rPr>
          <w:rFonts w:ascii="CenturyExpandedBT-Bold" w:eastAsia="Calibri" w:hAnsi="CenturyExpandedBT-Bold" w:cs="CenturyExpandedBT-Bold"/>
          <w:bCs/>
          <w:szCs w:val="24"/>
        </w:rPr>
        <w:t xml:space="preserve">The authority upon which Defendant relies </w:t>
      </w:r>
      <w:r w:rsidR="005E7FE5">
        <w:rPr>
          <w:rFonts w:ascii="CenturyExpandedBT-Bold" w:eastAsia="Calibri" w:hAnsi="CenturyExpandedBT-Bold" w:cs="CenturyExpandedBT-Bold"/>
          <w:bCs/>
          <w:szCs w:val="24"/>
        </w:rPr>
        <w:t>is widely considered erroneous. (</w:t>
      </w:r>
      <w:r w:rsidR="005E7FE5">
        <w:rPr>
          <w:rFonts w:ascii="CenturyExpandedBT-Bold" w:eastAsia="Calibri" w:hAnsi="CenturyExpandedBT-Bold" w:cs="CenturyExpandedBT-Bold"/>
          <w:bCs/>
          <w:i/>
          <w:szCs w:val="24"/>
        </w:rPr>
        <w:t>See</w:t>
      </w:r>
      <w:r w:rsidR="005E7FE5">
        <w:rPr>
          <w:rFonts w:ascii="CenturyExpandedBT-Bold" w:eastAsia="Calibri" w:hAnsi="CenturyExpandedBT-Bold" w:cs="CenturyExpandedBT-Bold"/>
          <w:bCs/>
          <w:szCs w:val="24"/>
        </w:rPr>
        <w:t xml:space="preserve"> Def. Br. at 10 (</w:t>
      </w:r>
      <w:r w:rsidR="00064A04">
        <w:rPr>
          <w:rFonts w:ascii="CenturyExpandedBT-Bold" w:eastAsia="Calibri" w:hAnsi="CenturyExpandedBT-Bold" w:cs="CenturyExpandedBT-Bold"/>
          <w:bCs/>
          <w:szCs w:val="24"/>
        </w:rPr>
        <w:t xml:space="preserve">citing </w:t>
      </w:r>
      <w:r w:rsidR="00064A04">
        <w:rPr>
          <w:rFonts w:ascii="CenturyExpandedBT-Bold" w:eastAsia="Calibri" w:hAnsi="CenturyExpandedBT-Bold" w:cs="CenturyExpandedBT-Bold"/>
          <w:bCs/>
          <w:i/>
          <w:szCs w:val="24"/>
        </w:rPr>
        <w:t>Rosen v. Montgomery County Maryland</w:t>
      </w:r>
      <w:r w:rsidR="00064A04">
        <w:rPr>
          <w:rFonts w:ascii="CenturyExpandedBT-Bold" w:eastAsia="Calibri" w:hAnsi="CenturyExpandedBT-Bold" w:cs="CenturyExpandedBT-Bold"/>
          <w:bCs/>
          <w:szCs w:val="24"/>
        </w:rPr>
        <w:t>, 121 F.3d 154, 158 (4</w:t>
      </w:r>
      <w:r w:rsidR="00064A04" w:rsidRPr="00377631">
        <w:rPr>
          <w:rFonts w:ascii="CenturyExpandedBT-Bold" w:eastAsia="Calibri" w:hAnsi="CenturyExpandedBT-Bold" w:cs="CenturyExpandedBT-Bold"/>
          <w:bCs/>
          <w:szCs w:val="24"/>
        </w:rPr>
        <w:t>th</w:t>
      </w:r>
      <w:r w:rsidR="00064A04">
        <w:rPr>
          <w:rFonts w:ascii="CenturyExpandedBT-Bold" w:eastAsia="Calibri" w:hAnsi="CenturyExpandedBT-Bold" w:cs="CenturyExpandedBT-Bold"/>
          <w:bCs/>
          <w:szCs w:val="24"/>
        </w:rPr>
        <w:t xml:space="preserve"> Cir. 1997</w:t>
      </w:r>
      <w:r w:rsidR="00A91AB3">
        <w:rPr>
          <w:rFonts w:ascii="CenturyExpandedBT-Bold" w:eastAsia="Calibri" w:hAnsi="CenturyExpandedBT-Bold" w:cs="CenturyExpandedBT-Bold"/>
          <w:bCs/>
          <w:szCs w:val="24"/>
        </w:rPr>
        <w:t>)</w:t>
      </w:r>
      <w:r w:rsidR="00064A04">
        <w:rPr>
          <w:rFonts w:ascii="CenturyExpandedBT-Bold" w:eastAsia="Calibri" w:hAnsi="CenturyExpandedBT-Bold" w:cs="CenturyExpandedBT-Bold"/>
          <w:bCs/>
          <w:szCs w:val="24"/>
        </w:rPr>
        <w:t xml:space="preserve">, </w:t>
      </w:r>
      <w:r w:rsidR="00064A04">
        <w:rPr>
          <w:rFonts w:ascii="CenturyExpandedBT-Bold" w:eastAsia="Calibri" w:hAnsi="CenturyExpandedBT-Bold" w:cs="CenturyExpandedBT-Bold"/>
          <w:bCs/>
          <w:i/>
          <w:szCs w:val="24"/>
        </w:rPr>
        <w:t>Crocker v. Lewiston Police Dep’t</w:t>
      </w:r>
      <w:r w:rsidR="00064A04">
        <w:rPr>
          <w:rFonts w:ascii="CenturyExpandedBT-Bold" w:eastAsia="Calibri" w:hAnsi="CenturyExpandedBT-Bold" w:cs="CenturyExpandedBT-Bold"/>
          <w:bCs/>
          <w:szCs w:val="24"/>
        </w:rPr>
        <w:t xml:space="preserve">, </w:t>
      </w:r>
      <w:r w:rsidR="00EF038C">
        <w:rPr>
          <w:rFonts w:ascii="CenturyExpandedBT-Bold" w:eastAsia="Calibri" w:hAnsi="CenturyExpandedBT-Bold" w:cs="CenturyExpandedBT-Bold"/>
          <w:bCs/>
          <w:szCs w:val="24"/>
        </w:rPr>
        <w:t>No. 00-13-PC, 2001 WL 114977</w:t>
      </w:r>
      <w:r w:rsidR="00064A04">
        <w:rPr>
          <w:rFonts w:ascii="CenturyExpandedBT-Bold" w:eastAsia="Calibri" w:hAnsi="CenturyExpandedBT-Bold" w:cs="CenturyExpandedBT-Bold"/>
          <w:bCs/>
          <w:szCs w:val="24"/>
        </w:rPr>
        <w:t xml:space="preserve"> (D. M</w:t>
      </w:r>
      <w:r w:rsidR="00EF038C">
        <w:rPr>
          <w:rFonts w:ascii="CenturyExpandedBT-Bold" w:eastAsia="Calibri" w:hAnsi="CenturyExpandedBT-Bold" w:cs="CenturyExpandedBT-Bold"/>
          <w:bCs/>
          <w:szCs w:val="24"/>
        </w:rPr>
        <w:t>e. Feb. 9,</w:t>
      </w:r>
      <w:r w:rsidR="00064A04">
        <w:rPr>
          <w:rFonts w:ascii="CenturyExpandedBT-Bold" w:eastAsia="Calibri" w:hAnsi="CenturyExpandedBT-Bold" w:cs="CenturyExpandedBT-Bold"/>
          <w:bCs/>
          <w:szCs w:val="24"/>
        </w:rPr>
        <w:t xml:space="preserve"> 2001), and </w:t>
      </w:r>
      <w:r w:rsidR="00064A04">
        <w:rPr>
          <w:rFonts w:ascii="CenturyExpandedBT-Bold" w:eastAsia="Calibri" w:hAnsi="CenturyExpandedBT-Bold" w:cs="CenturyExpandedBT-Bold"/>
          <w:bCs/>
          <w:i/>
          <w:szCs w:val="24"/>
        </w:rPr>
        <w:t>Patrice v. Murphy</w:t>
      </w:r>
      <w:r w:rsidR="00064A04">
        <w:rPr>
          <w:rFonts w:ascii="CenturyExpandedBT-Bold" w:eastAsia="Calibri" w:hAnsi="CenturyExpandedBT-Bold" w:cs="CenturyExpandedBT-Bold"/>
          <w:bCs/>
          <w:szCs w:val="24"/>
        </w:rPr>
        <w:t>, 43 F. Supp. 2d 1156, 1160 (W.D. Wash. 1999)</w:t>
      </w:r>
      <w:r w:rsidR="005E7FE5">
        <w:rPr>
          <w:rFonts w:ascii="CenturyExpandedBT-Bold" w:eastAsia="Calibri" w:hAnsi="CenturyExpandedBT-Bold" w:cs="CenturyExpandedBT-Bold"/>
          <w:bCs/>
          <w:szCs w:val="24"/>
        </w:rPr>
        <w:t>)</w:t>
      </w:r>
      <w:r w:rsidR="00064A04">
        <w:rPr>
          <w:rFonts w:ascii="CenturyExpandedBT-Bold" w:eastAsia="Calibri" w:hAnsi="CenturyExpandedBT-Bold" w:cs="CenturyExpandedBT-Bold"/>
          <w:bCs/>
          <w:szCs w:val="24"/>
        </w:rPr>
        <w:t xml:space="preserve">. </w:t>
      </w:r>
      <w:r w:rsidR="00807D60">
        <w:rPr>
          <w:rFonts w:ascii="CenturyExpandedBT-Bold" w:eastAsia="Calibri" w:hAnsi="CenturyExpandedBT-Bold" w:cs="CenturyExpandedBT-Bold"/>
          <w:bCs/>
          <w:szCs w:val="24"/>
        </w:rPr>
        <w:t xml:space="preserve">The Supreme Court </w:t>
      </w:r>
      <w:r w:rsidR="00A63FD9">
        <w:rPr>
          <w:rFonts w:ascii="CenturyExpandedBT-Bold" w:eastAsia="Calibri" w:hAnsi="CenturyExpandedBT-Bold" w:cs="CenturyExpandedBT-Bold"/>
          <w:bCs/>
          <w:szCs w:val="24"/>
        </w:rPr>
        <w:t xml:space="preserve">in </w:t>
      </w:r>
      <w:proofErr w:type="spellStart"/>
      <w:r w:rsidR="00A63FD9">
        <w:rPr>
          <w:rFonts w:ascii="CenturyExpandedBT-Bold" w:eastAsia="Calibri" w:hAnsi="CenturyExpandedBT-Bold" w:cs="CenturyExpandedBT-Bold"/>
          <w:bCs/>
          <w:i/>
          <w:szCs w:val="24"/>
        </w:rPr>
        <w:t>Yeskey</w:t>
      </w:r>
      <w:proofErr w:type="spellEnd"/>
      <w:r w:rsidR="00A63FD9">
        <w:rPr>
          <w:rFonts w:ascii="CenturyExpandedBT-Bold" w:eastAsia="Calibri" w:hAnsi="CenturyExpandedBT-Bold" w:cs="CenturyExpandedBT-Bold"/>
          <w:bCs/>
          <w:i/>
          <w:szCs w:val="24"/>
        </w:rPr>
        <w:t xml:space="preserve"> </w:t>
      </w:r>
      <w:r w:rsidR="00F27097">
        <w:rPr>
          <w:rFonts w:ascii="CenturyExpandedBT-Bold" w:eastAsia="Calibri" w:hAnsi="CenturyExpandedBT-Bold" w:cs="CenturyExpandedBT-Bold"/>
          <w:bCs/>
          <w:szCs w:val="24"/>
        </w:rPr>
        <w:t>curtailed the scope of</w:t>
      </w:r>
      <w:r w:rsidR="00807D60">
        <w:rPr>
          <w:rFonts w:ascii="CenturyExpandedBT-Bold" w:eastAsia="Calibri" w:hAnsi="CenturyExpandedBT-Bold" w:cs="CenturyExpandedBT-Bold"/>
          <w:bCs/>
          <w:szCs w:val="24"/>
        </w:rPr>
        <w:t xml:space="preserve"> </w:t>
      </w:r>
      <w:r w:rsidR="00807D60">
        <w:rPr>
          <w:rFonts w:ascii="CenturyExpandedBT-Bold" w:eastAsia="Calibri" w:hAnsi="CenturyExpandedBT-Bold" w:cs="CenturyExpandedBT-Bold"/>
          <w:bCs/>
          <w:i/>
          <w:szCs w:val="24"/>
        </w:rPr>
        <w:t xml:space="preserve">Rosen </w:t>
      </w:r>
      <w:r w:rsidR="00807D60">
        <w:rPr>
          <w:rFonts w:ascii="CenturyExpandedBT-Bold" w:eastAsia="Calibri" w:hAnsi="CenturyExpandedBT-Bold" w:cs="CenturyExpandedBT-Bold"/>
          <w:bCs/>
          <w:szCs w:val="24"/>
        </w:rPr>
        <w:t xml:space="preserve">the year after </w:t>
      </w:r>
      <w:r w:rsidR="00807D60">
        <w:rPr>
          <w:rFonts w:ascii="CenturyExpandedBT-Bold" w:eastAsia="Calibri" w:hAnsi="CenturyExpandedBT-Bold" w:cs="CenturyExpandedBT-Bold"/>
          <w:bCs/>
          <w:i/>
          <w:szCs w:val="24"/>
        </w:rPr>
        <w:t xml:space="preserve">Rosen </w:t>
      </w:r>
      <w:r w:rsidR="00807D60">
        <w:rPr>
          <w:rFonts w:ascii="CenturyExpandedBT-Bold" w:eastAsia="Calibri" w:hAnsi="CenturyExpandedBT-Bold" w:cs="CenturyExpandedBT-Bold"/>
          <w:bCs/>
          <w:szCs w:val="24"/>
        </w:rPr>
        <w:t xml:space="preserve">was decided. </w:t>
      </w:r>
      <w:proofErr w:type="spellStart"/>
      <w:r w:rsidR="00091D00">
        <w:rPr>
          <w:rFonts w:ascii="CenturyExpandedBT-Bold" w:eastAsia="Calibri" w:hAnsi="CenturyExpandedBT-Bold" w:cs="CenturyExpandedBT-Bold"/>
          <w:bCs/>
          <w:i/>
          <w:szCs w:val="24"/>
        </w:rPr>
        <w:t>Yeskey</w:t>
      </w:r>
      <w:proofErr w:type="spellEnd"/>
      <w:r w:rsidR="00091D00">
        <w:rPr>
          <w:rFonts w:ascii="CenturyExpandedBT-Bold" w:eastAsia="Calibri" w:hAnsi="CenturyExpandedBT-Bold" w:cs="CenturyExpandedBT-Bold"/>
          <w:bCs/>
          <w:szCs w:val="24"/>
        </w:rPr>
        <w:t xml:space="preserve"> ruled that Title II of the ADA applied to state prisons, notwithstanding the involuntary nature of participation in the “services . . . programs or activities” of a correctional institution. </w:t>
      </w:r>
      <w:r w:rsidR="00091D00">
        <w:rPr>
          <w:rFonts w:ascii="CenturyExpandedBT-Bold" w:eastAsia="Calibri" w:hAnsi="CenturyExpandedBT-Bold" w:cs="CenturyExpandedBT-Bold"/>
          <w:bCs/>
          <w:i/>
          <w:szCs w:val="24"/>
        </w:rPr>
        <w:t xml:space="preserve">See </w:t>
      </w:r>
      <w:proofErr w:type="spellStart"/>
      <w:r w:rsidR="00091D00">
        <w:rPr>
          <w:rFonts w:ascii="CenturyExpandedBT-Bold" w:eastAsia="Calibri" w:hAnsi="CenturyExpandedBT-Bold" w:cs="CenturyExpandedBT-Bold"/>
          <w:bCs/>
          <w:i/>
          <w:szCs w:val="24"/>
        </w:rPr>
        <w:t>Yeskey</w:t>
      </w:r>
      <w:proofErr w:type="spellEnd"/>
      <w:r w:rsidR="00091D00">
        <w:rPr>
          <w:rFonts w:ascii="CenturyExpandedBT-Bold" w:eastAsia="Calibri" w:hAnsi="CenturyExpandedBT-Bold" w:cs="CenturyExpandedBT-Bold"/>
          <w:bCs/>
          <w:szCs w:val="24"/>
        </w:rPr>
        <w:t xml:space="preserve">, 524 U.S. at 209-10. </w:t>
      </w:r>
      <w:r w:rsidR="00807D60">
        <w:rPr>
          <w:rFonts w:ascii="CenturyExpandedBT-Bold" w:eastAsia="Calibri" w:hAnsi="CenturyExpandedBT-Bold" w:cs="CenturyExpandedBT-Bold"/>
          <w:bCs/>
          <w:szCs w:val="24"/>
        </w:rPr>
        <w:t xml:space="preserve">As a result, </w:t>
      </w:r>
      <w:r w:rsidRPr="00091D00">
        <w:rPr>
          <w:rFonts w:ascii="CenturyExpandedBT-Bold" w:eastAsia="Calibri" w:hAnsi="CenturyExpandedBT-Bold" w:cs="CenturyExpandedBT-Bold"/>
          <w:bCs/>
          <w:i/>
          <w:szCs w:val="24"/>
        </w:rPr>
        <w:t>Rosen</w:t>
      </w:r>
      <w:r w:rsidR="00091D00">
        <w:rPr>
          <w:rFonts w:ascii="CenturyExpandedBT-Bold" w:eastAsia="Calibri" w:hAnsi="CenturyExpandedBT-Bold" w:cs="CenturyExpandedBT-Bold"/>
          <w:bCs/>
          <w:szCs w:val="24"/>
        </w:rPr>
        <w:t>, which exempted arrests from Title II based on the involuntary nature of the interaction,</w:t>
      </w:r>
      <w:r w:rsidRPr="00D01009">
        <w:rPr>
          <w:rFonts w:ascii="CenturyExpandedBT-Bold" w:eastAsia="Calibri" w:hAnsi="CenturyExpandedBT-Bold" w:cs="CenturyExpandedBT-Bold"/>
          <w:bCs/>
          <w:szCs w:val="24"/>
        </w:rPr>
        <w:t xml:space="preserve"> is </w:t>
      </w:r>
      <w:r w:rsidR="00EB2528">
        <w:rPr>
          <w:rFonts w:ascii="CenturyExpandedBT-Bold" w:eastAsia="Calibri" w:hAnsi="CenturyExpandedBT-Bold" w:cs="CenturyExpandedBT-Bold"/>
          <w:bCs/>
          <w:szCs w:val="24"/>
        </w:rPr>
        <w:t>widely described as “</w:t>
      </w:r>
      <w:r w:rsidR="00807D60">
        <w:rPr>
          <w:rFonts w:ascii="CenturyExpandedBT-Bold" w:eastAsia="Calibri" w:hAnsi="CenturyExpandedBT-Bold" w:cs="CenturyExpandedBT-Bold"/>
          <w:bCs/>
          <w:szCs w:val="24"/>
        </w:rPr>
        <w:t>discredited</w:t>
      </w:r>
      <w:r w:rsidR="00EB2528">
        <w:rPr>
          <w:rFonts w:ascii="CenturyExpandedBT-Bold" w:eastAsia="Calibri" w:hAnsi="CenturyExpandedBT-Bold" w:cs="CenturyExpandedBT-Bold"/>
          <w:bCs/>
          <w:szCs w:val="24"/>
        </w:rPr>
        <w:t>”</w:t>
      </w:r>
      <w:r w:rsidR="00A63FD9">
        <w:rPr>
          <w:rFonts w:ascii="CenturyExpandedBT-Bold" w:eastAsia="Calibri" w:hAnsi="CenturyExpandedBT-Bold" w:cs="CenturyExpandedBT-Bold"/>
          <w:bCs/>
          <w:szCs w:val="24"/>
        </w:rPr>
        <w:t xml:space="preserve"> for</w:t>
      </w:r>
      <w:r w:rsidR="00807D60">
        <w:rPr>
          <w:rFonts w:ascii="CenturyExpandedBT-Bold" w:eastAsia="Calibri" w:hAnsi="CenturyExpandedBT-Bold" w:cs="CenturyExpandedBT-Bold"/>
          <w:bCs/>
          <w:szCs w:val="24"/>
        </w:rPr>
        <w:t xml:space="preserve"> the very point upon which Defendant relies. </w:t>
      </w:r>
      <w:r w:rsidR="000B7927">
        <w:rPr>
          <w:rFonts w:ascii="CenturyExpandedBT-Bold" w:eastAsia="Calibri" w:hAnsi="CenturyExpandedBT-Bold" w:cs="CenturyExpandedBT-Bold"/>
          <w:bCs/>
          <w:i/>
          <w:szCs w:val="24"/>
        </w:rPr>
        <w:t>See, e.g.</w:t>
      </w:r>
      <w:r w:rsidR="000B7927">
        <w:rPr>
          <w:rFonts w:ascii="CenturyExpandedBT-Bold" w:eastAsia="Calibri" w:hAnsi="CenturyExpandedBT-Bold" w:cs="CenturyExpandedBT-Bold"/>
          <w:bCs/>
          <w:szCs w:val="24"/>
        </w:rPr>
        <w:t xml:space="preserve">, </w:t>
      </w:r>
      <w:proofErr w:type="spellStart"/>
      <w:r w:rsidR="00D121D0">
        <w:rPr>
          <w:rFonts w:ascii="CenturyExpandedBT-Bold" w:eastAsia="Calibri" w:hAnsi="CenturyExpandedBT-Bold" w:cs="CenturyExpandedBT-Bold"/>
          <w:bCs/>
          <w:i/>
          <w:szCs w:val="24"/>
        </w:rPr>
        <w:t>Paulone</w:t>
      </w:r>
      <w:proofErr w:type="spellEnd"/>
      <w:r w:rsidR="00D121D0">
        <w:rPr>
          <w:rFonts w:ascii="CenturyExpandedBT-Bold" w:eastAsia="Calibri" w:hAnsi="CenturyExpandedBT-Bold" w:cs="CenturyExpandedBT-Bold"/>
          <w:bCs/>
          <w:i/>
          <w:szCs w:val="24"/>
        </w:rPr>
        <w:t xml:space="preserve"> v. City of Frederick</w:t>
      </w:r>
      <w:r w:rsidR="00D121D0">
        <w:rPr>
          <w:rFonts w:ascii="CenturyExpandedBT-Bold" w:eastAsia="Calibri" w:hAnsi="CenturyExpandedBT-Bold" w:cs="CenturyExpandedBT-Bold"/>
          <w:bCs/>
          <w:szCs w:val="24"/>
        </w:rPr>
        <w:t>, 787 F. Supp. 2d 360, 379</w:t>
      </w:r>
      <w:r w:rsidR="00EB2528">
        <w:rPr>
          <w:rFonts w:ascii="CenturyExpandedBT-Bold" w:eastAsia="Calibri" w:hAnsi="CenturyExpandedBT-Bold" w:cs="CenturyExpandedBT-Bold"/>
          <w:bCs/>
          <w:szCs w:val="24"/>
        </w:rPr>
        <w:t>-80</w:t>
      </w:r>
      <w:r w:rsidR="00D121D0">
        <w:rPr>
          <w:rFonts w:ascii="CenturyExpandedBT-Bold" w:eastAsia="Calibri" w:hAnsi="CenturyExpandedBT-Bold" w:cs="CenturyExpandedBT-Bold"/>
          <w:bCs/>
          <w:szCs w:val="24"/>
        </w:rPr>
        <w:t xml:space="preserve"> (D. Md. 2011) (noting in 2011 that “</w:t>
      </w:r>
      <w:r w:rsidR="00D121D0">
        <w:rPr>
          <w:rFonts w:ascii="CenturyExpandedBT-Bold" w:eastAsia="Calibri" w:hAnsi="CenturyExpandedBT-Bold" w:cs="CenturyExpandedBT-Bold"/>
          <w:bCs/>
          <w:i/>
          <w:szCs w:val="24"/>
        </w:rPr>
        <w:t>Rosen</w:t>
      </w:r>
      <w:r w:rsidR="00D121D0">
        <w:rPr>
          <w:rFonts w:ascii="CenturyExpandedBT-Bold" w:eastAsia="Calibri" w:hAnsi="CenturyExpandedBT-Bold" w:cs="CenturyExpandedBT-Bold"/>
          <w:bCs/>
          <w:szCs w:val="24"/>
        </w:rPr>
        <w:t xml:space="preserve">’s continued vitality is uncertain” because </w:t>
      </w:r>
      <w:proofErr w:type="spellStart"/>
      <w:r w:rsidR="00D121D0">
        <w:rPr>
          <w:rFonts w:ascii="CenturyExpandedBT-Bold" w:eastAsia="Calibri" w:hAnsi="CenturyExpandedBT-Bold" w:cs="CenturyExpandedBT-Bold"/>
          <w:bCs/>
          <w:i/>
          <w:szCs w:val="24"/>
        </w:rPr>
        <w:t>Yeskey</w:t>
      </w:r>
      <w:proofErr w:type="spellEnd"/>
      <w:r w:rsidR="00D121D0">
        <w:rPr>
          <w:rFonts w:ascii="CenturyExpandedBT-Bold" w:eastAsia="Calibri" w:hAnsi="CenturyExpandedBT-Bold" w:cs="CenturyExpandedBT-Bold"/>
          <w:bCs/>
          <w:i/>
          <w:szCs w:val="24"/>
        </w:rPr>
        <w:t xml:space="preserve"> </w:t>
      </w:r>
      <w:r w:rsidR="00D121D0">
        <w:rPr>
          <w:rFonts w:ascii="CenturyExpandedBT-Bold" w:eastAsia="Calibri" w:hAnsi="CenturyExpandedBT-Bold" w:cs="CenturyExpandedBT-Bold"/>
          <w:bCs/>
          <w:szCs w:val="24"/>
        </w:rPr>
        <w:t xml:space="preserve">“invalidated the reasoning of . . . </w:t>
      </w:r>
      <w:r w:rsidR="00D121D0">
        <w:rPr>
          <w:rFonts w:ascii="CenturyExpandedBT-Bold" w:eastAsia="Calibri" w:hAnsi="CenturyExpandedBT-Bold" w:cs="CenturyExpandedBT-Bold"/>
          <w:bCs/>
          <w:i/>
          <w:szCs w:val="24"/>
        </w:rPr>
        <w:t>Rosen</w:t>
      </w:r>
      <w:r w:rsidR="00D121D0">
        <w:rPr>
          <w:rFonts w:ascii="CenturyExpandedBT-Bold" w:eastAsia="Calibri" w:hAnsi="CenturyExpandedBT-Bold" w:cs="CenturyExpandedBT-Bold"/>
          <w:bCs/>
          <w:szCs w:val="24"/>
        </w:rPr>
        <w:t>”);</w:t>
      </w:r>
      <w:r w:rsidR="00D121D0">
        <w:rPr>
          <w:rFonts w:ascii="CenturyExpandedBT-Bold" w:eastAsia="Calibri" w:hAnsi="CenturyExpandedBT-Bold" w:cs="CenturyExpandedBT-Bold"/>
          <w:bCs/>
          <w:i/>
          <w:szCs w:val="24"/>
        </w:rPr>
        <w:t xml:space="preserve"> </w:t>
      </w:r>
      <w:r w:rsidR="002C2620" w:rsidRPr="00225530">
        <w:rPr>
          <w:rFonts w:ascii="CenturyExpandedBT-Italic" w:eastAsia="Calibri" w:hAnsi="CenturyExpandedBT-Italic" w:cs="CenturyExpandedBT-Italic"/>
          <w:i/>
          <w:iCs/>
          <w:szCs w:val="24"/>
        </w:rPr>
        <w:t>Calloway</w:t>
      </w:r>
      <w:r w:rsidR="002C2620" w:rsidRPr="003E7078">
        <w:rPr>
          <w:rFonts w:ascii="CenturyExpandedBT-Italic" w:eastAsia="Calibri" w:hAnsi="CenturyExpandedBT-Italic" w:cs="CenturyExpandedBT-Italic"/>
          <w:i/>
          <w:iCs/>
          <w:szCs w:val="24"/>
        </w:rPr>
        <w:t xml:space="preserve"> </w:t>
      </w:r>
      <w:r w:rsidR="002C2620" w:rsidRPr="003E7078">
        <w:rPr>
          <w:rFonts w:ascii="CenturyExpandedBT-Roman" w:eastAsia="Calibri" w:hAnsi="CenturyExpandedBT-Roman" w:cs="CenturyExpandedBT-Roman"/>
          <w:i/>
          <w:szCs w:val="24"/>
        </w:rPr>
        <w:t xml:space="preserve">v. </w:t>
      </w:r>
      <w:proofErr w:type="spellStart"/>
      <w:r w:rsidR="002C2620" w:rsidRPr="00225530">
        <w:rPr>
          <w:rFonts w:ascii="CenturyExpandedBT-Italic" w:eastAsia="Calibri" w:hAnsi="CenturyExpandedBT-Italic" w:cs="CenturyExpandedBT-Italic"/>
          <w:i/>
          <w:iCs/>
          <w:szCs w:val="24"/>
        </w:rPr>
        <w:t>Boro</w:t>
      </w:r>
      <w:proofErr w:type="spellEnd"/>
      <w:r w:rsidR="002C2620" w:rsidRPr="00225530">
        <w:rPr>
          <w:rFonts w:ascii="CenturyExpandedBT-Italic" w:eastAsia="Calibri" w:hAnsi="CenturyExpandedBT-Italic" w:cs="CenturyExpandedBT-Italic"/>
          <w:i/>
          <w:iCs/>
          <w:szCs w:val="24"/>
        </w:rPr>
        <w:t xml:space="preserve"> of Glassboro Dep’t of Police</w:t>
      </w:r>
      <w:r w:rsidR="002C2620">
        <w:rPr>
          <w:rFonts w:ascii="CenturyExpandedBT-Roman" w:eastAsia="Calibri" w:hAnsi="CenturyExpandedBT-Roman" w:cs="CenturyExpandedBT-Roman"/>
          <w:szCs w:val="24"/>
        </w:rPr>
        <w:t>, 89 F. Supp. 2d 543, 55</w:t>
      </w:r>
      <w:r w:rsidR="002C2620" w:rsidRPr="00225530">
        <w:rPr>
          <w:rFonts w:ascii="CenturyExpandedBT-Roman" w:eastAsia="Calibri" w:hAnsi="CenturyExpandedBT-Roman" w:cs="CenturyExpandedBT-Roman"/>
          <w:szCs w:val="24"/>
        </w:rPr>
        <w:t>6 (D.N.J. 2000)</w:t>
      </w:r>
      <w:r w:rsidR="000B7927">
        <w:rPr>
          <w:rFonts w:ascii="CenturyExpandedBT-Roman" w:eastAsia="Calibri" w:hAnsi="CenturyExpandedBT-Roman" w:cs="CenturyExpandedBT-Roman"/>
          <w:szCs w:val="24"/>
        </w:rPr>
        <w:t xml:space="preserve"> (“the rationale of </w:t>
      </w:r>
      <w:r w:rsidR="000B7927">
        <w:rPr>
          <w:rFonts w:ascii="CenturyExpandedBT-Roman" w:eastAsia="Calibri" w:hAnsi="CenturyExpandedBT-Roman" w:cs="CenturyExpandedBT-Roman"/>
          <w:i/>
          <w:szCs w:val="24"/>
        </w:rPr>
        <w:t xml:space="preserve">Rosen </w:t>
      </w:r>
      <w:r w:rsidR="00091D00">
        <w:rPr>
          <w:rFonts w:ascii="CenturyExpandedBT-Roman" w:eastAsia="Calibri" w:hAnsi="CenturyExpandedBT-Roman" w:cs="CenturyExpandedBT-Roman"/>
          <w:szCs w:val="24"/>
        </w:rPr>
        <w:t xml:space="preserve">[is] </w:t>
      </w:r>
      <w:r w:rsidR="000B7927">
        <w:rPr>
          <w:rFonts w:ascii="CenturyExpandedBT-Roman" w:eastAsia="Calibri" w:hAnsi="CenturyExpandedBT-Roman" w:cs="CenturyExpandedBT-Roman"/>
          <w:szCs w:val="24"/>
        </w:rPr>
        <w:t xml:space="preserve">suspect following the Supreme Court’s </w:t>
      </w:r>
      <w:r w:rsidR="00EB2528">
        <w:rPr>
          <w:rFonts w:ascii="CenturyExpandedBT-Roman" w:eastAsia="Calibri" w:hAnsi="CenturyExpandedBT-Roman" w:cs="CenturyExpandedBT-Roman"/>
          <w:szCs w:val="24"/>
        </w:rPr>
        <w:t xml:space="preserve">ruling </w:t>
      </w:r>
      <w:r w:rsidR="000B7927">
        <w:rPr>
          <w:rFonts w:ascii="CenturyExpandedBT-Roman" w:eastAsia="Calibri" w:hAnsi="CenturyExpandedBT-Roman" w:cs="CenturyExpandedBT-Roman"/>
          <w:szCs w:val="24"/>
        </w:rPr>
        <w:t xml:space="preserve">in </w:t>
      </w:r>
      <w:proofErr w:type="spellStart"/>
      <w:r w:rsidR="000B7927">
        <w:rPr>
          <w:rFonts w:ascii="CenturyExpandedBT-Roman" w:eastAsia="Calibri" w:hAnsi="CenturyExpandedBT-Roman" w:cs="CenturyExpandedBT-Roman"/>
          <w:i/>
          <w:szCs w:val="24"/>
        </w:rPr>
        <w:t>Yeskey</w:t>
      </w:r>
      <w:proofErr w:type="spellEnd"/>
      <w:r w:rsidR="000B7927">
        <w:rPr>
          <w:rFonts w:ascii="CenturyExpandedBT-Roman" w:eastAsia="Calibri" w:hAnsi="CenturyExpandedBT-Roman" w:cs="CenturyExpandedBT-Roman"/>
          <w:szCs w:val="24"/>
        </w:rPr>
        <w:t xml:space="preserve">”). </w:t>
      </w:r>
      <w:r w:rsidR="00807D60">
        <w:rPr>
          <w:rFonts w:ascii="CenturyExpandedBT-Bold" w:eastAsia="Calibri" w:hAnsi="CenturyExpandedBT-Bold" w:cs="CenturyExpandedBT-Bold"/>
          <w:bCs/>
          <w:szCs w:val="24"/>
        </w:rPr>
        <w:t xml:space="preserve">Indeed, the Fourth Circuit itself recognized </w:t>
      </w:r>
      <w:r w:rsidR="00D121D0">
        <w:rPr>
          <w:rFonts w:ascii="CenturyExpandedBT-Bold" w:eastAsia="Calibri" w:hAnsi="CenturyExpandedBT-Bold" w:cs="CenturyExpandedBT-Bold"/>
          <w:bCs/>
          <w:szCs w:val="24"/>
        </w:rPr>
        <w:t xml:space="preserve">in 2012 </w:t>
      </w:r>
      <w:r w:rsidR="00807D60">
        <w:rPr>
          <w:rFonts w:ascii="CenturyExpandedBT-Bold" w:eastAsia="Calibri" w:hAnsi="CenturyExpandedBT-Bold" w:cs="CenturyExpandedBT-Bold"/>
          <w:bCs/>
          <w:szCs w:val="24"/>
        </w:rPr>
        <w:t xml:space="preserve">that its own precedent in </w:t>
      </w:r>
      <w:r w:rsidR="00807D60">
        <w:rPr>
          <w:rFonts w:ascii="CenturyExpandedBT-Bold" w:eastAsia="Calibri" w:hAnsi="CenturyExpandedBT-Bold" w:cs="CenturyExpandedBT-Bold"/>
          <w:bCs/>
          <w:i/>
          <w:szCs w:val="24"/>
        </w:rPr>
        <w:t>Rosen</w:t>
      </w:r>
      <w:r w:rsidR="00807D60">
        <w:rPr>
          <w:rFonts w:ascii="CenturyExpandedBT-Bold" w:eastAsia="Calibri" w:hAnsi="CenturyExpandedBT-Bold" w:cs="CenturyExpandedBT-Bold"/>
          <w:bCs/>
          <w:szCs w:val="24"/>
        </w:rPr>
        <w:t xml:space="preserve"> is </w:t>
      </w:r>
      <w:r w:rsidR="00091D00">
        <w:rPr>
          <w:rFonts w:ascii="CenturyExpandedBT-Bold" w:eastAsia="Calibri" w:hAnsi="CenturyExpandedBT-Bold" w:cs="CenturyExpandedBT-Bold"/>
          <w:bCs/>
          <w:szCs w:val="24"/>
        </w:rPr>
        <w:t>not good</w:t>
      </w:r>
      <w:r w:rsidR="00ED2966">
        <w:rPr>
          <w:rFonts w:ascii="CenturyExpandedBT-Bold" w:eastAsia="Calibri" w:hAnsi="CenturyExpandedBT-Bold" w:cs="CenturyExpandedBT-Bold"/>
          <w:bCs/>
          <w:szCs w:val="24"/>
        </w:rPr>
        <w:t xml:space="preserve"> law</w:t>
      </w:r>
      <w:r w:rsidR="00091D00">
        <w:rPr>
          <w:rFonts w:ascii="CenturyExpandedBT-Bold" w:eastAsia="Calibri" w:hAnsi="CenturyExpandedBT-Bold" w:cs="CenturyExpandedBT-Bold"/>
          <w:bCs/>
          <w:szCs w:val="24"/>
        </w:rPr>
        <w:t xml:space="preserve"> on this point</w:t>
      </w:r>
      <w:r w:rsidR="00ED2966">
        <w:rPr>
          <w:rFonts w:ascii="CenturyExpandedBT-Bold" w:eastAsia="Calibri" w:hAnsi="CenturyExpandedBT-Bold" w:cs="CenturyExpandedBT-Bold"/>
          <w:bCs/>
          <w:szCs w:val="24"/>
        </w:rPr>
        <w:t>, explaining that “[c]</w:t>
      </w:r>
      <w:proofErr w:type="spellStart"/>
      <w:r w:rsidR="00ED2966">
        <w:rPr>
          <w:rFonts w:ascii="CenturyExpandedBT-Bold" w:eastAsia="Calibri" w:hAnsi="CenturyExpandedBT-Bold" w:cs="CenturyExpandedBT-Bold"/>
          <w:bCs/>
          <w:szCs w:val="24"/>
        </w:rPr>
        <w:t>ourts</w:t>
      </w:r>
      <w:proofErr w:type="spellEnd"/>
      <w:r w:rsidR="00ED2966">
        <w:rPr>
          <w:rFonts w:ascii="CenturyExpandedBT-Bold" w:eastAsia="Calibri" w:hAnsi="CenturyExpandedBT-Bold" w:cs="CenturyExpandedBT-Bold"/>
          <w:bCs/>
          <w:szCs w:val="24"/>
        </w:rPr>
        <w:t xml:space="preserve"> across the country have called </w:t>
      </w:r>
      <w:r w:rsidR="00ED2966">
        <w:rPr>
          <w:rFonts w:ascii="CenturyExpandedBT-Bold" w:eastAsia="Calibri" w:hAnsi="CenturyExpandedBT-Bold" w:cs="CenturyExpandedBT-Bold"/>
          <w:bCs/>
          <w:i/>
          <w:szCs w:val="24"/>
        </w:rPr>
        <w:t>Rosen</w:t>
      </w:r>
      <w:r w:rsidR="00ED2966">
        <w:rPr>
          <w:rFonts w:ascii="CenturyExpandedBT-Bold" w:eastAsia="Calibri" w:hAnsi="CenturyExpandedBT-Bold" w:cs="CenturyExpandedBT-Bold"/>
          <w:bCs/>
          <w:szCs w:val="24"/>
        </w:rPr>
        <w:t xml:space="preserve">’s holding into question in light of the Supreme Court’s decision” in </w:t>
      </w:r>
      <w:proofErr w:type="spellStart"/>
      <w:r w:rsidR="00ED2966">
        <w:rPr>
          <w:rFonts w:ascii="CenturyExpandedBT-Bold" w:eastAsia="Calibri" w:hAnsi="CenturyExpandedBT-Bold" w:cs="CenturyExpandedBT-Bold"/>
          <w:bCs/>
          <w:i/>
          <w:szCs w:val="24"/>
        </w:rPr>
        <w:t>Yeskey</w:t>
      </w:r>
      <w:proofErr w:type="spellEnd"/>
      <w:r w:rsidR="00ED2966">
        <w:rPr>
          <w:rFonts w:ascii="CenturyExpandedBT-Bold" w:eastAsia="Calibri" w:hAnsi="CenturyExpandedBT-Bold" w:cs="CenturyExpandedBT-Bold"/>
          <w:bCs/>
          <w:szCs w:val="24"/>
        </w:rPr>
        <w:t xml:space="preserve">. </w:t>
      </w:r>
      <w:proofErr w:type="spellStart"/>
      <w:r w:rsidR="00D121D0">
        <w:rPr>
          <w:rFonts w:ascii="CenturyExpandedBT-Bold" w:eastAsia="Calibri" w:hAnsi="CenturyExpandedBT-Bold" w:cs="CenturyExpandedBT-Bold"/>
          <w:bCs/>
          <w:i/>
          <w:szCs w:val="24"/>
        </w:rPr>
        <w:t>Serem</w:t>
      </w:r>
      <w:r w:rsidR="00ED2966">
        <w:rPr>
          <w:rFonts w:ascii="CenturyExpandedBT-Bold" w:eastAsia="Calibri" w:hAnsi="CenturyExpandedBT-Bold" w:cs="CenturyExpandedBT-Bold"/>
          <w:bCs/>
          <w:i/>
          <w:szCs w:val="24"/>
        </w:rPr>
        <w:t>eth</w:t>
      </w:r>
      <w:proofErr w:type="spellEnd"/>
      <w:r w:rsidR="00ED2966">
        <w:rPr>
          <w:rFonts w:ascii="CenturyExpandedBT-Bold" w:eastAsia="Calibri" w:hAnsi="CenturyExpandedBT-Bold" w:cs="CenturyExpandedBT-Bold"/>
          <w:bCs/>
          <w:i/>
          <w:szCs w:val="24"/>
        </w:rPr>
        <w:t xml:space="preserve"> v. Board of County </w:t>
      </w:r>
      <w:proofErr w:type="spellStart"/>
      <w:r w:rsidR="00ED2966">
        <w:rPr>
          <w:rFonts w:ascii="CenturyExpandedBT-Bold" w:eastAsia="Calibri" w:hAnsi="CenturyExpandedBT-Bold" w:cs="CenturyExpandedBT-Bold"/>
          <w:bCs/>
          <w:i/>
          <w:szCs w:val="24"/>
        </w:rPr>
        <w:t>Cmssrs</w:t>
      </w:r>
      <w:proofErr w:type="spellEnd"/>
      <w:r w:rsidR="00ED2966">
        <w:rPr>
          <w:rFonts w:ascii="CenturyExpandedBT-Bold" w:eastAsia="Calibri" w:hAnsi="CenturyExpandedBT-Bold" w:cs="CenturyExpandedBT-Bold"/>
          <w:bCs/>
          <w:i/>
          <w:szCs w:val="24"/>
        </w:rPr>
        <w:t xml:space="preserve">. Frederick </w:t>
      </w:r>
      <w:proofErr w:type="spellStart"/>
      <w:r w:rsidR="00ED2966">
        <w:rPr>
          <w:rFonts w:ascii="CenturyExpandedBT-Bold" w:eastAsia="Calibri" w:hAnsi="CenturyExpandedBT-Bold" w:cs="CenturyExpandedBT-Bold"/>
          <w:bCs/>
          <w:i/>
          <w:szCs w:val="24"/>
        </w:rPr>
        <w:t>Cty</w:t>
      </w:r>
      <w:proofErr w:type="spellEnd"/>
      <w:r w:rsidR="00ED2966">
        <w:rPr>
          <w:rFonts w:ascii="CenturyExpandedBT-Bold" w:eastAsia="Calibri" w:hAnsi="CenturyExpandedBT-Bold" w:cs="CenturyExpandedBT-Bold"/>
          <w:bCs/>
          <w:i/>
          <w:szCs w:val="24"/>
        </w:rPr>
        <w:t>.</w:t>
      </w:r>
      <w:r w:rsidR="00ED2966">
        <w:rPr>
          <w:rFonts w:ascii="CenturyExpandedBT-Bold" w:eastAsia="Calibri" w:hAnsi="CenturyExpandedBT-Bold" w:cs="CenturyExpandedBT-Bold"/>
          <w:bCs/>
          <w:szCs w:val="24"/>
        </w:rPr>
        <w:t>, 673 F.3d 333, 337 (4</w:t>
      </w:r>
      <w:r w:rsidR="00ED2966" w:rsidRPr="00ED2966">
        <w:rPr>
          <w:rFonts w:ascii="CenturyExpandedBT-Bold" w:eastAsia="Calibri" w:hAnsi="CenturyExpandedBT-Bold" w:cs="CenturyExpandedBT-Bold"/>
          <w:bCs/>
          <w:szCs w:val="24"/>
        </w:rPr>
        <w:t>th</w:t>
      </w:r>
      <w:r w:rsidR="00ED2966">
        <w:rPr>
          <w:rFonts w:ascii="CenturyExpandedBT-Bold" w:eastAsia="Calibri" w:hAnsi="CenturyExpandedBT-Bold" w:cs="CenturyExpandedBT-Bold"/>
          <w:bCs/>
          <w:szCs w:val="24"/>
        </w:rPr>
        <w:t xml:space="preserve"> Cir. 2012)</w:t>
      </w:r>
      <w:r w:rsidR="00201116">
        <w:rPr>
          <w:rFonts w:ascii="CenturyExpandedBT-Bold" w:eastAsia="Calibri" w:hAnsi="CenturyExpandedBT-Bold" w:cs="CenturyExpandedBT-Bold"/>
          <w:bCs/>
          <w:szCs w:val="24"/>
        </w:rPr>
        <w:t>;</w:t>
      </w:r>
      <w:r w:rsidR="0057623F">
        <w:rPr>
          <w:rFonts w:ascii="CenturyExpandedBT-Bold" w:eastAsia="Calibri" w:hAnsi="CenturyExpandedBT-Bold" w:cs="CenturyExpandedBT-Bold"/>
          <w:bCs/>
          <w:szCs w:val="24"/>
        </w:rPr>
        <w:t xml:space="preserve"> </w:t>
      </w:r>
      <w:r w:rsidR="0057623F">
        <w:rPr>
          <w:rFonts w:ascii="CenturyExpandedBT-Bold" w:eastAsia="Calibri" w:hAnsi="CenturyExpandedBT-Bold" w:cs="CenturyExpandedBT-Bold"/>
          <w:bCs/>
          <w:i/>
          <w:szCs w:val="24"/>
        </w:rPr>
        <w:t>see also id.</w:t>
      </w:r>
      <w:r w:rsidR="0057623F">
        <w:rPr>
          <w:rFonts w:ascii="CenturyExpandedBT-Bold" w:eastAsia="Calibri" w:hAnsi="CenturyExpandedBT-Bold" w:cs="CenturyExpandedBT-Bold"/>
          <w:bCs/>
          <w:szCs w:val="24"/>
        </w:rPr>
        <w:t xml:space="preserve"> at 338 (noting </w:t>
      </w:r>
      <w:r w:rsidR="0057623F">
        <w:rPr>
          <w:rFonts w:ascii="CenturyExpandedBT-Bold" w:eastAsia="Calibri" w:hAnsi="CenturyExpandedBT-Bold" w:cs="CenturyExpandedBT-Bold"/>
          <w:bCs/>
          <w:i/>
          <w:szCs w:val="24"/>
        </w:rPr>
        <w:t>Waller</w:t>
      </w:r>
      <w:r w:rsidR="0057623F">
        <w:rPr>
          <w:rFonts w:ascii="CenturyExpandedBT-Bold" w:eastAsia="Calibri" w:hAnsi="CenturyExpandedBT-Bold" w:cs="CenturyExpandedBT-Bold"/>
          <w:bCs/>
          <w:szCs w:val="24"/>
        </w:rPr>
        <w:t>’s holding that “the ADA applies to police interrogations”)</w:t>
      </w:r>
      <w:r w:rsidR="00ED2966">
        <w:rPr>
          <w:rFonts w:ascii="CenturyExpandedBT-Bold" w:eastAsia="Calibri" w:hAnsi="CenturyExpandedBT-Bold" w:cs="CenturyExpandedBT-Bold"/>
          <w:bCs/>
          <w:szCs w:val="24"/>
        </w:rPr>
        <w:t>.</w:t>
      </w:r>
      <w:r w:rsidR="00ED2966">
        <w:rPr>
          <w:rStyle w:val="FootnoteReference"/>
          <w:rFonts w:ascii="CenturyExpandedBT-Bold" w:eastAsia="Calibri" w:hAnsi="CenturyExpandedBT-Bold" w:cs="CenturyExpandedBT-Bold"/>
          <w:bCs/>
          <w:szCs w:val="24"/>
        </w:rPr>
        <w:footnoteReference w:id="6"/>
      </w:r>
      <w:r w:rsidR="00807D60">
        <w:rPr>
          <w:rFonts w:ascii="CenturyExpandedBT-Bold" w:eastAsia="Calibri" w:hAnsi="CenturyExpandedBT-Bold" w:cs="CenturyExpandedBT-Bold"/>
          <w:bCs/>
          <w:szCs w:val="24"/>
        </w:rPr>
        <w:t xml:space="preserve"> </w:t>
      </w:r>
      <w:r w:rsidR="004722F0">
        <w:rPr>
          <w:rFonts w:ascii="CenturyExpandedBT-Bold" w:eastAsia="Calibri" w:hAnsi="CenturyExpandedBT-Bold" w:cs="CenturyExpandedBT-Bold"/>
          <w:bCs/>
          <w:szCs w:val="24"/>
        </w:rPr>
        <w:t xml:space="preserve">The other cases upon which Defendant relies both note the existence of contrary authority, but ultimately decide to follow </w:t>
      </w:r>
      <w:r w:rsidR="004722F0">
        <w:rPr>
          <w:rFonts w:ascii="CenturyExpandedBT-Bold" w:eastAsia="Calibri" w:hAnsi="CenturyExpandedBT-Bold" w:cs="CenturyExpandedBT-Bold"/>
          <w:bCs/>
          <w:i/>
          <w:szCs w:val="24"/>
        </w:rPr>
        <w:t>Rosen</w:t>
      </w:r>
      <w:r w:rsidR="004722F0">
        <w:rPr>
          <w:rFonts w:ascii="CenturyExpandedBT-Bold" w:eastAsia="Calibri" w:hAnsi="CenturyExpandedBT-Bold" w:cs="CenturyExpandedBT-Bold"/>
          <w:bCs/>
          <w:szCs w:val="24"/>
        </w:rPr>
        <w:t xml:space="preserve">, a choice that was plainly incorrect. </w:t>
      </w:r>
      <w:r w:rsidR="004722F0">
        <w:rPr>
          <w:rFonts w:ascii="CenturyExpandedBT-Bold" w:eastAsia="Calibri" w:hAnsi="CenturyExpandedBT-Bold" w:cs="CenturyExpandedBT-Bold"/>
          <w:bCs/>
          <w:i/>
          <w:szCs w:val="24"/>
        </w:rPr>
        <w:t>See</w:t>
      </w:r>
      <w:r w:rsidR="004722F0">
        <w:rPr>
          <w:rFonts w:ascii="CenturyExpandedBT-Bold" w:eastAsia="Calibri" w:hAnsi="CenturyExpandedBT-Bold" w:cs="CenturyExpandedBT-Bold"/>
          <w:bCs/>
          <w:szCs w:val="24"/>
        </w:rPr>
        <w:t xml:space="preserve"> </w:t>
      </w:r>
      <w:r w:rsidR="004722F0">
        <w:rPr>
          <w:rFonts w:ascii="CenturyExpandedBT-Bold" w:eastAsia="Calibri" w:hAnsi="CenturyExpandedBT-Bold" w:cs="CenturyExpandedBT-Bold"/>
          <w:bCs/>
          <w:i/>
          <w:szCs w:val="24"/>
        </w:rPr>
        <w:t>Patrice</w:t>
      </w:r>
      <w:r w:rsidR="004722F0">
        <w:rPr>
          <w:rFonts w:ascii="CenturyExpandedBT-Bold" w:eastAsia="Calibri" w:hAnsi="CenturyExpandedBT-Bold" w:cs="CenturyExpandedBT-Bold"/>
          <w:bCs/>
          <w:szCs w:val="24"/>
        </w:rPr>
        <w:t xml:space="preserve">, 43 F. Supp. 2d at 1158-61 (rejecting legislative history and </w:t>
      </w:r>
      <w:proofErr w:type="spellStart"/>
      <w:r w:rsidR="004722F0">
        <w:rPr>
          <w:rFonts w:ascii="CenturyExpandedBT-Bold" w:eastAsia="Calibri" w:hAnsi="CenturyExpandedBT-Bold" w:cs="CenturyExpandedBT-Bold"/>
          <w:bCs/>
          <w:szCs w:val="24"/>
        </w:rPr>
        <w:t>caselaw</w:t>
      </w:r>
      <w:proofErr w:type="spellEnd"/>
      <w:r w:rsidR="004722F0">
        <w:rPr>
          <w:rFonts w:ascii="CenturyExpandedBT-Bold" w:eastAsia="Calibri" w:hAnsi="CenturyExpandedBT-Bold" w:cs="CenturyExpandedBT-Bold"/>
          <w:bCs/>
          <w:szCs w:val="24"/>
        </w:rPr>
        <w:t xml:space="preserve"> in favor of </w:t>
      </w:r>
      <w:r w:rsidR="004722F0">
        <w:rPr>
          <w:rFonts w:ascii="CenturyExpandedBT-Bold" w:eastAsia="Calibri" w:hAnsi="CenturyExpandedBT-Bold" w:cs="CenturyExpandedBT-Bold"/>
          <w:bCs/>
          <w:i/>
          <w:szCs w:val="24"/>
        </w:rPr>
        <w:t>Rosen</w:t>
      </w:r>
      <w:r w:rsidR="004722F0">
        <w:rPr>
          <w:rFonts w:ascii="CenturyExpandedBT-Bold" w:eastAsia="Calibri" w:hAnsi="CenturyExpandedBT-Bold" w:cs="CenturyExpandedBT-Bold"/>
          <w:bCs/>
          <w:szCs w:val="24"/>
        </w:rPr>
        <w:t xml:space="preserve"> and “policy reasons”); </w:t>
      </w:r>
      <w:r w:rsidR="00F27097">
        <w:rPr>
          <w:rFonts w:ascii="CenturyExpandedBT-Bold" w:eastAsia="Calibri" w:hAnsi="CenturyExpandedBT-Bold" w:cs="CenturyExpandedBT-Bold"/>
          <w:bCs/>
          <w:i/>
          <w:szCs w:val="24"/>
        </w:rPr>
        <w:t>Crocker</w:t>
      </w:r>
      <w:r w:rsidR="00F27097">
        <w:rPr>
          <w:rFonts w:ascii="CenturyExpandedBT-Bold" w:eastAsia="Calibri" w:hAnsi="CenturyExpandedBT-Bold" w:cs="CenturyExpandedBT-Bold"/>
          <w:bCs/>
          <w:szCs w:val="24"/>
        </w:rPr>
        <w:t>, 2001 WL 114977, at *7 n.9</w:t>
      </w:r>
      <w:r w:rsidR="004722F0">
        <w:rPr>
          <w:rFonts w:ascii="CenturyExpandedBT-Bold" w:eastAsia="Calibri" w:hAnsi="CenturyExpandedBT-Bold" w:cs="CenturyExpandedBT-Bold"/>
          <w:bCs/>
          <w:szCs w:val="24"/>
        </w:rPr>
        <w:t xml:space="preserve"> (noting contrary authority, but following </w:t>
      </w:r>
      <w:r w:rsidR="004722F0">
        <w:rPr>
          <w:rFonts w:ascii="CenturyExpandedBT-Bold" w:eastAsia="Calibri" w:hAnsi="CenturyExpandedBT-Bold" w:cs="CenturyExpandedBT-Bold"/>
          <w:bCs/>
          <w:i/>
          <w:szCs w:val="24"/>
        </w:rPr>
        <w:t>Rosen</w:t>
      </w:r>
      <w:r w:rsidR="004722F0">
        <w:rPr>
          <w:rFonts w:ascii="CenturyExpandedBT-Bold" w:eastAsia="Calibri" w:hAnsi="CenturyExpandedBT-Bold" w:cs="CenturyExpandedBT-Bold"/>
          <w:bCs/>
          <w:szCs w:val="24"/>
        </w:rPr>
        <w:t xml:space="preserve"> and </w:t>
      </w:r>
      <w:r w:rsidR="004722F0">
        <w:rPr>
          <w:rFonts w:ascii="CenturyExpandedBT-Bold" w:eastAsia="Calibri" w:hAnsi="CenturyExpandedBT-Bold" w:cs="CenturyExpandedBT-Bold"/>
          <w:bCs/>
          <w:i/>
          <w:szCs w:val="24"/>
        </w:rPr>
        <w:t>Patrice</w:t>
      </w:r>
      <w:r w:rsidR="004722F0">
        <w:rPr>
          <w:rFonts w:ascii="CenturyExpandedBT-Bold" w:eastAsia="Calibri" w:hAnsi="CenturyExpandedBT-Bold" w:cs="CenturyExpandedBT-Bold"/>
          <w:bCs/>
          <w:szCs w:val="24"/>
        </w:rPr>
        <w:t xml:space="preserve"> on the point upon which</w:t>
      </w:r>
      <w:r w:rsidR="00091D00">
        <w:rPr>
          <w:rFonts w:ascii="CenturyExpandedBT-Bold" w:eastAsia="Calibri" w:hAnsi="CenturyExpandedBT-Bold" w:cs="CenturyExpandedBT-Bold"/>
          <w:bCs/>
          <w:szCs w:val="24"/>
        </w:rPr>
        <w:t xml:space="preserve"> the Supreme Court curtailed</w:t>
      </w:r>
      <w:r w:rsidR="004722F0">
        <w:rPr>
          <w:rFonts w:ascii="CenturyExpandedBT-Bold" w:eastAsia="Calibri" w:hAnsi="CenturyExpandedBT-Bold" w:cs="CenturyExpandedBT-Bold"/>
          <w:bCs/>
          <w:szCs w:val="24"/>
        </w:rPr>
        <w:t xml:space="preserve"> </w:t>
      </w:r>
      <w:r w:rsidR="004722F0">
        <w:rPr>
          <w:rFonts w:ascii="CenturyExpandedBT-Bold" w:eastAsia="Calibri" w:hAnsi="CenturyExpandedBT-Bold" w:cs="CenturyExpandedBT-Bold"/>
          <w:bCs/>
          <w:i/>
          <w:szCs w:val="24"/>
        </w:rPr>
        <w:t>Rosen</w:t>
      </w:r>
      <w:r w:rsidR="00091D00">
        <w:rPr>
          <w:rFonts w:ascii="CenturyExpandedBT-Bold" w:eastAsia="Calibri" w:hAnsi="CenturyExpandedBT-Bold" w:cs="CenturyExpandedBT-Bold"/>
          <w:bCs/>
          <w:szCs w:val="24"/>
        </w:rPr>
        <w:t>).</w:t>
      </w:r>
      <w:r w:rsidR="00F27097">
        <w:rPr>
          <w:rFonts w:ascii="CenturyExpandedBT-Bold" w:eastAsia="Calibri" w:hAnsi="CenturyExpandedBT-Bold" w:cs="CenturyExpandedBT-Bold"/>
          <w:bCs/>
          <w:szCs w:val="24"/>
        </w:rPr>
        <w:t xml:space="preserve"> </w:t>
      </w:r>
    </w:p>
    <w:p w:rsidR="00037EB3" w:rsidRDefault="00091D00" w:rsidP="007D5C89">
      <w:pPr>
        <w:spacing w:line="480" w:lineRule="auto"/>
        <w:rPr>
          <w:rFonts w:ascii="CenturyExpandedBT-Bold" w:eastAsia="Calibri" w:hAnsi="CenturyExpandedBT-Bold" w:cs="CenturyExpandedBT-Bold"/>
          <w:bCs/>
          <w:szCs w:val="24"/>
        </w:rPr>
      </w:pPr>
      <w:r>
        <w:rPr>
          <w:rFonts w:ascii="CenturyExpandedBT-Bold" w:eastAsia="Calibri" w:hAnsi="CenturyExpandedBT-Bold" w:cs="CenturyExpandedBT-Bold"/>
          <w:bCs/>
          <w:szCs w:val="24"/>
        </w:rPr>
        <w:tab/>
        <w:t xml:space="preserve">The Court should decline Defendant’s request to rely upon a case that has been </w:t>
      </w:r>
      <w:r w:rsidR="00A63FD9">
        <w:rPr>
          <w:rFonts w:ascii="CenturyExpandedBT-Bold" w:eastAsia="Calibri" w:hAnsi="CenturyExpandedBT-Bold" w:cs="CenturyExpandedBT-Bold"/>
          <w:bCs/>
          <w:szCs w:val="24"/>
        </w:rPr>
        <w:t xml:space="preserve">limited </w:t>
      </w:r>
      <w:r>
        <w:rPr>
          <w:rFonts w:ascii="CenturyExpandedBT-Bold" w:eastAsia="Calibri" w:hAnsi="CenturyExpandedBT-Bold" w:cs="CenturyExpandedBT-Bold"/>
          <w:bCs/>
          <w:szCs w:val="24"/>
        </w:rPr>
        <w:t xml:space="preserve">by the Supreme Court, the very court that decided it, </w:t>
      </w:r>
      <w:r w:rsidR="00F7329B">
        <w:rPr>
          <w:rFonts w:ascii="CenturyExpandedBT-Bold" w:eastAsia="Calibri" w:hAnsi="CenturyExpandedBT-Bold" w:cs="CenturyExpandedBT-Bold"/>
          <w:bCs/>
          <w:szCs w:val="24"/>
        </w:rPr>
        <w:t xml:space="preserve">and </w:t>
      </w:r>
      <w:r>
        <w:rPr>
          <w:rFonts w:ascii="CenturyExpandedBT-Bold" w:eastAsia="Calibri" w:hAnsi="CenturyExpandedBT-Bold" w:cs="CenturyExpandedBT-Bold"/>
          <w:bCs/>
          <w:szCs w:val="24"/>
        </w:rPr>
        <w:t xml:space="preserve">multiple other courts, and </w:t>
      </w:r>
      <w:r w:rsidR="00F7329B">
        <w:rPr>
          <w:rFonts w:ascii="CenturyExpandedBT-Bold" w:eastAsia="Calibri" w:hAnsi="CenturyExpandedBT-Bold" w:cs="CenturyExpandedBT-Bold"/>
          <w:bCs/>
          <w:szCs w:val="24"/>
        </w:rPr>
        <w:t xml:space="preserve">that </w:t>
      </w:r>
      <w:r>
        <w:rPr>
          <w:rFonts w:ascii="CenturyExpandedBT-Bold" w:eastAsia="Calibri" w:hAnsi="CenturyExpandedBT-Bold" w:cs="CenturyExpandedBT-Bold"/>
          <w:bCs/>
          <w:szCs w:val="24"/>
        </w:rPr>
        <w:t>is flatly inconsistent with the plain language of the statute, the implementing regulations, and authoritative guidance.</w:t>
      </w:r>
    </w:p>
    <w:p w:rsidR="008D2243" w:rsidRDefault="008D2243" w:rsidP="007D5C89">
      <w:pPr>
        <w:spacing w:line="480" w:lineRule="auto"/>
        <w:rPr>
          <w:rFonts w:ascii="CenturyExpandedBT-Bold" w:eastAsia="Calibri" w:hAnsi="CenturyExpandedBT-Bold" w:cs="CenturyExpandedBT-Bold"/>
          <w:bCs/>
          <w:i/>
          <w:szCs w:val="24"/>
        </w:rPr>
      </w:pPr>
    </w:p>
    <w:p w:rsidR="00225530" w:rsidRDefault="007D5C89" w:rsidP="00D01009">
      <w:pPr>
        <w:rPr>
          <w:rFonts w:ascii="CenturyExpandedBT-Bold" w:eastAsia="Calibri" w:hAnsi="CenturyExpandedBT-Bold" w:cs="CenturyExpandedBT-Bold"/>
          <w:b/>
          <w:bCs/>
          <w:szCs w:val="24"/>
        </w:rPr>
      </w:pPr>
      <w:r w:rsidRPr="00225530">
        <w:rPr>
          <w:rFonts w:ascii="CenturyExpandedBT-Bold" w:eastAsia="Calibri" w:hAnsi="CenturyExpandedBT-Bold" w:cs="CenturyExpandedBT-Bold"/>
          <w:b/>
          <w:bCs/>
          <w:szCs w:val="24"/>
        </w:rPr>
        <w:t xml:space="preserve">B. </w:t>
      </w:r>
      <w:r w:rsidR="00D01009">
        <w:rPr>
          <w:rFonts w:ascii="CenturyExpandedBT-Bold" w:eastAsia="Calibri" w:hAnsi="CenturyExpandedBT-Bold" w:cs="CenturyExpandedBT-Bold"/>
          <w:b/>
          <w:bCs/>
          <w:szCs w:val="24"/>
        </w:rPr>
        <w:tab/>
      </w:r>
      <w:r w:rsidRPr="00225530">
        <w:rPr>
          <w:rFonts w:ascii="CenturyExpandedBT-Bold" w:eastAsia="Calibri" w:hAnsi="CenturyExpandedBT-Bold" w:cs="CenturyExpandedBT-Bold"/>
          <w:b/>
          <w:bCs/>
          <w:szCs w:val="24"/>
        </w:rPr>
        <w:t xml:space="preserve">Title II Requires Law Enforcement Entities To </w:t>
      </w:r>
      <w:r w:rsidR="0057623F">
        <w:rPr>
          <w:rFonts w:ascii="CenturyExpandedBT-Bold" w:eastAsia="Calibri" w:hAnsi="CenturyExpandedBT-Bold" w:cs="CenturyExpandedBT-Bold"/>
          <w:b/>
          <w:bCs/>
          <w:szCs w:val="24"/>
        </w:rPr>
        <w:t xml:space="preserve">Provide Effective Communication </w:t>
      </w:r>
      <w:r w:rsidR="0057623F">
        <w:rPr>
          <w:rFonts w:ascii="CenturyExpandedBT-Bold" w:eastAsia="Calibri" w:hAnsi="CenturyExpandedBT-Bold" w:cs="CenturyExpandedBT-Bold"/>
          <w:b/>
          <w:bCs/>
          <w:szCs w:val="24"/>
        </w:rPr>
        <w:tab/>
      </w:r>
      <w:r w:rsidRPr="00225530">
        <w:rPr>
          <w:rFonts w:ascii="CenturyExpandedBT-Bold" w:eastAsia="Calibri" w:hAnsi="CenturyExpandedBT-Bold" w:cs="CenturyExpandedBT-Bold"/>
          <w:b/>
          <w:bCs/>
          <w:szCs w:val="24"/>
        </w:rPr>
        <w:t xml:space="preserve">When Arresting An Individual With A Disability </w:t>
      </w:r>
    </w:p>
    <w:p w:rsidR="00D01009" w:rsidRPr="00225530" w:rsidRDefault="00D01009" w:rsidP="00D01009">
      <w:pPr>
        <w:rPr>
          <w:rFonts w:ascii="CenturyExpandedBT-Bold" w:eastAsia="Calibri" w:hAnsi="CenturyExpandedBT-Bold" w:cs="CenturyExpandedBT-Bold"/>
          <w:b/>
          <w:bCs/>
          <w:szCs w:val="24"/>
        </w:rPr>
      </w:pPr>
    </w:p>
    <w:p w:rsidR="00AB78E9" w:rsidRDefault="008B2901" w:rsidP="00AB78E9">
      <w:pPr>
        <w:rPr>
          <w:rFonts w:ascii="CenturyExpandedBT-Roman" w:eastAsia="Calibri" w:hAnsi="CenturyExpandedBT-Roman" w:cs="CenturyExpandedBT-Roman"/>
          <w:b/>
          <w:szCs w:val="24"/>
        </w:rPr>
      </w:pPr>
      <w:r>
        <w:rPr>
          <w:rFonts w:ascii="CenturyExpandedBT-Roman" w:eastAsia="Calibri" w:hAnsi="CenturyExpandedBT-Roman" w:cs="CenturyExpandedBT-Roman"/>
          <w:szCs w:val="24"/>
        </w:rPr>
        <w:tab/>
      </w:r>
      <w:r w:rsidR="00BC16FC" w:rsidRPr="00AB78E9">
        <w:rPr>
          <w:rFonts w:ascii="CenturyExpandedBT-Roman" w:eastAsia="Calibri" w:hAnsi="CenturyExpandedBT-Roman" w:cs="CenturyExpandedBT-Roman"/>
          <w:b/>
          <w:szCs w:val="24"/>
        </w:rPr>
        <w:t>1.</w:t>
      </w:r>
      <w:r w:rsidR="00BC16FC" w:rsidRPr="00AB78E9">
        <w:rPr>
          <w:rFonts w:ascii="CenturyExpandedBT-Roman" w:eastAsia="Calibri" w:hAnsi="CenturyExpandedBT-Roman" w:cs="CenturyExpandedBT-Roman"/>
          <w:b/>
          <w:szCs w:val="24"/>
        </w:rPr>
        <w:tab/>
      </w:r>
      <w:r w:rsidR="00AB78E9" w:rsidRPr="00AB78E9">
        <w:rPr>
          <w:rFonts w:ascii="CenturyExpandedBT-Roman" w:eastAsia="Calibri" w:hAnsi="CenturyExpandedBT-Roman" w:cs="CenturyExpandedBT-Roman"/>
          <w:b/>
          <w:szCs w:val="24"/>
        </w:rPr>
        <w:t xml:space="preserve">The Language of the Statute, and the Department of Justice Regulations and </w:t>
      </w:r>
      <w:r w:rsidR="00AB78E9" w:rsidRPr="00AB78E9">
        <w:rPr>
          <w:rFonts w:ascii="CenturyExpandedBT-Roman" w:eastAsia="Calibri" w:hAnsi="CenturyExpandedBT-Roman" w:cs="CenturyExpandedBT-Roman"/>
          <w:b/>
          <w:szCs w:val="24"/>
        </w:rPr>
        <w:tab/>
      </w:r>
      <w:r w:rsidR="00AB78E9" w:rsidRPr="00AB78E9">
        <w:rPr>
          <w:rFonts w:ascii="CenturyExpandedBT-Roman" w:eastAsia="Calibri" w:hAnsi="CenturyExpandedBT-Roman" w:cs="CenturyExpandedBT-Roman"/>
          <w:b/>
          <w:szCs w:val="24"/>
        </w:rPr>
        <w:tab/>
      </w:r>
      <w:r w:rsidR="00AB78E9" w:rsidRPr="00AB78E9">
        <w:rPr>
          <w:rFonts w:ascii="CenturyExpandedBT-Roman" w:eastAsia="Calibri" w:hAnsi="CenturyExpandedBT-Roman" w:cs="CenturyExpandedBT-Roman"/>
          <w:b/>
          <w:szCs w:val="24"/>
        </w:rPr>
        <w:tab/>
        <w:t xml:space="preserve">Guidance, as Well as the Settlement Agreement, Require </w:t>
      </w:r>
      <w:r w:rsidR="0057623F">
        <w:rPr>
          <w:rFonts w:ascii="CenturyExpandedBT-Roman" w:eastAsia="Calibri" w:hAnsi="CenturyExpandedBT-Roman" w:cs="CenturyExpandedBT-Roman"/>
          <w:b/>
          <w:szCs w:val="24"/>
        </w:rPr>
        <w:t xml:space="preserve">the Provision of </w:t>
      </w:r>
      <w:r w:rsidR="008D2243">
        <w:rPr>
          <w:rFonts w:ascii="CenturyExpandedBT-Roman" w:eastAsia="Calibri" w:hAnsi="CenturyExpandedBT-Roman" w:cs="CenturyExpandedBT-Roman"/>
          <w:b/>
          <w:szCs w:val="24"/>
        </w:rPr>
        <w:tab/>
      </w:r>
      <w:r w:rsidR="008D2243">
        <w:rPr>
          <w:rFonts w:ascii="CenturyExpandedBT-Roman" w:eastAsia="Calibri" w:hAnsi="CenturyExpandedBT-Roman" w:cs="CenturyExpandedBT-Roman"/>
          <w:b/>
          <w:szCs w:val="24"/>
        </w:rPr>
        <w:tab/>
      </w:r>
      <w:r w:rsidR="008D2243">
        <w:rPr>
          <w:rFonts w:ascii="CenturyExpandedBT-Roman" w:eastAsia="Calibri" w:hAnsi="CenturyExpandedBT-Roman" w:cs="CenturyExpandedBT-Roman"/>
          <w:b/>
          <w:szCs w:val="24"/>
        </w:rPr>
        <w:tab/>
      </w:r>
      <w:r w:rsidR="0057623F">
        <w:rPr>
          <w:rFonts w:ascii="CenturyExpandedBT-Roman" w:eastAsia="Calibri" w:hAnsi="CenturyExpandedBT-Roman" w:cs="CenturyExpandedBT-Roman"/>
          <w:b/>
          <w:szCs w:val="24"/>
        </w:rPr>
        <w:t xml:space="preserve">Effective Communication </w:t>
      </w:r>
    </w:p>
    <w:p w:rsidR="00AB78E9" w:rsidRPr="00AB78E9" w:rsidRDefault="00AB78E9" w:rsidP="00AB78E9">
      <w:pPr>
        <w:rPr>
          <w:rFonts w:ascii="CenturyExpandedBT-Roman" w:eastAsia="Calibri" w:hAnsi="CenturyExpandedBT-Roman" w:cs="CenturyExpandedBT-Roman"/>
          <w:b/>
          <w:szCs w:val="24"/>
        </w:rPr>
      </w:pPr>
    </w:p>
    <w:p w:rsidR="008B2901" w:rsidRDefault="00BC16FC" w:rsidP="007D5C89">
      <w:pPr>
        <w:spacing w:line="480" w:lineRule="auto"/>
        <w:rPr>
          <w:rFonts w:ascii="CenturyExpandedBT-Roman" w:eastAsia="Calibri" w:hAnsi="CenturyExpandedBT-Roman" w:cs="CenturyExpandedBT-Roman"/>
          <w:szCs w:val="24"/>
        </w:rPr>
      </w:pPr>
      <w:r>
        <w:rPr>
          <w:rFonts w:ascii="CenturyExpandedBT-Roman" w:eastAsia="Calibri" w:hAnsi="CenturyExpandedBT-Roman" w:cs="CenturyExpandedBT-Roman"/>
          <w:szCs w:val="24"/>
        </w:rPr>
        <w:tab/>
      </w:r>
      <w:r w:rsidR="007D5C89" w:rsidRPr="00225530">
        <w:rPr>
          <w:rFonts w:ascii="CenturyExpandedBT-Roman" w:eastAsia="Calibri" w:hAnsi="CenturyExpandedBT-Roman" w:cs="CenturyExpandedBT-Roman"/>
          <w:szCs w:val="24"/>
        </w:rPr>
        <w:t xml:space="preserve">Because law enforcement entities are subject to Title II, they must </w:t>
      </w:r>
      <w:r w:rsidR="0057623F">
        <w:rPr>
          <w:rFonts w:ascii="CenturyExpandedBT-Roman" w:eastAsia="Calibri" w:hAnsi="CenturyExpandedBT-Roman" w:cs="CenturyExpandedBT-Roman"/>
          <w:szCs w:val="24"/>
        </w:rPr>
        <w:t xml:space="preserve">first “take appropriate steps to ensure that communications with . . . members of the public . . . with disabilities are as </w:t>
      </w:r>
      <w:r w:rsidR="00A91AB3">
        <w:rPr>
          <w:rFonts w:ascii="CenturyExpandedBT-Roman" w:eastAsia="Calibri" w:hAnsi="CenturyExpandedBT-Roman" w:cs="CenturyExpandedBT-Roman"/>
          <w:szCs w:val="24"/>
        </w:rPr>
        <w:t>e</w:t>
      </w:r>
      <w:r w:rsidR="0057623F">
        <w:rPr>
          <w:rFonts w:ascii="CenturyExpandedBT-Roman" w:eastAsia="Calibri" w:hAnsi="CenturyExpandedBT-Roman" w:cs="CenturyExpandedBT-Roman"/>
          <w:szCs w:val="24"/>
        </w:rPr>
        <w:t xml:space="preserve">ffective as communications with others.” 28 C.F.R. § 35.160(a)(1).  Law enforcement entities must also </w:t>
      </w:r>
      <w:r w:rsidR="007D5C89" w:rsidRPr="00225530">
        <w:rPr>
          <w:rFonts w:ascii="CenturyExpandedBT-Roman" w:eastAsia="Calibri" w:hAnsi="CenturyExpandedBT-Roman" w:cs="CenturyExpandedBT-Roman"/>
          <w:szCs w:val="24"/>
        </w:rPr>
        <w:t xml:space="preserve">“make reasonable modifications in policies, practices, or procedures when the modifications are necessary to avoid discrimination on the basis of disability.” 28 C.F.R. </w:t>
      </w:r>
      <w:r w:rsidR="008B2901">
        <w:rPr>
          <w:rFonts w:ascii="CenturyExpandedBT-Roman" w:eastAsia="Calibri" w:hAnsi="CenturyExpandedBT-Roman" w:cs="CenturyExpandedBT-Roman"/>
          <w:szCs w:val="24"/>
        </w:rPr>
        <w:t>§ </w:t>
      </w:r>
      <w:r w:rsidR="007D5C89" w:rsidRPr="00225530">
        <w:rPr>
          <w:rFonts w:ascii="CenturyExpandedBT-Roman" w:eastAsia="Calibri" w:hAnsi="CenturyExpandedBT-Roman" w:cs="CenturyExpandedBT-Roman"/>
          <w:szCs w:val="24"/>
        </w:rPr>
        <w:t xml:space="preserve">35.130(b)(7); </w:t>
      </w:r>
      <w:r w:rsidR="007D5C89" w:rsidRPr="00225530">
        <w:rPr>
          <w:rFonts w:ascii="CenturyExpandedBT-Italic" w:eastAsia="Calibri" w:hAnsi="CenturyExpandedBT-Italic" w:cs="CenturyExpandedBT-Italic"/>
          <w:i/>
          <w:iCs/>
          <w:szCs w:val="24"/>
        </w:rPr>
        <w:t xml:space="preserve">Title II Technical Assistance </w:t>
      </w:r>
      <w:r w:rsidR="007D5C89" w:rsidRPr="00225530">
        <w:rPr>
          <w:rFonts w:ascii="CenturyExpandedBT-Roman" w:eastAsia="Calibri" w:hAnsi="CenturyExpandedBT-Roman" w:cs="CenturyExpandedBT-Roman"/>
          <w:szCs w:val="24"/>
        </w:rPr>
        <w:t>§ II-3.6100, at 14. That requirement extends to the arrest of an individual with a disability. For example, Title II may require a police department to “</w:t>
      </w:r>
      <w:proofErr w:type="spellStart"/>
      <w:r w:rsidR="007D5C89" w:rsidRPr="00225530">
        <w:rPr>
          <w:rFonts w:ascii="CenturyExpandedBT-Roman" w:eastAsia="Calibri" w:hAnsi="CenturyExpandedBT-Roman" w:cs="CenturyExpandedBT-Roman"/>
          <w:szCs w:val="24"/>
        </w:rPr>
        <w:t>modif</w:t>
      </w:r>
      <w:proofErr w:type="spellEnd"/>
      <w:r w:rsidR="007D5C89" w:rsidRPr="00225530">
        <w:rPr>
          <w:rFonts w:ascii="CenturyExpandedBT-Roman" w:eastAsia="Calibri" w:hAnsi="CenturyExpandedBT-Roman" w:cs="CenturyExpandedBT-Roman"/>
          <w:szCs w:val="24"/>
        </w:rPr>
        <w:t>[y] its regular practice of handcuffing arrestees behind their backs, and instead handcuff[</w:t>
      </w:r>
      <w:r w:rsidR="003E7078">
        <w:rPr>
          <w:rFonts w:ascii="CenturyExpandedBT-Roman" w:eastAsia="Calibri" w:hAnsi="CenturyExpandedBT-Roman" w:cs="CenturyExpandedBT-Roman"/>
          <w:szCs w:val="24"/>
        </w:rPr>
        <w:t xml:space="preserve"> </w:t>
      </w:r>
      <w:r w:rsidR="007D5C89" w:rsidRPr="00225530">
        <w:rPr>
          <w:rFonts w:ascii="CenturyExpandedBT-Roman" w:eastAsia="Calibri" w:hAnsi="CenturyExpandedBT-Roman" w:cs="CenturyExpandedBT-Roman"/>
          <w:szCs w:val="24"/>
        </w:rPr>
        <w:t xml:space="preserve">] deaf individuals in front in order for the person to sign or write notes.” </w:t>
      </w:r>
      <w:r w:rsidR="007D5C89" w:rsidRPr="00225530">
        <w:rPr>
          <w:rFonts w:ascii="CenturyExpandedBT-Italic" w:eastAsia="Calibri" w:hAnsi="CenturyExpandedBT-Italic" w:cs="CenturyExpandedBT-Italic"/>
          <w:i/>
          <w:iCs/>
          <w:szCs w:val="24"/>
        </w:rPr>
        <w:t xml:space="preserve">2006 Guidance </w:t>
      </w:r>
      <w:r w:rsidR="007D5C89" w:rsidRPr="00225530">
        <w:rPr>
          <w:rFonts w:ascii="CenturyExpandedBT-Roman" w:eastAsia="Calibri" w:hAnsi="CenturyExpandedBT-Roman" w:cs="CenturyExpandedBT-Roman"/>
          <w:szCs w:val="24"/>
        </w:rPr>
        <w:t xml:space="preserve">§ V. In addition, “an interpreter may be needed in lengthy or complex transactions” involving a deaf arrestee. U.S. Dep’t of Justice, </w:t>
      </w:r>
      <w:r w:rsidR="007D5C89" w:rsidRPr="00225530">
        <w:rPr>
          <w:rFonts w:ascii="CenturyExpandedBT-Italic" w:eastAsia="Calibri" w:hAnsi="CenturyExpandedBT-Italic" w:cs="CenturyExpandedBT-Italic"/>
          <w:i/>
          <w:iCs/>
          <w:szCs w:val="24"/>
        </w:rPr>
        <w:t xml:space="preserve">Communicating with People Who Are Deaf or Hard of Hearing: ADA Guide for Law Enforcement Officers </w:t>
      </w:r>
      <w:r w:rsidR="007D5C89" w:rsidRPr="00225530">
        <w:rPr>
          <w:rFonts w:ascii="CenturyExpandedBT-Roman" w:eastAsia="Calibri" w:hAnsi="CenturyExpandedBT-Roman" w:cs="CenturyExpandedBT-Roman"/>
          <w:szCs w:val="24"/>
        </w:rPr>
        <w:t>(Jan. 2006)</w:t>
      </w:r>
      <w:r w:rsidR="003E7078">
        <w:rPr>
          <w:rFonts w:ascii="CenturyExpandedBT-Roman" w:eastAsia="Calibri" w:hAnsi="CenturyExpandedBT-Roman" w:cs="CenturyExpandedBT-Roman"/>
          <w:szCs w:val="24"/>
        </w:rPr>
        <w:t xml:space="preserve"> (under “What Situations </w:t>
      </w:r>
      <w:r w:rsidR="003E7078">
        <w:rPr>
          <w:rFonts w:ascii="CenturyExpandedBT-Roman" w:eastAsia="Calibri" w:hAnsi="CenturyExpandedBT-Roman" w:cs="CenturyExpandedBT-Roman"/>
          <w:i/>
          <w:szCs w:val="24"/>
        </w:rPr>
        <w:t>Require</w:t>
      </w:r>
      <w:r w:rsidR="003E7078">
        <w:rPr>
          <w:rFonts w:ascii="CenturyExpandedBT-Roman" w:eastAsia="Calibri" w:hAnsi="CenturyExpandedBT-Roman" w:cs="CenturyExpandedBT-Roman"/>
          <w:szCs w:val="24"/>
        </w:rPr>
        <w:t xml:space="preserve"> An Interpreter?”). </w:t>
      </w:r>
      <w:r w:rsidR="003E7078" w:rsidRPr="00225530">
        <w:rPr>
          <w:rFonts w:ascii="CenturyExpandedBT-Roman" w:eastAsia="Calibri" w:hAnsi="CenturyExpandedBT-Roman" w:cs="CenturyExpandedBT-Roman"/>
          <w:szCs w:val="24"/>
        </w:rPr>
        <w:t>(</w:t>
      </w:r>
      <w:r w:rsidR="003E7078">
        <w:rPr>
          <w:rFonts w:ascii="CenturyExpandedBT-Roman" w:eastAsia="Calibri" w:hAnsi="CenturyExpandedBT-Roman" w:cs="CenturyExpandedBT-Roman"/>
          <w:szCs w:val="24"/>
        </w:rPr>
        <w:t xml:space="preserve">A copy of this document is attached as Exhibit </w:t>
      </w:r>
      <w:r w:rsidR="00A025D6">
        <w:rPr>
          <w:rFonts w:ascii="CenturyExpandedBT-Roman" w:eastAsia="Calibri" w:hAnsi="CenturyExpandedBT-Roman" w:cs="CenturyExpandedBT-Roman"/>
          <w:szCs w:val="24"/>
        </w:rPr>
        <w:t>D</w:t>
      </w:r>
      <w:r w:rsidR="003E7078">
        <w:rPr>
          <w:rFonts w:ascii="CenturyExpandedBT-Roman" w:eastAsia="Calibri" w:hAnsi="CenturyExpandedBT-Roman" w:cs="CenturyExpandedBT-Roman"/>
          <w:szCs w:val="24"/>
        </w:rPr>
        <w:t xml:space="preserve"> to the </w:t>
      </w:r>
      <w:r w:rsidR="00A025D6">
        <w:rPr>
          <w:rFonts w:ascii="CenturyExpandedBT-Roman" w:eastAsia="Calibri" w:hAnsi="CenturyExpandedBT-Roman" w:cs="CenturyExpandedBT-Roman"/>
          <w:szCs w:val="24"/>
        </w:rPr>
        <w:t xml:space="preserve">Agreement, which is </w:t>
      </w:r>
      <w:r w:rsidR="003E7078">
        <w:rPr>
          <w:rFonts w:ascii="CenturyExpandedBT-Roman" w:eastAsia="Calibri" w:hAnsi="CenturyExpandedBT-Roman" w:cs="CenturyExpandedBT-Roman"/>
          <w:szCs w:val="24"/>
        </w:rPr>
        <w:t>Kennedy Decl.</w:t>
      </w:r>
      <w:r w:rsidR="007D5C89" w:rsidRPr="00225530">
        <w:rPr>
          <w:rFonts w:ascii="CenturyExpandedBT-Roman" w:eastAsia="Calibri" w:hAnsi="CenturyExpandedBT-Roman" w:cs="CenturyExpandedBT-Roman"/>
          <w:szCs w:val="24"/>
        </w:rPr>
        <w:t xml:space="preserve"> </w:t>
      </w:r>
      <w:r w:rsidR="00A025D6">
        <w:rPr>
          <w:rFonts w:ascii="CenturyExpandedBT-Roman" w:eastAsia="Calibri" w:hAnsi="CenturyExpandedBT-Roman" w:cs="CenturyExpandedBT-Roman"/>
          <w:szCs w:val="24"/>
        </w:rPr>
        <w:t xml:space="preserve">A </w:t>
      </w:r>
      <w:r w:rsidR="007D5C89" w:rsidRPr="00225530">
        <w:rPr>
          <w:rFonts w:ascii="CenturyExpandedBT-Roman" w:eastAsia="Calibri" w:hAnsi="CenturyExpandedBT-Roman" w:cs="CenturyExpandedBT-Roman"/>
          <w:szCs w:val="24"/>
        </w:rPr>
        <w:t>(</w:t>
      </w:r>
      <w:r w:rsidR="00091D00">
        <w:rPr>
          <w:rFonts w:ascii="CenturyExpandedBT-Roman" w:eastAsia="Calibri" w:hAnsi="CenturyExpandedBT-Roman" w:cs="CenturyExpandedBT-Roman"/>
          <w:szCs w:val="24"/>
        </w:rPr>
        <w:t>“</w:t>
      </w:r>
      <w:r w:rsidR="007D5C89" w:rsidRPr="00225530">
        <w:rPr>
          <w:rFonts w:ascii="CenturyExpandedBT-Italic" w:eastAsia="Calibri" w:hAnsi="CenturyExpandedBT-Italic" w:cs="CenturyExpandedBT-Italic"/>
          <w:i/>
          <w:iCs/>
          <w:szCs w:val="24"/>
        </w:rPr>
        <w:t>ADA Law Enforcement Guide</w:t>
      </w:r>
      <w:r w:rsidR="00091D00">
        <w:rPr>
          <w:rFonts w:ascii="CenturyExpandedBT-Roman" w:eastAsia="Calibri" w:hAnsi="CenturyExpandedBT-Roman" w:cs="CenturyExpandedBT-Roman"/>
          <w:szCs w:val="24"/>
        </w:rPr>
        <w:t>”)</w:t>
      </w:r>
      <w:r w:rsidR="003E7078">
        <w:rPr>
          <w:rFonts w:ascii="CenturyExpandedBT-Roman" w:eastAsia="Calibri" w:hAnsi="CenturyExpandedBT-Roman" w:cs="CenturyExpandedBT-Roman"/>
          <w:szCs w:val="24"/>
        </w:rPr>
        <w:t>)</w:t>
      </w:r>
      <w:r w:rsidR="007D5C89" w:rsidRPr="00225530">
        <w:rPr>
          <w:rFonts w:ascii="CenturyExpandedBT-Roman" w:eastAsia="Calibri" w:hAnsi="CenturyExpandedBT-Roman" w:cs="CenturyExpandedBT-Roman"/>
          <w:szCs w:val="24"/>
        </w:rPr>
        <w:t xml:space="preserve">; </w:t>
      </w:r>
      <w:r w:rsidR="007D5C89" w:rsidRPr="008B2901">
        <w:rPr>
          <w:rFonts w:ascii="CenturyExpandedBT-Roman" w:eastAsia="Calibri" w:hAnsi="CenturyExpandedBT-Roman" w:cs="CenturyExpandedBT-Roman"/>
          <w:i/>
          <w:szCs w:val="24"/>
        </w:rPr>
        <w:t>see</w:t>
      </w:r>
      <w:r w:rsidR="007D5C89" w:rsidRPr="00225530">
        <w:rPr>
          <w:rFonts w:ascii="CenturyExpandedBT-Roman" w:eastAsia="Calibri" w:hAnsi="CenturyExpandedBT-Roman" w:cs="CenturyExpandedBT-Roman"/>
          <w:szCs w:val="24"/>
        </w:rPr>
        <w:t xml:space="preserve"> </w:t>
      </w:r>
      <w:r w:rsidR="007D5C89" w:rsidRPr="00225530">
        <w:rPr>
          <w:rFonts w:ascii="CenturyExpandedBT-Italic" w:eastAsia="Calibri" w:hAnsi="CenturyExpandedBT-Italic" w:cs="CenturyExpandedBT-Italic"/>
          <w:i/>
          <w:iCs/>
          <w:szCs w:val="24"/>
        </w:rPr>
        <w:t>Calloway</w:t>
      </w:r>
      <w:r w:rsidR="008B2901">
        <w:rPr>
          <w:rFonts w:ascii="CenturyExpandedBT-Roman" w:eastAsia="Calibri" w:hAnsi="CenturyExpandedBT-Roman" w:cs="CenturyExpandedBT-Roman"/>
          <w:szCs w:val="24"/>
        </w:rPr>
        <w:t xml:space="preserve">, 89 F. Supp. 2d </w:t>
      </w:r>
      <w:r w:rsidR="00677796">
        <w:rPr>
          <w:rFonts w:ascii="CenturyExpandedBT-Roman" w:eastAsia="Calibri" w:hAnsi="CenturyExpandedBT-Roman" w:cs="CenturyExpandedBT-Roman"/>
          <w:szCs w:val="24"/>
        </w:rPr>
        <w:t>at</w:t>
      </w:r>
      <w:r w:rsidR="008B2901">
        <w:rPr>
          <w:rFonts w:ascii="CenturyExpandedBT-Roman" w:eastAsia="Calibri" w:hAnsi="CenturyExpandedBT-Roman" w:cs="CenturyExpandedBT-Roman"/>
          <w:szCs w:val="24"/>
        </w:rPr>
        <w:t xml:space="preserve"> 555-</w:t>
      </w:r>
      <w:r w:rsidR="007D5C89" w:rsidRPr="00225530">
        <w:rPr>
          <w:rFonts w:ascii="CenturyExpandedBT-Roman" w:eastAsia="Calibri" w:hAnsi="CenturyExpandedBT-Roman" w:cs="CenturyExpandedBT-Roman"/>
          <w:szCs w:val="24"/>
        </w:rPr>
        <w:t>56</w:t>
      </w:r>
      <w:r w:rsidR="000B7927">
        <w:rPr>
          <w:rFonts w:ascii="CenturyExpandedBT-Roman" w:eastAsia="Calibri" w:hAnsi="CenturyExpandedBT-Roman" w:cs="CenturyExpandedBT-Roman"/>
          <w:szCs w:val="24"/>
        </w:rPr>
        <w:t>, 556 n.20</w:t>
      </w:r>
      <w:r w:rsidR="007D5C89" w:rsidRPr="00225530">
        <w:rPr>
          <w:rFonts w:ascii="CenturyExpandedBT-Roman" w:eastAsia="Calibri" w:hAnsi="CenturyExpandedBT-Roman" w:cs="CenturyExpandedBT-Roman"/>
          <w:szCs w:val="24"/>
        </w:rPr>
        <w:t xml:space="preserve"> (recognizing </w:t>
      </w:r>
      <w:r w:rsidR="00A63FD9">
        <w:rPr>
          <w:rFonts w:ascii="CenturyExpandedBT-Roman" w:eastAsia="Calibri" w:hAnsi="CenturyExpandedBT-Roman" w:cs="CenturyExpandedBT-Roman"/>
          <w:szCs w:val="24"/>
        </w:rPr>
        <w:t xml:space="preserve">that </w:t>
      </w:r>
      <w:r w:rsidR="007D5C89" w:rsidRPr="00225530">
        <w:rPr>
          <w:rFonts w:ascii="CenturyExpandedBT-Roman" w:eastAsia="Calibri" w:hAnsi="CenturyExpandedBT-Roman" w:cs="CenturyExpandedBT-Roman"/>
          <w:szCs w:val="24"/>
        </w:rPr>
        <w:t xml:space="preserve">ADA may require modification to </w:t>
      </w:r>
      <w:r w:rsidR="0057623F">
        <w:rPr>
          <w:rFonts w:ascii="CenturyExpandedBT-Roman" w:eastAsia="Calibri" w:hAnsi="CenturyExpandedBT-Roman" w:cs="CenturyExpandedBT-Roman"/>
          <w:szCs w:val="24"/>
        </w:rPr>
        <w:t xml:space="preserve">police practices to </w:t>
      </w:r>
      <w:r w:rsidR="007D5C89" w:rsidRPr="00225530">
        <w:rPr>
          <w:rFonts w:ascii="CenturyExpandedBT-Roman" w:eastAsia="Calibri" w:hAnsi="CenturyExpandedBT-Roman" w:cs="CenturyExpandedBT-Roman"/>
          <w:szCs w:val="24"/>
        </w:rPr>
        <w:t>enable “a hearing impaired individual to participate in the specific police activity in an appropriate manner</w:t>
      </w:r>
      <w:r w:rsidR="00A63FD9">
        <w:rPr>
          <w:rFonts w:ascii="CenturyExpandedBT-Roman" w:eastAsia="Calibri" w:hAnsi="CenturyExpandedBT-Roman" w:cs="CenturyExpandedBT-Roman"/>
          <w:szCs w:val="24"/>
        </w:rPr>
        <w:t>,</w:t>
      </w:r>
      <w:r w:rsidR="007D5C89" w:rsidRPr="00225530">
        <w:rPr>
          <w:rFonts w:ascii="CenturyExpandedBT-Roman" w:eastAsia="Calibri" w:hAnsi="CenturyExpandedBT-Roman" w:cs="CenturyExpandedBT-Roman"/>
          <w:szCs w:val="24"/>
        </w:rPr>
        <w:t>”</w:t>
      </w:r>
      <w:r w:rsidR="000B7927">
        <w:rPr>
          <w:rFonts w:ascii="CenturyExpandedBT-Roman" w:eastAsia="Calibri" w:hAnsi="CenturyExpandedBT-Roman" w:cs="CenturyExpandedBT-Roman"/>
          <w:szCs w:val="24"/>
        </w:rPr>
        <w:t xml:space="preserve"> but expressing no view as to whether auxiliary aids o</w:t>
      </w:r>
      <w:r w:rsidR="00677796">
        <w:rPr>
          <w:rFonts w:ascii="CenturyExpandedBT-Roman" w:eastAsia="Calibri" w:hAnsi="CenturyExpandedBT-Roman" w:cs="CenturyExpandedBT-Roman"/>
          <w:szCs w:val="24"/>
        </w:rPr>
        <w:t>r</w:t>
      </w:r>
      <w:r w:rsidR="000B7927">
        <w:rPr>
          <w:rFonts w:ascii="CenturyExpandedBT-Roman" w:eastAsia="Calibri" w:hAnsi="CenturyExpandedBT-Roman" w:cs="CenturyExpandedBT-Roman"/>
          <w:szCs w:val="24"/>
        </w:rPr>
        <w:t xml:space="preserve"> services required at interrogation outside police station</w:t>
      </w:r>
      <w:r w:rsidR="007D5C89" w:rsidRPr="00225530">
        <w:rPr>
          <w:rFonts w:ascii="CenturyExpandedBT-Roman" w:eastAsia="Calibri" w:hAnsi="CenturyExpandedBT-Roman" w:cs="CenturyExpandedBT-Roman"/>
          <w:szCs w:val="24"/>
        </w:rPr>
        <w:t xml:space="preserve">). The ADA also requires law enforcement entities to make reasonable modifications when transporting arrestees with mobility disabilities. </w:t>
      </w:r>
      <w:r w:rsidR="00EB2528">
        <w:rPr>
          <w:rFonts w:ascii="CenturyExpandedBT-Roman" w:eastAsia="Calibri" w:hAnsi="CenturyExpandedBT-Roman" w:cs="CenturyExpandedBT-Roman"/>
          <w:i/>
          <w:szCs w:val="24"/>
        </w:rPr>
        <w:t>S</w:t>
      </w:r>
      <w:r w:rsidR="007D5C89" w:rsidRPr="001A4AA4">
        <w:rPr>
          <w:rFonts w:ascii="CenturyExpandedBT-Roman" w:eastAsia="Calibri" w:hAnsi="CenturyExpandedBT-Roman" w:cs="CenturyExpandedBT-Roman"/>
          <w:i/>
          <w:szCs w:val="24"/>
        </w:rPr>
        <w:t>ee</w:t>
      </w:r>
      <w:r w:rsidR="007D5C89" w:rsidRPr="00225530">
        <w:rPr>
          <w:rFonts w:ascii="CenturyExpandedBT-Roman" w:eastAsia="Calibri" w:hAnsi="CenturyExpandedBT-Roman" w:cs="CenturyExpandedBT-Roman"/>
          <w:szCs w:val="24"/>
        </w:rPr>
        <w:t xml:space="preserve"> </w:t>
      </w:r>
      <w:r w:rsidR="007D5C89" w:rsidRPr="00225530">
        <w:rPr>
          <w:rFonts w:ascii="CenturyExpandedBT-Italic" w:eastAsia="Calibri" w:hAnsi="CenturyExpandedBT-Italic" w:cs="CenturyExpandedBT-Italic"/>
          <w:i/>
          <w:iCs/>
          <w:szCs w:val="24"/>
        </w:rPr>
        <w:t>Gorman</w:t>
      </w:r>
      <w:r w:rsidR="007D5C89" w:rsidRPr="003E7078">
        <w:rPr>
          <w:rFonts w:ascii="CenturyExpandedBT-Italic" w:eastAsia="Calibri" w:hAnsi="CenturyExpandedBT-Italic" w:cs="CenturyExpandedBT-Italic"/>
          <w:i/>
          <w:iCs/>
          <w:szCs w:val="24"/>
        </w:rPr>
        <w:t xml:space="preserve"> </w:t>
      </w:r>
      <w:r w:rsidR="007D5C89" w:rsidRPr="003E7078">
        <w:rPr>
          <w:rFonts w:ascii="CenturyExpandedBT-Roman" w:eastAsia="Calibri" w:hAnsi="CenturyExpandedBT-Roman" w:cs="CenturyExpandedBT-Roman"/>
          <w:i/>
          <w:szCs w:val="24"/>
        </w:rPr>
        <w:t>v.</w:t>
      </w:r>
      <w:r w:rsidR="007D5C89" w:rsidRPr="00225530">
        <w:rPr>
          <w:rFonts w:ascii="CenturyExpandedBT-Roman" w:eastAsia="Calibri" w:hAnsi="CenturyExpandedBT-Roman" w:cs="CenturyExpandedBT-Roman"/>
          <w:szCs w:val="24"/>
        </w:rPr>
        <w:t xml:space="preserve"> </w:t>
      </w:r>
      <w:proofErr w:type="spellStart"/>
      <w:r w:rsidR="007D5C89" w:rsidRPr="00225530">
        <w:rPr>
          <w:rFonts w:ascii="CenturyExpandedBT-Italic" w:eastAsia="Calibri" w:hAnsi="CenturyExpandedBT-Italic" w:cs="CenturyExpandedBT-Italic"/>
          <w:i/>
          <w:iCs/>
          <w:szCs w:val="24"/>
        </w:rPr>
        <w:t>Bartch</w:t>
      </w:r>
      <w:proofErr w:type="spellEnd"/>
      <w:r w:rsidR="007D5C89" w:rsidRPr="00225530">
        <w:rPr>
          <w:rFonts w:ascii="CenturyExpandedBT-Roman" w:eastAsia="Calibri" w:hAnsi="CenturyExpandedBT-Roman" w:cs="CenturyExpandedBT-Roman"/>
          <w:szCs w:val="24"/>
        </w:rPr>
        <w:t>, 152 F.3d 907, 913 (8th Cir. 1998) (ADA is “</w:t>
      </w:r>
      <w:proofErr w:type="spellStart"/>
      <w:r w:rsidR="007D5C89" w:rsidRPr="00225530">
        <w:rPr>
          <w:rFonts w:ascii="CenturyExpandedBT-Roman" w:eastAsia="Calibri" w:hAnsi="CenturyExpandedBT-Roman" w:cs="CenturyExpandedBT-Roman"/>
          <w:szCs w:val="24"/>
        </w:rPr>
        <w:t>applicab</w:t>
      </w:r>
      <w:proofErr w:type="spellEnd"/>
      <w:r w:rsidR="007D5C89" w:rsidRPr="00225530">
        <w:rPr>
          <w:rFonts w:ascii="CenturyExpandedBT-Roman" w:eastAsia="Calibri" w:hAnsi="CenturyExpandedBT-Roman" w:cs="CenturyExpandedBT-Roman"/>
          <w:szCs w:val="24"/>
        </w:rPr>
        <w:t>[le] to tra</w:t>
      </w:r>
      <w:r w:rsidR="008B2901">
        <w:rPr>
          <w:rFonts w:ascii="CenturyExpandedBT-Roman" w:eastAsia="Calibri" w:hAnsi="CenturyExpandedBT-Roman" w:cs="CenturyExpandedBT-Roman"/>
          <w:szCs w:val="24"/>
        </w:rPr>
        <w:t xml:space="preserve">nsportation of arrestees.”). </w:t>
      </w:r>
    </w:p>
    <w:p w:rsidR="001A4AA4" w:rsidRDefault="00F8283C" w:rsidP="007D5C89">
      <w:pPr>
        <w:spacing w:line="480" w:lineRule="auto"/>
        <w:rPr>
          <w:rFonts w:ascii="CenturyExpandedBT-Roman" w:eastAsia="Calibri" w:hAnsi="CenturyExpandedBT-Roman" w:cs="CenturyExpandedBT-Roman"/>
          <w:szCs w:val="24"/>
        </w:rPr>
      </w:pPr>
      <w:r>
        <w:rPr>
          <w:rFonts w:ascii="CenturyExpandedBT-Roman" w:eastAsia="Calibri" w:hAnsi="CenturyExpandedBT-Roman" w:cs="CenturyExpandedBT-Roman"/>
          <w:szCs w:val="24"/>
        </w:rPr>
        <w:tab/>
      </w:r>
      <w:r w:rsidRPr="00225530">
        <w:rPr>
          <w:rFonts w:ascii="CenturyExpandedBT-Roman" w:eastAsia="Calibri" w:hAnsi="CenturyExpandedBT-Roman" w:cs="CenturyExpandedBT-Roman"/>
          <w:szCs w:val="24"/>
        </w:rPr>
        <w:t xml:space="preserve">To defeat a motion for summary judgment, a plaintiff raising a failure-to-accommodate claim must </w:t>
      </w:r>
      <w:r w:rsidR="007F3FD0">
        <w:rPr>
          <w:rFonts w:ascii="CenturyExpandedBT-Roman" w:eastAsia="Calibri" w:hAnsi="CenturyExpandedBT-Roman" w:cs="CenturyExpandedBT-Roman"/>
          <w:szCs w:val="24"/>
        </w:rPr>
        <w:t xml:space="preserve">show that, under the circumstances, a reasonable accommodation for his or her disability should have been made. </w:t>
      </w:r>
      <w:r w:rsidRPr="00225530">
        <w:rPr>
          <w:rFonts w:ascii="CenturyExpandedBT-Roman" w:eastAsia="Calibri" w:hAnsi="CenturyExpandedBT-Roman" w:cs="CenturyExpandedBT-Roman"/>
          <w:szCs w:val="24"/>
        </w:rPr>
        <w:t xml:space="preserve"> </w:t>
      </w:r>
      <w:proofErr w:type="spellStart"/>
      <w:r w:rsidR="007F3FD0">
        <w:rPr>
          <w:rFonts w:ascii="CenturyExpandedBT-Italic" w:eastAsia="Calibri" w:hAnsi="CenturyExpandedBT-Italic" w:cs="CenturyExpandedBT-Italic"/>
          <w:i/>
          <w:iCs/>
          <w:szCs w:val="24"/>
        </w:rPr>
        <w:t>Seremeth</w:t>
      </w:r>
      <w:proofErr w:type="spellEnd"/>
      <w:r w:rsidRPr="00225530">
        <w:rPr>
          <w:rFonts w:ascii="CenturyExpandedBT-Roman" w:eastAsia="Calibri" w:hAnsi="CenturyExpandedBT-Roman" w:cs="CenturyExpandedBT-Roman"/>
          <w:szCs w:val="24"/>
        </w:rPr>
        <w:t xml:space="preserve">, </w:t>
      </w:r>
      <w:r w:rsidR="007F3FD0">
        <w:rPr>
          <w:rFonts w:ascii="CenturyExpandedBT-Roman" w:eastAsia="Calibri" w:hAnsi="CenturyExpandedBT-Roman" w:cs="CenturyExpandedBT-Roman"/>
          <w:szCs w:val="24"/>
        </w:rPr>
        <w:t>673</w:t>
      </w:r>
      <w:r w:rsidRPr="00225530">
        <w:rPr>
          <w:rFonts w:ascii="CenturyExpandedBT-Roman" w:eastAsia="Calibri" w:hAnsi="CenturyExpandedBT-Roman" w:cs="CenturyExpandedBT-Roman"/>
          <w:szCs w:val="24"/>
        </w:rPr>
        <w:t xml:space="preserve"> U.S. at </w:t>
      </w:r>
      <w:r w:rsidR="007F3FD0">
        <w:rPr>
          <w:rFonts w:ascii="CenturyExpandedBT-Roman" w:eastAsia="Calibri" w:hAnsi="CenturyExpandedBT-Roman" w:cs="CenturyExpandedBT-Roman"/>
          <w:szCs w:val="24"/>
        </w:rPr>
        <w:t>340</w:t>
      </w:r>
      <w:r w:rsidRPr="00225530">
        <w:rPr>
          <w:rFonts w:ascii="CenturyExpandedBT-Roman" w:eastAsia="Calibri" w:hAnsi="CenturyExpandedBT-Roman" w:cs="CenturyExpandedBT-Roman"/>
          <w:szCs w:val="24"/>
        </w:rPr>
        <w:t>.</w:t>
      </w:r>
      <w:r w:rsidR="00E255DC">
        <w:rPr>
          <w:rFonts w:ascii="CenturyExpandedBT-Roman" w:eastAsia="Calibri" w:hAnsi="CenturyExpandedBT-Roman" w:cs="CenturyExpandedBT-Roman"/>
          <w:szCs w:val="24"/>
        </w:rPr>
        <w:t xml:space="preserve">  A plaintiff raising an effective communication claim </w:t>
      </w:r>
      <w:r w:rsidR="00961C69">
        <w:rPr>
          <w:rFonts w:ascii="CenturyExpandedBT-Roman" w:eastAsia="Calibri" w:hAnsi="CenturyExpandedBT-Roman" w:cs="CenturyExpandedBT-Roman"/>
          <w:szCs w:val="24"/>
        </w:rPr>
        <w:t>must</w:t>
      </w:r>
      <w:r w:rsidR="00E255DC">
        <w:rPr>
          <w:rFonts w:ascii="CenturyExpandedBT-Roman" w:eastAsia="Calibri" w:hAnsi="CenturyExpandedBT-Roman" w:cs="CenturyExpandedBT-Roman"/>
          <w:szCs w:val="24"/>
        </w:rPr>
        <w:t xml:space="preserve"> show that </w:t>
      </w:r>
      <w:r w:rsidR="00961C69">
        <w:rPr>
          <w:rFonts w:ascii="CenturyExpandedBT-Roman" w:eastAsia="Calibri" w:hAnsi="CenturyExpandedBT-Roman" w:cs="CenturyExpandedBT-Roman"/>
          <w:szCs w:val="24"/>
        </w:rPr>
        <w:t xml:space="preserve">the </w:t>
      </w:r>
      <w:r w:rsidR="00E255DC">
        <w:rPr>
          <w:rFonts w:ascii="CenturyExpandedBT-Roman" w:eastAsia="Calibri" w:hAnsi="CenturyExpandedBT-Roman" w:cs="CenturyExpandedBT-Roman"/>
          <w:szCs w:val="24"/>
        </w:rPr>
        <w:t xml:space="preserve">auxiliary aid or service was needed in order to make the covered entity’s communication with the plaintiff as effective as communication with persons without disabilities in similar circumstances.  A covered entity may then show that </w:t>
      </w:r>
      <w:r w:rsidR="00961C69">
        <w:rPr>
          <w:rFonts w:ascii="CenturyExpandedBT-Roman" w:eastAsia="Calibri" w:hAnsi="CenturyExpandedBT-Roman" w:cs="CenturyExpandedBT-Roman"/>
          <w:szCs w:val="24"/>
        </w:rPr>
        <w:t xml:space="preserve">the </w:t>
      </w:r>
      <w:r w:rsidR="00E255DC">
        <w:rPr>
          <w:rFonts w:ascii="CenturyExpandedBT-Roman" w:eastAsia="Calibri" w:hAnsi="CenturyExpandedBT-Roman" w:cs="CenturyExpandedBT-Roman"/>
          <w:szCs w:val="24"/>
        </w:rPr>
        <w:t>auxiliary aid or service would constitute a fundamental alteration</w:t>
      </w:r>
      <w:r w:rsidR="00961C69">
        <w:rPr>
          <w:rFonts w:ascii="CenturyExpandedBT-Roman" w:eastAsia="Calibri" w:hAnsi="CenturyExpandedBT-Roman" w:cs="CenturyExpandedBT-Roman"/>
          <w:szCs w:val="24"/>
        </w:rPr>
        <w:t xml:space="preserve"> or undue burden</w:t>
      </w:r>
      <w:r w:rsidR="00E255DC">
        <w:rPr>
          <w:rFonts w:ascii="CenturyExpandedBT-Roman" w:eastAsia="Calibri" w:hAnsi="CenturyExpandedBT-Roman" w:cs="CenturyExpandedBT-Roman"/>
          <w:szCs w:val="24"/>
        </w:rPr>
        <w:t xml:space="preserve">.  </w:t>
      </w:r>
      <w:r w:rsidR="00C62E1A">
        <w:rPr>
          <w:rFonts w:ascii="CenturyExpandedBT-Roman" w:eastAsia="Calibri" w:hAnsi="CenturyExpandedBT-Roman" w:cs="CenturyExpandedBT-Roman"/>
          <w:szCs w:val="24"/>
        </w:rPr>
        <w:t xml:space="preserve">While the exigencies surrounding police activity may play a role in determining whether a modification is reasonable, </w:t>
      </w:r>
      <w:r w:rsidR="007D5C89" w:rsidRPr="00225530">
        <w:rPr>
          <w:rFonts w:ascii="CenturyExpandedBT-Roman" w:eastAsia="Calibri" w:hAnsi="CenturyExpandedBT-Roman" w:cs="CenturyExpandedBT-Roman"/>
          <w:szCs w:val="24"/>
        </w:rPr>
        <w:t xml:space="preserve">law enforcement entities enjoy no categorical immunity from the ADA when arresting an individual with a disability. </w:t>
      </w:r>
      <w:r w:rsidR="007D5C89" w:rsidRPr="001A4AA4">
        <w:rPr>
          <w:rFonts w:ascii="CenturyExpandedBT-Roman" w:eastAsia="Calibri" w:hAnsi="CenturyExpandedBT-Roman" w:cs="CenturyExpandedBT-Roman"/>
          <w:i/>
          <w:szCs w:val="24"/>
        </w:rPr>
        <w:t xml:space="preserve">See, </w:t>
      </w:r>
      <w:r w:rsidR="007D5C89" w:rsidRPr="001A4AA4">
        <w:rPr>
          <w:rFonts w:ascii="CenturyExpandedBT-Italic" w:eastAsia="Calibri" w:hAnsi="CenturyExpandedBT-Italic" w:cs="CenturyExpandedBT-Italic"/>
          <w:i/>
          <w:iCs/>
          <w:szCs w:val="24"/>
        </w:rPr>
        <w:t>e.g.</w:t>
      </w:r>
      <w:r w:rsidR="007D5C89" w:rsidRPr="001A4AA4">
        <w:rPr>
          <w:rFonts w:ascii="CenturyExpandedBT-Roman" w:eastAsia="Calibri" w:hAnsi="CenturyExpandedBT-Roman" w:cs="CenturyExpandedBT-Roman"/>
          <w:i/>
          <w:szCs w:val="24"/>
        </w:rPr>
        <w:t xml:space="preserve">, </w:t>
      </w:r>
      <w:r w:rsidR="007F3FD0">
        <w:rPr>
          <w:rFonts w:ascii="CenturyExpandedBT-Italic" w:eastAsia="Calibri" w:hAnsi="CenturyExpandedBT-Italic" w:cs="CenturyExpandedBT-Italic"/>
          <w:i/>
          <w:iCs/>
          <w:szCs w:val="24"/>
        </w:rPr>
        <w:t>id.</w:t>
      </w:r>
      <w:r w:rsidR="007D5C89" w:rsidRPr="00225530">
        <w:rPr>
          <w:rFonts w:ascii="CenturyExpandedBT-Roman" w:eastAsia="Calibri" w:hAnsi="CenturyExpandedBT-Roman" w:cs="CenturyExpandedBT-Roman"/>
          <w:szCs w:val="24"/>
        </w:rPr>
        <w:t xml:space="preserve"> </w:t>
      </w:r>
      <w:r w:rsidR="00091D00">
        <w:rPr>
          <w:rFonts w:ascii="CenturyExpandedBT-Roman" w:eastAsia="Calibri" w:hAnsi="CenturyExpandedBT-Roman" w:cs="CenturyExpandedBT-Roman"/>
          <w:szCs w:val="24"/>
        </w:rPr>
        <w:t>at</w:t>
      </w:r>
      <w:r w:rsidR="00F8395B">
        <w:rPr>
          <w:rFonts w:ascii="CenturyExpandedBT-Roman" w:eastAsia="Calibri" w:hAnsi="CenturyExpandedBT-Roman" w:cs="CenturyExpandedBT-Roman"/>
          <w:szCs w:val="24"/>
        </w:rPr>
        <w:t xml:space="preserve"> 3</w:t>
      </w:r>
      <w:r w:rsidR="00EB2528">
        <w:rPr>
          <w:rFonts w:ascii="CenturyExpandedBT-Roman" w:eastAsia="Calibri" w:hAnsi="CenturyExpandedBT-Roman" w:cs="CenturyExpandedBT-Roman"/>
          <w:szCs w:val="24"/>
        </w:rPr>
        <w:t>39</w:t>
      </w:r>
      <w:r w:rsidR="00D121D0">
        <w:rPr>
          <w:rFonts w:ascii="CenturyExpandedBT-Roman" w:eastAsia="Calibri" w:hAnsi="CenturyExpandedBT-Roman" w:cs="CenturyExpandedBT-Roman"/>
          <w:szCs w:val="24"/>
        </w:rPr>
        <w:t xml:space="preserve"> </w:t>
      </w:r>
      <w:r w:rsidR="003E7078">
        <w:rPr>
          <w:rFonts w:ascii="CenturyExpandedBT-Roman" w:eastAsia="Calibri" w:hAnsi="CenturyExpandedBT-Roman" w:cs="CenturyExpandedBT-Roman"/>
          <w:szCs w:val="24"/>
        </w:rPr>
        <w:t>(</w:t>
      </w:r>
      <w:r w:rsidR="00F8395B">
        <w:rPr>
          <w:rFonts w:ascii="CenturyExpandedBT-Roman" w:eastAsia="Calibri" w:hAnsi="CenturyExpandedBT-Roman" w:cs="CenturyExpandedBT-Roman"/>
          <w:szCs w:val="24"/>
        </w:rPr>
        <w:t>“Most importantly, nothing in the text of the ADA suggests that a separate exigent-circumstances inquiry is appropriate.”</w:t>
      </w:r>
      <w:r w:rsidR="003E7078">
        <w:rPr>
          <w:rFonts w:ascii="CenturyExpandedBT-Roman" w:eastAsia="Calibri" w:hAnsi="CenturyExpandedBT-Roman" w:cs="CenturyExpandedBT-Roman"/>
          <w:szCs w:val="24"/>
        </w:rPr>
        <w:t>)</w:t>
      </w:r>
      <w:r w:rsidR="007D5C89" w:rsidRPr="00225530">
        <w:rPr>
          <w:rFonts w:ascii="CenturyExpandedBT-Roman" w:eastAsia="Calibri" w:hAnsi="CenturyExpandedBT-Roman" w:cs="CenturyExpandedBT-Roman"/>
          <w:szCs w:val="24"/>
        </w:rPr>
        <w:t xml:space="preserve">; </w:t>
      </w:r>
      <w:proofErr w:type="spellStart"/>
      <w:r w:rsidR="007D5C89" w:rsidRPr="00225530">
        <w:rPr>
          <w:rFonts w:ascii="CenturyExpandedBT-Italic" w:eastAsia="Calibri" w:hAnsi="CenturyExpandedBT-Italic" w:cs="CenturyExpandedBT-Italic"/>
          <w:i/>
          <w:iCs/>
          <w:szCs w:val="24"/>
        </w:rPr>
        <w:t>Bircol</w:t>
      </w:r>
      <w:r w:rsidR="007D5C89" w:rsidRPr="001A4AA4">
        <w:rPr>
          <w:rFonts w:ascii="CenturyExpandedBT-Italic" w:eastAsia="Calibri" w:hAnsi="CenturyExpandedBT-Italic" w:cs="CenturyExpandedBT-Italic"/>
          <w:i/>
          <w:iCs/>
          <w:szCs w:val="24"/>
        </w:rPr>
        <w:t>l</w:t>
      </w:r>
      <w:proofErr w:type="spellEnd"/>
      <w:r w:rsidR="007D5C89" w:rsidRPr="001A4AA4">
        <w:rPr>
          <w:rFonts w:ascii="CenturyExpandedBT-Italic" w:eastAsia="Calibri" w:hAnsi="CenturyExpandedBT-Italic" w:cs="CenturyExpandedBT-Italic"/>
          <w:i/>
          <w:iCs/>
          <w:szCs w:val="24"/>
        </w:rPr>
        <w:t xml:space="preserve"> </w:t>
      </w:r>
      <w:r w:rsidR="007D5C89" w:rsidRPr="001A4AA4">
        <w:rPr>
          <w:rFonts w:ascii="CenturyExpandedBT-Roman" w:eastAsia="Calibri" w:hAnsi="CenturyExpandedBT-Roman" w:cs="CenturyExpandedBT-Roman"/>
          <w:i/>
          <w:szCs w:val="24"/>
        </w:rPr>
        <w:t xml:space="preserve">v. </w:t>
      </w:r>
      <w:r w:rsidR="007D5C89" w:rsidRPr="001A4AA4">
        <w:rPr>
          <w:rFonts w:ascii="CenturyExpandedBT-Italic" w:eastAsia="Calibri" w:hAnsi="CenturyExpandedBT-Italic" w:cs="CenturyExpandedBT-Italic"/>
          <w:i/>
          <w:iCs/>
          <w:szCs w:val="24"/>
        </w:rPr>
        <w:t>M</w:t>
      </w:r>
      <w:r w:rsidR="007D5C89" w:rsidRPr="00225530">
        <w:rPr>
          <w:rFonts w:ascii="CenturyExpandedBT-Italic" w:eastAsia="Calibri" w:hAnsi="CenturyExpandedBT-Italic" w:cs="CenturyExpandedBT-Italic"/>
          <w:i/>
          <w:iCs/>
          <w:szCs w:val="24"/>
        </w:rPr>
        <w:t xml:space="preserve">iami-Dade </w:t>
      </w:r>
      <w:proofErr w:type="spellStart"/>
      <w:r w:rsidR="007D5C89" w:rsidRPr="00225530">
        <w:rPr>
          <w:rFonts w:ascii="CenturyExpandedBT-Italic" w:eastAsia="Calibri" w:hAnsi="CenturyExpandedBT-Italic" w:cs="CenturyExpandedBT-Italic"/>
          <w:i/>
          <w:iCs/>
          <w:szCs w:val="24"/>
        </w:rPr>
        <w:t>Cnty</w:t>
      </w:r>
      <w:proofErr w:type="spellEnd"/>
      <w:r w:rsidR="007D5C89" w:rsidRPr="00225530">
        <w:rPr>
          <w:rFonts w:ascii="CenturyExpandedBT-Italic" w:eastAsia="Calibri" w:hAnsi="CenturyExpandedBT-Italic" w:cs="CenturyExpandedBT-Italic"/>
          <w:i/>
          <w:iCs/>
          <w:szCs w:val="24"/>
        </w:rPr>
        <w:t>.</w:t>
      </w:r>
      <w:r w:rsidR="007D5C89" w:rsidRPr="00225530">
        <w:rPr>
          <w:rFonts w:ascii="CenturyExpandedBT-Roman" w:eastAsia="Calibri" w:hAnsi="CenturyExpandedBT-Roman" w:cs="CenturyExpandedBT-Roman"/>
          <w:szCs w:val="24"/>
        </w:rPr>
        <w:t xml:space="preserve">, 480 F.3d 1072, </w:t>
      </w:r>
      <w:r w:rsidR="001A4AA4">
        <w:rPr>
          <w:rFonts w:ascii="CenturyExpandedBT-Roman" w:eastAsia="Calibri" w:hAnsi="CenturyExpandedBT-Roman" w:cs="CenturyExpandedBT-Roman"/>
          <w:szCs w:val="24"/>
        </w:rPr>
        <w:t>1084-86 (11th Cir. 2007)</w:t>
      </w:r>
      <w:r w:rsidR="003E7078" w:rsidRPr="003E7078">
        <w:rPr>
          <w:rFonts w:ascii="CenturyExpandedBT-Roman" w:eastAsia="Calibri" w:hAnsi="CenturyExpandedBT-Roman" w:cs="CenturyExpandedBT-Roman"/>
          <w:szCs w:val="24"/>
        </w:rPr>
        <w:t xml:space="preserve"> </w:t>
      </w:r>
      <w:r w:rsidR="003E7078">
        <w:rPr>
          <w:rFonts w:ascii="CenturyExpandedBT-Roman" w:eastAsia="Calibri" w:hAnsi="CenturyExpandedBT-Roman" w:cs="CenturyExpandedBT-Roman"/>
          <w:szCs w:val="24"/>
        </w:rPr>
        <w:t>(</w:t>
      </w:r>
      <w:r w:rsidR="00D121D0">
        <w:rPr>
          <w:rFonts w:ascii="CenturyExpandedBT-Roman" w:eastAsia="Calibri" w:hAnsi="CenturyExpandedBT-Roman" w:cs="CenturyExpandedBT-Roman"/>
          <w:szCs w:val="24"/>
        </w:rPr>
        <w:t>“The reasonable-modification inquiry in Title II</w:t>
      </w:r>
      <w:r w:rsidR="007F3FD0">
        <w:rPr>
          <w:rFonts w:ascii="CenturyExpandedBT-Roman" w:eastAsia="Calibri" w:hAnsi="CenturyExpandedBT-Roman" w:cs="CenturyExpandedBT-Roman"/>
          <w:szCs w:val="24"/>
        </w:rPr>
        <w:t>--</w:t>
      </w:r>
      <w:r w:rsidR="00D121D0">
        <w:rPr>
          <w:rFonts w:ascii="CenturyExpandedBT-Roman" w:eastAsia="Calibri" w:hAnsi="CenturyExpandedBT-Roman" w:cs="CenturyExpandedBT-Roman"/>
          <w:szCs w:val="24"/>
        </w:rPr>
        <w:t>ADA cases is ‘a highly fact-specific inquiry.’”</w:t>
      </w:r>
      <w:r w:rsidR="003E7078">
        <w:rPr>
          <w:rFonts w:ascii="CenturyExpandedBT-Roman" w:eastAsia="Calibri" w:hAnsi="CenturyExpandedBT-Roman" w:cs="CenturyExpandedBT-Roman"/>
          <w:szCs w:val="24"/>
        </w:rPr>
        <w:t>)</w:t>
      </w:r>
      <w:r w:rsidR="00D121D0">
        <w:rPr>
          <w:rFonts w:ascii="CenturyExpandedBT-Roman" w:eastAsia="Calibri" w:hAnsi="CenturyExpandedBT-Roman" w:cs="CenturyExpandedBT-Roman"/>
          <w:szCs w:val="24"/>
        </w:rPr>
        <w:t xml:space="preserve"> (additional citation omitted)</w:t>
      </w:r>
      <w:r w:rsidR="001A4AA4">
        <w:rPr>
          <w:rFonts w:ascii="CenturyExpandedBT-Roman" w:eastAsia="Calibri" w:hAnsi="CenturyExpandedBT-Roman" w:cs="CenturyExpandedBT-Roman"/>
          <w:szCs w:val="24"/>
        </w:rPr>
        <w:t>.</w:t>
      </w:r>
      <w:r w:rsidR="007D5C89" w:rsidRPr="00225530">
        <w:rPr>
          <w:rFonts w:ascii="CenturyExpandedBT-Roman" w:eastAsia="Calibri" w:hAnsi="CenturyExpandedBT-Roman" w:cs="CenturyExpandedBT-Roman"/>
          <w:szCs w:val="24"/>
        </w:rPr>
        <w:t xml:space="preserve">  A public entity may not, </w:t>
      </w:r>
      <w:r w:rsidR="007F3FD0">
        <w:rPr>
          <w:rFonts w:ascii="CenturyExpandedBT-Roman" w:eastAsia="Calibri" w:hAnsi="CenturyExpandedBT-Roman" w:cs="CenturyExpandedBT-Roman"/>
          <w:szCs w:val="24"/>
        </w:rPr>
        <w:t>moreover</w:t>
      </w:r>
      <w:r w:rsidR="007D5C89" w:rsidRPr="00225530">
        <w:rPr>
          <w:rFonts w:ascii="CenturyExpandedBT-Roman" w:eastAsia="Calibri" w:hAnsi="CenturyExpandedBT-Roman" w:cs="CenturyExpandedBT-Roman"/>
          <w:szCs w:val="24"/>
        </w:rPr>
        <w:t>, rely on exigent circumstances to defend against an ADA claim premised on the failure to properly train law enforcement officers in recognizing and accommodating disabilities. A failure-to-train claim is unaffected by any on-the-ground exigencies surrounding an arrest because “[t]he alleged non-compliance with the training requirements of the ADA” occurs not at the moment of the arrest, but at an earlier time when “policy makers fail[</w:t>
      </w:r>
      <w:r w:rsidR="00F8395B">
        <w:rPr>
          <w:rFonts w:ascii="CenturyExpandedBT-Roman" w:eastAsia="Calibri" w:hAnsi="CenturyExpandedBT-Roman" w:cs="CenturyExpandedBT-Roman"/>
          <w:szCs w:val="24"/>
        </w:rPr>
        <w:t xml:space="preserve"> </w:t>
      </w:r>
      <w:r w:rsidR="007D5C89" w:rsidRPr="00225530">
        <w:rPr>
          <w:rFonts w:ascii="CenturyExpandedBT-Roman" w:eastAsia="Calibri" w:hAnsi="CenturyExpandedBT-Roman" w:cs="CenturyExpandedBT-Roman"/>
          <w:szCs w:val="24"/>
        </w:rPr>
        <w:t xml:space="preserve">] to institute policies to accommodate disabled individuals </w:t>
      </w:r>
      <w:r w:rsidR="001A4AA4">
        <w:rPr>
          <w:rFonts w:ascii="CenturyExpandedBT-Roman" w:eastAsia="Calibri" w:hAnsi="CenturyExpandedBT-Roman" w:cs="CenturyExpandedBT-Roman"/>
          <w:szCs w:val="24"/>
        </w:rPr>
        <w:t>. . .</w:t>
      </w:r>
      <w:r w:rsidR="007D5C89" w:rsidRPr="00225530">
        <w:rPr>
          <w:rFonts w:ascii="CenturyExpandedBT-Roman" w:eastAsia="Calibri" w:hAnsi="CenturyExpandedBT-Roman" w:cs="CenturyExpandedBT-Roman"/>
          <w:szCs w:val="24"/>
        </w:rPr>
        <w:t xml:space="preserve"> by giving the officers the tools and resources to handle the situation peacefully.” </w:t>
      </w:r>
      <w:proofErr w:type="spellStart"/>
      <w:r w:rsidR="007D5C89" w:rsidRPr="00225530">
        <w:rPr>
          <w:rFonts w:ascii="CenturyExpandedBT-Italic" w:eastAsia="Calibri" w:hAnsi="CenturyExpandedBT-Italic" w:cs="CenturyExpandedBT-Italic"/>
          <w:i/>
          <w:iCs/>
          <w:szCs w:val="24"/>
        </w:rPr>
        <w:t>Schorr</w:t>
      </w:r>
      <w:proofErr w:type="spellEnd"/>
      <w:r w:rsidR="007D5C89" w:rsidRPr="00225530">
        <w:rPr>
          <w:rFonts w:ascii="CenturyExpandedBT-Roman" w:eastAsia="Calibri" w:hAnsi="CenturyExpandedBT-Roman" w:cs="CenturyExpandedBT-Roman"/>
          <w:szCs w:val="24"/>
        </w:rPr>
        <w:t xml:space="preserve">, 243 F. Supp. 2d </w:t>
      </w:r>
      <w:r w:rsidR="000B7927">
        <w:rPr>
          <w:rFonts w:ascii="CenturyExpandedBT-Roman" w:eastAsia="Calibri" w:hAnsi="CenturyExpandedBT-Roman" w:cs="CenturyExpandedBT-Roman"/>
          <w:szCs w:val="24"/>
        </w:rPr>
        <w:t>at</w:t>
      </w:r>
      <w:r w:rsidR="007D5C89" w:rsidRPr="00225530">
        <w:rPr>
          <w:rFonts w:ascii="CenturyExpandedBT-Roman" w:eastAsia="Calibri" w:hAnsi="CenturyExpandedBT-Roman" w:cs="CenturyExpandedBT-Roman"/>
          <w:szCs w:val="24"/>
        </w:rPr>
        <w:t xml:space="preserve"> 238.  </w:t>
      </w:r>
    </w:p>
    <w:p w:rsidR="003532B5" w:rsidRPr="003532B5" w:rsidRDefault="001A4AA4" w:rsidP="00D73BC6">
      <w:pPr>
        <w:spacing w:line="480" w:lineRule="auto"/>
        <w:rPr>
          <w:rFonts w:ascii="CenturyExpandedBT-Roman" w:eastAsia="Calibri" w:hAnsi="CenturyExpandedBT-Roman" w:cs="CenturyExpandedBT-Roman"/>
          <w:szCs w:val="24"/>
        </w:rPr>
      </w:pPr>
      <w:r>
        <w:rPr>
          <w:rFonts w:ascii="CenturyExpandedBT-Roman" w:eastAsia="Calibri" w:hAnsi="CenturyExpandedBT-Roman" w:cs="CenturyExpandedBT-Roman"/>
          <w:szCs w:val="24"/>
        </w:rPr>
        <w:tab/>
      </w:r>
      <w:r w:rsidR="00961C69">
        <w:rPr>
          <w:rFonts w:ascii="CenturyExpandedBT-Roman" w:eastAsia="Calibri" w:hAnsi="CenturyExpandedBT-Roman" w:cs="CenturyExpandedBT-Roman"/>
          <w:szCs w:val="24"/>
        </w:rPr>
        <w:t>However</w:t>
      </w:r>
      <w:r w:rsidR="007D5C89" w:rsidRPr="00225530">
        <w:rPr>
          <w:rFonts w:ascii="CenturyExpandedBT-Roman" w:eastAsia="Calibri" w:hAnsi="CenturyExpandedBT-Roman" w:cs="CenturyExpandedBT-Roman"/>
          <w:szCs w:val="24"/>
        </w:rPr>
        <w:t>, police officers do not need to modify their procedures</w:t>
      </w:r>
      <w:r w:rsidR="00E255DC">
        <w:rPr>
          <w:rFonts w:ascii="CenturyExpandedBT-Roman" w:eastAsia="Calibri" w:hAnsi="CenturyExpandedBT-Roman" w:cs="CenturyExpandedBT-Roman"/>
          <w:szCs w:val="24"/>
        </w:rPr>
        <w:t xml:space="preserve"> or provide an auxiliary aid or service</w:t>
      </w:r>
      <w:r w:rsidR="007D5C89" w:rsidRPr="00225530">
        <w:rPr>
          <w:rFonts w:ascii="CenturyExpandedBT-Roman" w:eastAsia="Calibri" w:hAnsi="CenturyExpandedBT-Roman" w:cs="CenturyExpandedBT-Roman"/>
          <w:szCs w:val="24"/>
        </w:rPr>
        <w:t xml:space="preserve"> if the modification</w:t>
      </w:r>
      <w:r w:rsidR="00E255DC">
        <w:rPr>
          <w:rFonts w:ascii="CenturyExpandedBT-Roman" w:eastAsia="Calibri" w:hAnsi="CenturyExpandedBT-Roman" w:cs="CenturyExpandedBT-Roman"/>
          <w:szCs w:val="24"/>
        </w:rPr>
        <w:t xml:space="preserve"> or aid</w:t>
      </w:r>
      <w:r w:rsidR="007D5C89" w:rsidRPr="00225530">
        <w:rPr>
          <w:rFonts w:ascii="CenturyExpandedBT-Roman" w:eastAsia="Calibri" w:hAnsi="CenturyExpandedBT-Roman" w:cs="CenturyExpandedBT-Roman"/>
          <w:szCs w:val="24"/>
        </w:rPr>
        <w:t xml:space="preserve"> would interfere with their ability to address a </w:t>
      </w:r>
      <w:r w:rsidR="00961C69">
        <w:rPr>
          <w:rFonts w:ascii="CenturyExpandedBT-Roman" w:eastAsia="Calibri" w:hAnsi="CenturyExpandedBT-Roman" w:cs="CenturyExpandedBT-Roman"/>
          <w:szCs w:val="24"/>
        </w:rPr>
        <w:t>safety</w:t>
      </w:r>
      <w:r w:rsidR="00961C69" w:rsidRPr="00225530">
        <w:rPr>
          <w:rFonts w:ascii="CenturyExpandedBT-Roman" w:eastAsia="Calibri" w:hAnsi="CenturyExpandedBT-Roman" w:cs="CenturyExpandedBT-Roman"/>
          <w:szCs w:val="24"/>
        </w:rPr>
        <w:t xml:space="preserve"> </w:t>
      </w:r>
      <w:r w:rsidR="007D5C89" w:rsidRPr="00225530">
        <w:rPr>
          <w:rFonts w:ascii="CenturyExpandedBT-Roman" w:eastAsia="Calibri" w:hAnsi="CenturyExpandedBT-Roman" w:cs="CenturyExpandedBT-Roman"/>
          <w:szCs w:val="24"/>
        </w:rPr>
        <w:t>threat</w:t>
      </w:r>
      <w:r w:rsidR="00961C69">
        <w:rPr>
          <w:rFonts w:ascii="CenturyExpandedBT-Roman" w:eastAsia="Calibri" w:hAnsi="CenturyExpandedBT-Roman" w:cs="CenturyExpandedBT-Roman"/>
          <w:szCs w:val="24"/>
        </w:rPr>
        <w:t>, so long as the risk posed by the modification is significant and based on objective evidence</w:t>
      </w:r>
      <w:r w:rsidR="00A952E9">
        <w:rPr>
          <w:rFonts w:ascii="CenturyExpandedBT-Roman" w:eastAsia="Calibri" w:hAnsi="CenturyExpandedBT-Roman" w:cs="CenturyExpandedBT-Roman"/>
          <w:szCs w:val="24"/>
        </w:rPr>
        <w:t>.</w:t>
      </w:r>
      <w:r w:rsidR="00A952E9" w:rsidRPr="00A952E9">
        <w:rPr>
          <w:rFonts w:ascii="CenturyExpandedBT-Roman" w:eastAsia="Calibri" w:hAnsi="CenturyExpandedBT-Roman" w:cs="CenturyExpandedBT-Roman"/>
          <w:szCs w:val="24"/>
        </w:rPr>
        <w:t xml:space="preserve"> </w:t>
      </w:r>
      <w:r w:rsidR="00A952E9" w:rsidRPr="00225530">
        <w:rPr>
          <w:rFonts w:ascii="CenturyExpandedBT-Roman" w:eastAsia="Calibri" w:hAnsi="CenturyExpandedBT-Roman" w:cs="CenturyExpandedBT-Roman"/>
          <w:szCs w:val="24"/>
        </w:rPr>
        <w:t xml:space="preserve">28 C.F.R. </w:t>
      </w:r>
      <w:r w:rsidR="00A952E9">
        <w:rPr>
          <w:rFonts w:ascii="CenturyExpandedBT-Roman" w:eastAsia="Calibri" w:hAnsi="CenturyExpandedBT-Roman" w:cs="CenturyExpandedBT-Roman"/>
          <w:szCs w:val="24"/>
        </w:rPr>
        <w:t>§ </w:t>
      </w:r>
      <w:r w:rsidR="00A952E9" w:rsidRPr="00225530">
        <w:rPr>
          <w:rFonts w:ascii="CenturyExpandedBT-Roman" w:eastAsia="Calibri" w:hAnsi="CenturyExpandedBT-Roman" w:cs="CenturyExpandedBT-Roman"/>
          <w:szCs w:val="24"/>
        </w:rPr>
        <w:t>35.139(a).</w:t>
      </w:r>
      <w:r w:rsidR="007D5C89" w:rsidRPr="00225530">
        <w:rPr>
          <w:rFonts w:ascii="CenturyExpandedBT-Roman" w:eastAsia="Calibri" w:hAnsi="CenturyExpandedBT-Roman" w:cs="CenturyExpandedBT-Roman"/>
          <w:szCs w:val="24"/>
        </w:rPr>
        <w:t xml:space="preserve"> </w:t>
      </w:r>
      <w:r w:rsidR="00A952E9">
        <w:rPr>
          <w:rFonts w:ascii="CenturyExpandedBT-Roman" w:eastAsia="Calibri" w:hAnsi="CenturyExpandedBT-Roman" w:cs="CenturyExpandedBT-Roman"/>
          <w:szCs w:val="24"/>
        </w:rPr>
        <w:t xml:space="preserve">Any such </w:t>
      </w:r>
      <w:r w:rsidR="007D5C89" w:rsidRPr="00225530">
        <w:rPr>
          <w:rFonts w:ascii="CenturyExpandedBT-Roman" w:eastAsia="Calibri" w:hAnsi="CenturyExpandedBT-Roman" w:cs="CenturyExpandedBT-Roman"/>
          <w:szCs w:val="24"/>
        </w:rPr>
        <w:t xml:space="preserve">risk </w:t>
      </w:r>
      <w:r w:rsidR="00A952E9">
        <w:rPr>
          <w:rFonts w:ascii="CenturyExpandedBT-Roman" w:eastAsia="Calibri" w:hAnsi="CenturyExpandedBT-Roman" w:cs="CenturyExpandedBT-Roman"/>
          <w:szCs w:val="24"/>
        </w:rPr>
        <w:t>must be</w:t>
      </w:r>
      <w:r w:rsidR="007D5C89" w:rsidRPr="00225530">
        <w:rPr>
          <w:rFonts w:ascii="CenturyExpandedBT-Roman" w:eastAsia="Calibri" w:hAnsi="CenturyExpandedBT-Roman" w:cs="CenturyExpandedBT-Roman"/>
          <w:szCs w:val="24"/>
        </w:rPr>
        <w:t xml:space="preserve"> significant</w:t>
      </w:r>
      <w:r w:rsidR="00A952E9">
        <w:rPr>
          <w:rFonts w:ascii="CenturyExpandedBT-Roman" w:eastAsia="Calibri" w:hAnsi="CenturyExpandedBT-Roman" w:cs="CenturyExpandedBT-Roman"/>
          <w:szCs w:val="24"/>
        </w:rPr>
        <w:t>, the expected harm must be substantial,</w:t>
      </w:r>
      <w:r w:rsidR="007D5C89" w:rsidRPr="00225530">
        <w:rPr>
          <w:rFonts w:ascii="CenturyExpandedBT-Roman" w:eastAsia="Calibri" w:hAnsi="CenturyExpandedBT-Roman" w:cs="CenturyExpandedBT-Roman"/>
          <w:szCs w:val="24"/>
        </w:rPr>
        <w:t xml:space="preserve"> and </w:t>
      </w:r>
      <w:r w:rsidR="00A952E9">
        <w:rPr>
          <w:rFonts w:ascii="CenturyExpandedBT-Roman" w:eastAsia="Calibri" w:hAnsi="CenturyExpandedBT-Roman" w:cs="CenturyExpandedBT-Roman"/>
          <w:szCs w:val="24"/>
        </w:rPr>
        <w:t xml:space="preserve">the risk must be </w:t>
      </w:r>
      <w:r w:rsidR="007D5C89" w:rsidRPr="00225530">
        <w:rPr>
          <w:rFonts w:ascii="CenturyExpandedBT-Roman" w:eastAsia="Calibri" w:hAnsi="CenturyExpandedBT-Roman" w:cs="CenturyExpandedBT-Roman"/>
          <w:szCs w:val="24"/>
        </w:rPr>
        <w:t xml:space="preserve">based on objective evidence. </w:t>
      </w:r>
      <w:r w:rsidR="007D5C89" w:rsidRPr="003E7078">
        <w:rPr>
          <w:rFonts w:ascii="CenturyExpandedBT-Roman" w:eastAsia="Calibri" w:hAnsi="CenturyExpandedBT-Roman" w:cs="CenturyExpandedBT-Roman"/>
          <w:i/>
          <w:szCs w:val="24"/>
        </w:rPr>
        <w:t xml:space="preserve">Cf. </w:t>
      </w:r>
      <w:proofErr w:type="spellStart"/>
      <w:r w:rsidR="007D5C89" w:rsidRPr="00225530">
        <w:rPr>
          <w:rFonts w:ascii="CenturyExpandedBT-Italic" w:eastAsia="Calibri" w:hAnsi="CenturyExpandedBT-Italic" w:cs="CenturyExpandedBT-Italic"/>
          <w:i/>
          <w:iCs/>
          <w:szCs w:val="24"/>
        </w:rPr>
        <w:t>Bragdon</w:t>
      </w:r>
      <w:proofErr w:type="spellEnd"/>
      <w:r w:rsidR="007D5C89" w:rsidRPr="00225530">
        <w:rPr>
          <w:rFonts w:ascii="CenturyExpandedBT-Roman" w:eastAsia="Calibri" w:hAnsi="CenturyExpandedBT-Roman" w:cs="CenturyExpandedBT-Roman"/>
          <w:szCs w:val="24"/>
        </w:rPr>
        <w:t>, 524 U.S. at 649 (observing that the ADA does “not ask whether a risk exists, but whether it is significant”).</w:t>
      </w:r>
      <w:r w:rsidR="00961C69">
        <w:rPr>
          <w:rStyle w:val="FootnoteReference"/>
          <w:rFonts w:ascii="CenturyExpandedBT-Roman" w:eastAsia="Calibri" w:hAnsi="CenturyExpandedBT-Roman" w:cs="CenturyExpandedBT-Roman"/>
          <w:szCs w:val="24"/>
        </w:rPr>
        <w:footnoteReference w:id="7"/>
      </w:r>
      <w:r w:rsidR="007D5C89" w:rsidRPr="00225530">
        <w:rPr>
          <w:rFonts w:ascii="CenturyExpandedBT-Roman" w:eastAsia="Calibri" w:hAnsi="CenturyExpandedBT-Roman" w:cs="CenturyExpandedBT-Roman"/>
          <w:szCs w:val="24"/>
        </w:rPr>
        <w:t xml:space="preserve"> For example, when responding to “a violent crime in progress or a similar urgent situation involving a person who is deaf,” an “officer’s immediate priority is to stabilize the situation,” and the officer is permitted to “make an arrest” without the aid of an interpreter. </w:t>
      </w:r>
      <w:r w:rsidR="007D5C89" w:rsidRPr="00225530">
        <w:rPr>
          <w:rFonts w:ascii="CenturyExpandedBT-Italic" w:eastAsia="Calibri" w:hAnsi="CenturyExpandedBT-Italic" w:cs="CenturyExpandedBT-Italic"/>
          <w:i/>
          <w:iCs/>
          <w:szCs w:val="24"/>
        </w:rPr>
        <w:t xml:space="preserve">2006 Guidance </w:t>
      </w:r>
      <w:r w:rsidR="007D5C89" w:rsidRPr="00225530">
        <w:rPr>
          <w:rFonts w:ascii="CenturyExpandedBT-Roman" w:eastAsia="Calibri" w:hAnsi="CenturyExpandedBT-Roman" w:cs="CenturyExpandedBT-Roman"/>
          <w:szCs w:val="24"/>
        </w:rPr>
        <w:t xml:space="preserve">§ III; </w:t>
      </w:r>
      <w:r w:rsidR="007D5C89" w:rsidRPr="001A4AA4">
        <w:rPr>
          <w:rFonts w:ascii="CenturyExpandedBT-Roman" w:eastAsia="Calibri" w:hAnsi="CenturyExpandedBT-Roman" w:cs="CenturyExpandedBT-Roman"/>
          <w:i/>
          <w:szCs w:val="24"/>
        </w:rPr>
        <w:t>see</w:t>
      </w:r>
      <w:r w:rsidR="007D5C89" w:rsidRPr="00225530">
        <w:rPr>
          <w:rFonts w:ascii="CenturyExpandedBT-Roman" w:eastAsia="Calibri" w:hAnsi="CenturyExpandedBT-Roman" w:cs="CenturyExpandedBT-Roman"/>
          <w:szCs w:val="24"/>
        </w:rPr>
        <w:t xml:space="preserve"> </w:t>
      </w:r>
      <w:r w:rsidR="007D5C89" w:rsidRPr="00225530">
        <w:rPr>
          <w:rFonts w:ascii="CenturyExpandedBT-Italic" w:eastAsia="Calibri" w:hAnsi="CenturyExpandedBT-Italic" w:cs="CenturyExpandedBT-Italic"/>
          <w:i/>
          <w:iCs/>
          <w:szCs w:val="24"/>
        </w:rPr>
        <w:t xml:space="preserve">ADA Law Enforcement Guide </w:t>
      </w:r>
      <w:r w:rsidR="007D5C89" w:rsidRPr="00225530">
        <w:rPr>
          <w:rFonts w:ascii="CenturyExpandedBT-Roman" w:eastAsia="Calibri" w:hAnsi="CenturyExpandedBT-Roman" w:cs="CenturyExpandedBT-Roman"/>
          <w:szCs w:val="24"/>
        </w:rPr>
        <w:t>(advising that if deaf suspect’s “behavior is threatening,” police officers “can make an arrest and call for an interpreter to be available later at the booking station”).</w:t>
      </w:r>
      <w:r w:rsidR="00961C69">
        <w:rPr>
          <w:rFonts w:ascii="CenturyExpandedBT-Roman" w:eastAsia="Calibri" w:hAnsi="CenturyExpandedBT-Roman" w:cs="CenturyExpandedBT-Roman"/>
          <w:szCs w:val="24"/>
        </w:rPr>
        <w:t xml:space="preserve"> Under a “practical view of the statute,” </w:t>
      </w:r>
      <w:r w:rsidR="00961C69">
        <w:rPr>
          <w:rFonts w:ascii="CenturyExpandedBT-Roman" w:eastAsia="Calibri" w:hAnsi="CenturyExpandedBT-Roman" w:cs="CenturyExpandedBT-Roman"/>
          <w:i/>
          <w:szCs w:val="24"/>
        </w:rPr>
        <w:t>U.S. Airways v. Barnett</w:t>
      </w:r>
      <w:r w:rsidR="00961C69">
        <w:rPr>
          <w:rFonts w:ascii="CenturyExpandedBT-Roman" w:eastAsia="Calibri" w:hAnsi="CenturyExpandedBT-Roman" w:cs="CenturyExpandedBT-Roman"/>
          <w:szCs w:val="24"/>
        </w:rPr>
        <w:t>, 535 U.S. 391, 402 (2002), a modification that raises significant safety concerns will not be reasonable.</w:t>
      </w:r>
      <w:r w:rsidR="00961C69">
        <w:rPr>
          <w:rStyle w:val="FootnoteReference"/>
          <w:rFonts w:ascii="CenturyExpandedBT-Roman" w:eastAsia="Calibri" w:hAnsi="CenturyExpandedBT-Roman" w:cs="CenturyExpandedBT-Roman"/>
          <w:szCs w:val="24"/>
        </w:rPr>
        <w:footnoteReference w:id="8"/>
      </w:r>
      <w:r w:rsidR="003532B5" w:rsidRPr="00225530">
        <w:rPr>
          <w:rFonts w:ascii="CenturyExpandedBT-Roman" w:eastAsia="Calibri" w:hAnsi="CenturyExpandedBT-Roman" w:cs="CenturyExpandedBT-Roman"/>
          <w:szCs w:val="24"/>
        </w:rPr>
        <w:t xml:space="preserve">  </w:t>
      </w:r>
    </w:p>
    <w:p w:rsidR="00225530" w:rsidRDefault="00225530" w:rsidP="00060038">
      <w:pPr>
        <w:rPr>
          <w:rFonts w:ascii="CenturyExpandedBT-Bold" w:eastAsia="Calibri" w:hAnsi="CenturyExpandedBT-Bold" w:cs="CenturyExpandedBT-Bold"/>
          <w:b/>
          <w:bCs/>
          <w:szCs w:val="24"/>
        </w:rPr>
      </w:pPr>
      <w:r w:rsidRPr="00225530">
        <w:rPr>
          <w:rFonts w:ascii="CenturyExpandedBT-Bold" w:eastAsia="Calibri" w:hAnsi="CenturyExpandedBT-Bold" w:cs="CenturyExpandedBT-Bold"/>
          <w:b/>
          <w:bCs/>
          <w:szCs w:val="24"/>
        </w:rPr>
        <w:tab/>
        <w:t>2.</w:t>
      </w:r>
      <w:r w:rsidRPr="00225530">
        <w:rPr>
          <w:rFonts w:ascii="CenturyExpandedBT-Bold" w:eastAsia="Calibri" w:hAnsi="CenturyExpandedBT-Bold" w:cs="CenturyExpandedBT-Bold"/>
          <w:b/>
          <w:bCs/>
          <w:szCs w:val="24"/>
        </w:rPr>
        <w:tab/>
        <w:t xml:space="preserve">Defendant’s Argument That </w:t>
      </w:r>
      <w:r w:rsidR="00807D60">
        <w:rPr>
          <w:rFonts w:ascii="CenturyExpandedBT-Bold" w:eastAsia="Calibri" w:hAnsi="CenturyExpandedBT-Bold" w:cs="CenturyExpandedBT-Bold"/>
          <w:b/>
          <w:bCs/>
          <w:szCs w:val="24"/>
        </w:rPr>
        <w:t xml:space="preserve">A </w:t>
      </w:r>
      <w:r w:rsidRPr="00225530">
        <w:rPr>
          <w:rFonts w:ascii="CenturyExpandedBT-Bold" w:eastAsia="Calibri" w:hAnsi="CenturyExpandedBT-Bold" w:cs="CenturyExpandedBT-Bold"/>
          <w:b/>
          <w:bCs/>
          <w:szCs w:val="24"/>
        </w:rPr>
        <w:t>Categorical Exclusion</w:t>
      </w:r>
      <w:r w:rsidR="00060038">
        <w:rPr>
          <w:rFonts w:ascii="CenturyExpandedBT-Bold" w:eastAsia="Calibri" w:hAnsi="CenturyExpandedBT-Bold" w:cs="CenturyExpandedBT-Bold"/>
          <w:b/>
          <w:bCs/>
          <w:szCs w:val="24"/>
        </w:rPr>
        <w:t xml:space="preserve"> Exists for </w:t>
      </w:r>
      <w:r w:rsidRPr="00225530">
        <w:rPr>
          <w:rFonts w:ascii="CenturyExpandedBT-Bold" w:eastAsia="Calibri" w:hAnsi="CenturyExpandedBT-Bold" w:cs="CenturyExpandedBT-Bold"/>
          <w:b/>
          <w:bCs/>
          <w:szCs w:val="24"/>
        </w:rPr>
        <w:t xml:space="preserve"> “Exigent </w:t>
      </w:r>
      <w:r w:rsidR="00D01009">
        <w:rPr>
          <w:rFonts w:ascii="CenturyExpandedBT-Bold" w:eastAsia="Calibri" w:hAnsi="CenturyExpandedBT-Bold" w:cs="CenturyExpandedBT-Bold"/>
          <w:b/>
          <w:bCs/>
          <w:szCs w:val="24"/>
        </w:rPr>
        <w:tab/>
      </w:r>
      <w:r w:rsidR="00D01009">
        <w:rPr>
          <w:rFonts w:ascii="CenturyExpandedBT-Bold" w:eastAsia="Calibri" w:hAnsi="CenturyExpandedBT-Bold" w:cs="CenturyExpandedBT-Bold"/>
          <w:b/>
          <w:bCs/>
          <w:szCs w:val="24"/>
        </w:rPr>
        <w:tab/>
      </w:r>
      <w:r w:rsidR="00D01009">
        <w:rPr>
          <w:rFonts w:ascii="CenturyExpandedBT-Bold" w:eastAsia="Calibri" w:hAnsi="CenturyExpandedBT-Bold" w:cs="CenturyExpandedBT-Bold"/>
          <w:b/>
          <w:bCs/>
          <w:szCs w:val="24"/>
        </w:rPr>
        <w:tab/>
      </w:r>
      <w:r w:rsidR="00060038">
        <w:rPr>
          <w:rFonts w:ascii="CenturyExpandedBT-Bold" w:eastAsia="Calibri" w:hAnsi="CenturyExpandedBT-Bold" w:cs="CenturyExpandedBT-Bold"/>
          <w:b/>
          <w:bCs/>
          <w:szCs w:val="24"/>
        </w:rPr>
        <w:t xml:space="preserve">Circumstances” Is </w:t>
      </w:r>
      <w:r w:rsidR="00A952E9">
        <w:rPr>
          <w:rFonts w:ascii="CenturyExpandedBT-Bold" w:eastAsia="Calibri" w:hAnsi="CenturyExpandedBT-Bold" w:cs="CenturyExpandedBT-Bold"/>
          <w:b/>
          <w:bCs/>
          <w:szCs w:val="24"/>
        </w:rPr>
        <w:t>Incorrect</w:t>
      </w:r>
    </w:p>
    <w:p w:rsidR="00060038" w:rsidRDefault="00060038" w:rsidP="00060038">
      <w:pPr>
        <w:rPr>
          <w:rFonts w:ascii="CenturyExpandedBT-Bold" w:eastAsia="Calibri" w:hAnsi="CenturyExpandedBT-Bold" w:cs="CenturyExpandedBT-Bold"/>
          <w:b/>
          <w:bCs/>
          <w:szCs w:val="24"/>
        </w:rPr>
      </w:pPr>
    </w:p>
    <w:p w:rsidR="00060038" w:rsidRPr="00060038" w:rsidRDefault="00060038" w:rsidP="007D5C89">
      <w:pPr>
        <w:spacing w:line="480" w:lineRule="auto"/>
        <w:rPr>
          <w:rFonts w:ascii="CenturyExpandedBT-Bold" w:eastAsia="Calibri" w:hAnsi="CenturyExpandedBT-Bold" w:cs="CenturyExpandedBT-Bold"/>
          <w:bCs/>
          <w:szCs w:val="24"/>
        </w:rPr>
      </w:pPr>
      <w:r>
        <w:rPr>
          <w:rFonts w:ascii="CenturyExpandedBT-Bold" w:eastAsia="Calibri" w:hAnsi="CenturyExpandedBT-Bold" w:cs="CenturyExpandedBT-Bold"/>
          <w:b/>
          <w:bCs/>
          <w:szCs w:val="24"/>
        </w:rPr>
        <w:tab/>
      </w:r>
      <w:r w:rsidRPr="00060038">
        <w:rPr>
          <w:rFonts w:ascii="CenturyExpandedBT-Bold" w:eastAsia="Calibri" w:hAnsi="CenturyExpandedBT-Bold" w:cs="CenturyExpandedBT-Bold"/>
          <w:bCs/>
          <w:szCs w:val="24"/>
        </w:rPr>
        <w:t xml:space="preserve">Defendant maintains that </w:t>
      </w:r>
      <w:r>
        <w:rPr>
          <w:rFonts w:ascii="CenturyExpandedBT-Bold" w:eastAsia="Calibri" w:hAnsi="CenturyExpandedBT-Bold" w:cs="CenturyExpandedBT-Bold"/>
          <w:bCs/>
          <w:szCs w:val="24"/>
        </w:rPr>
        <w:t>“[o]</w:t>
      </w:r>
      <w:proofErr w:type="spellStart"/>
      <w:r>
        <w:rPr>
          <w:rFonts w:ascii="CenturyExpandedBT-Bold" w:eastAsia="Calibri" w:hAnsi="CenturyExpandedBT-Bold" w:cs="CenturyExpandedBT-Bold"/>
          <w:bCs/>
          <w:szCs w:val="24"/>
        </w:rPr>
        <w:t>ther</w:t>
      </w:r>
      <w:proofErr w:type="spellEnd"/>
      <w:r>
        <w:rPr>
          <w:rFonts w:ascii="CenturyExpandedBT-Bold" w:eastAsia="Calibri" w:hAnsi="CenturyExpandedBT-Bold" w:cs="CenturyExpandedBT-Bold"/>
          <w:bCs/>
          <w:szCs w:val="24"/>
        </w:rPr>
        <w:t xml:space="preserve"> courts have used an ‘exigent circumstances’ analysis in determining whether there has been a covered ‘government activity’ and in denyin</w:t>
      </w:r>
      <w:r w:rsidR="003532B5">
        <w:rPr>
          <w:rFonts w:ascii="CenturyExpandedBT-Bold" w:eastAsia="Calibri" w:hAnsi="CenturyExpandedBT-Bold" w:cs="CenturyExpandedBT-Bold"/>
          <w:bCs/>
          <w:szCs w:val="24"/>
        </w:rPr>
        <w:t>g coverage in this circumstance.</w:t>
      </w:r>
      <w:r>
        <w:rPr>
          <w:rFonts w:ascii="CenturyExpandedBT-Bold" w:eastAsia="Calibri" w:hAnsi="CenturyExpandedBT-Bold" w:cs="CenturyExpandedBT-Bold"/>
          <w:bCs/>
          <w:szCs w:val="24"/>
        </w:rPr>
        <w:t>” (Def. Br. at 11</w:t>
      </w:r>
      <w:r w:rsidR="00F8283C">
        <w:rPr>
          <w:rFonts w:ascii="CenturyExpandedBT-Bold" w:eastAsia="Calibri" w:hAnsi="CenturyExpandedBT-Bold" w:cs="CenturyExpandedBT-Bold"/>
          <w:bCs/>
          <w:szCs w:val="24"/>
        </w:rPr>
        <w:t xml:space="preserve"> (citing </w:t>
      </w:r>
      <w:r w:rsidR="00F8283C">
        <w:rPr>
          <w:rFonts w:ascii="CenturyExpandedBT-Bold" w:eastAsia="Calibri" w:hAnsi="CenturyExpandedBT-Bold" w:cs="CenturyExpandedBT-Bold"/>
          <w:bCs/>
          <w:i/>
          <w:szCs w:val="24"/>
        </w:rPr>
        <w:t>Tucker v. Tennessee</w:t>
      </w:r>
      <w:r w:rsidR="00F8283C">
        <w:rPr>
          <w:rFonts w:ascii="CenturyExpandedBT-Bold" w:eastAsia="Calibri" w:hAnsi="CenturyExpandedBT-Bold" w:cs="CenturyExpandedBT-Bold"/>
          <w:bCs/>
          <w:szCs w:val="24"/>
        </w:rPr>
        <w:t xml:space="preserve">, 539 F.3d 526, 536 </w:t>
      </w:r>
      <w:r w:rsidR="00F8283C" w:rsidRPr="00377631">
        <w:rPr>
          <w:rFonts w:ascii="CenturyExpandedBT-Bold" w:eastAsia="Calibri" w:hAnsi="CenturyExpandedBT-Bold" w:cs="CenturyExpandedBT-Bold"/>
          <w:bCs/>
          <w:szCs w:val="24"/>
        </w:rPr>
        <w:t xml:space="preserve">(6th Cir. 2008), </w:t>
      </w:r>
      <w:proofErr w:type="spellStart"/>
      <w:r w:rsidR="00F8283C" w:rsidRPr="00377631">
        <w:rPr>
          <w:rFonts w:ascii="CenturyExpandedBT-Bold" w:eastAsia="Calibri" w:hAnsi="CenturyExpandedBT-Bold" w:cs="CenturyExpandedBT-Bold"/>
          <w:bCs/>
          <w:i/>
          <w:szCs w:val="24"/>
        </w:rPr>
        <w:t>Bircoll</w:t>
      </w:r>
      <w:proofErr w:type="spellEnd"/>
      <w:r w:rsidR="00F8283C" w:rsidRPr="00377631">
        <w:rPr>
          <w:rFonts w:ascii="CenturyExpandedBT-Bold" w:eastAsia="Calibri" w:hAnsi="CenturyExpandedBT-Bold" w:cs="CenturyExpandedBT-Bold"/>
          <w:bCs/>
          <w:i/>
          <w:szCs w:val="24"/>
        </w:rPr>
        <w:t xml:space="preserve"> v. Miami-Dade County</w:t>
      </w:r>
      <w:r w:rsidR="00F8283C" w:rsidRPr="00377631">
        <w:rPr>
          <w:rFonts w:ascii="CenturyExpandedBT-Bold" w:eastAsia="Calibri" w:hAnsi="CenturyExpandedBT-Bold" w:cs="CenturyExpandedBT-Bold"/>
          <w:bCs/>
          <w:szCs w:val="24"/>
        </w:rPr>
        <w:t xml:space="preserve">, 480 F.3d 1072, 1086 (11th Cir. 2007), </w:t>
      </w:r>
      <w:proofErr w:type="spellStart"/>
      <w:r w:rsidR="00F8283C" w:rsidRPr="00377631">
        <w:rPr>
          <w:rFonts w:ascii="CenturyExpandedBT-Bold" w:eastAsia="Calibri" w:hAnsi="CenturyExpandedBT-Bold" w:cs="CenturyExpandedBT-Bold"/>
          <w:bCs/>
          <w:i/>
          <w:szCs w:val="24"/>
        </w:rPr>
        <w:t>Hainze</w:t>
      </w:r>
      <w:proofErr w:type="spellEnd"/>
      <w:r w:rsidR="00F8283C" w:rsidRPr="00377631">
        <w:rPr>
          <w:rFonts w:ascii="CenturyExpandedBT-Bold" w:eastAsia="Calibri" w:hAnsi="CenturyExpandedBT-Bold" w:cs="CenturyExpandedBT-Bold"/>
          <w:bCs/>
          <w:i/>
          <w:szCs w:val="24"/>
        </w:rPr>
        <w:t xml:space="preserve"> v. Richards</w:t>
      </w:r>
      <w:r w:rsidR="00F8283C" w:rsidRPr="00377631">
        <w:rPr>
          <w:rFonts w:ascii="CenturyExpandedBT-Bold" w:eastAsia="Calibri" w:hAnsi="CenturyExpandedBT-Bold" w:cs="CenturyExpandedBT-Bold"/>
          <w:bCs/>
          <w:szCs w:val="24"/>
        </w:rPr>
        <w:t>, 207 F.3d 795, 801-02 (5th Cir. 2000)</w:t>
      </w:r>
      <w:r w:rsidR="003532B5">
        <w:rPr>
          <w:rFonts w:ascii="CenturyExpandedBT-Bold" w:eastAsia="Calibri" w:hAnsi="CenturyExpandedBT-Bold" w:cs="CenturyExpandedBT-Bold"/>
          <w:bCs/>
          <w:szCs w:val="24"/>
        </w:rPr>
        <w:t>.)</w:t>
      </w:r>
      <w:r>
        <w:rPr>
          <w:rFonts w:ascii="CenturyExpandedBT-Bold" w:eastAsia="Calibri" w:hAnsi="CenturyExpandedBT-Bold" w:cs="CenturyExpandedBT-Bold"/>
          <w:bCs/>
          <w:szCs w:val="24"/>
        </w:rPr>
        <w:t xml:space="preserve"> This argument misstates the law.</w:t>
      </w:r>
    </w:p>
    <w:p w:rsidR="0009095C" w:rsidRPr="008E1619" w:rsidRDefault="00060038" w:rsidP="007D5C89">
      <w:pPr>
        <w:spacing w:line="480" w:lineRule="auto"/>
        <w:rPr>
          <w:i/>
          <w:color w:val="000000"/>
          <w:szCs w:val="24"/>
        </w:rPr>
      </w:pPr>
      <w:r>
        <w:rPr>
          <w:rFonts w:ascii="CenturyExpandedBT-Bold" w:eastAsia="Calibri" w:hAnsi="CenturyExpandedBT-Bold" w:cs="CenturyExpandedBT-Bold"/>
          <w:bCs/>
          <w:szCs w:val="24"/>
        </w:rPr>
        <w:tab/>
      </w:r>
      <w:r w:rsidR="00F8283C">
        <w:rPr>
          <w:rFonts w:ascii="CenturyExpandedBT-Roman" w:eastAsia="Calibri" w:hAnsi="CenturyExpandedBT-Roman" w:cs="CenturyExpandedBT-Roman"/>
          <w:szCs w:val="24"/>
        </w:rPr>
        <w:t xml:space="preserve">It is plainly wrong to contend that there is an “exigent circumstances” exception to Title II of the ADA, as the statute says nothing of the sort. Instead, whether there are exigent circumstances is part of the general fact-based determination as to whether a reasonable modification </w:t>
      </w:r>
      <w:r w:rsidR="00A952E9">
        <w:rPr>
          <w:rFonts w:ascii="CenturyExpandedBT-Roman" w:eastAsia="Calibri" w:hAnsi="CenturyExpandedBT-Roman" w:cs="CenturyExpandedBT-Roman"/>
          <w:szCs w:val="24"/>
        </w:rPr>
        <w:t xml:space="preserve">or auxiliary aid </w:t>
      </w:r>
      <w:r w:rsidR="00F8283C">
        <w:rPr>
          <w:rFonts w:ascii="CenturyExpandedBT-Roman" w:eastAsia="Calibri" w:hAnsi="CenturyExpandedBT-Roman" w:cs="CenturyExpandedBT-Roman"/>
          <w:szCs w:val="24"/>
        </w:rPr>
        <w:t xml:space="preserve">was available under the circumstances.  </w:t>
      </w:r>
      <w:r w:rsidR="004722F0">
        <w:rPr>
          <w:rFonts w:ascii="CenturyExpandedBT-Roman" w:eastAsia="Calibri" w:hAnsi="CenturyExpandedBT-Roman" w:cs="CenturyExpandedBT-Roman"/>
          <w:szCs w:val="24"/>
        </w:rPr>
        <w:t>As t</w:t>
      </w:r>
      <w:r w:rsidR="00F8283C">
        <w:rPr>
          <w:rFonts w:ascii="CenturyExpandedBT-Roman" w:eastAsia="Calibri" w:hAnsi="CenturyExpandedBT-Roman" w:cs="CenturyExpandedBT-Roman"/>
          <w:szCs w:val="24"/>
        </w:rPr>
        <w:t>he Fourth Circuit has explained: “</w:t>
      </w:r>
      <w:r w:rsidR="004722F0">
        <w:rPr>
          <w:rFonts w:ascii="CenturyExpandedBT-Roman" w:eastAsia="Calibri" w:hAnsi="CenturyExpandedBT-Roman" w:cs="CenturyExpandedBT-Roman"/>
          <w:szCs w:val="24"/>
        </w:rPr>
        <w:t>We find that while there is no separate exigent-circumstances inquiry, the consideration of exigent circumstances is included in the determination of the reaso</w:t>
      </w:r>
      <w:r w:rsidR="00F8283C">
        <w:rPr>
          <w:rFonts w:ascii="CenturyExpandedBT-Roman" w:eastAsia="Calibri" w:hAnsi="CenturyExpandedBT-Roman" w:cs="CenturyExpandedBT-Roman"/>
          <w:szCs w:val="24"/>
        </w:rPr>
        <w:t xml:space="preserve">nableness of the accommodation.” </w:t>
      </w:r>
      <w:proofErr w:type="spellStart"/>
      <w:r w:rsidR="00D121D0">
        <w:rPr>
          <w:i/>
        </w:rPr>
        <w:t>Serem</w:t>
      </w:r>
      <w:r w:rsidR="00ED2966" w:rsidRPr="00ED2966">
        <w:rPr>
          <w:i/>
        </w:rPr>
        <w:t>eth</w:t>
      </w:r>
      <w:proofErr w:type="spellEnd"/>
      <w:r w:rsidR="004722F0">
        <w:t>, 673 F.3d at 339.</w:t>
      </w:r>
      <w:r w:rsidR="00F8283C">
        <w:t xml:space="preserve"> The cases that Defendant cites on this point are consistent with this analysis. </w:t>
      </w:r>
      <w:r w:rsidR="009C3A63" w:rsidRPr="009C3A63">
        <w:rPr>
          <w:rFonts w:eastAsia="Calibri"/>
          <w:bCs/>
          <w:szCs w:val="24"/>
        </w:rPr>
        <w:t xml:space="preserve">In </w:t>
      </w:r>
      <w:r w:rsidR="009C3A63" w:rsidRPr="009C3A63">
        <w:rPr>
          <w:rFonts w:eastAsia="Calibri"/>
          <w:bCs/>
          <w:i/>
          <w:szCs w:val="24"/>
        </w:rPr>
        <w:t>Tucker</w:t>
      </w:r>
      <w:r w:rsidR="009C3A63" w:rsidRPr="009C3A63">
        <w:rPr>
          <w:rFonts w:eastAsia="Calibri"/>
          <w:bCs/>
          <w:szCs w:val="24"/>
        </w:rPr>
        <w:t xml:space="preserve">, </w:t>
      </w:r>
      <w:r w:rsidR="009C3A63">
        <w:rPr>
          <w:rFonts w:eastAsia="Calibri"/>
          <w:bCs/>
          <w:szCs w:val="24"/>
        </w:rPr>
        <w:t xml:space="preserve">the </w:t>
      </w:r>
      <w:r w:rsidR="00F8283C">
        <w:rPr>
          <w:rFonts w:eastAsia="Calibri"/>
          <w:bCs/>
          <w:szCs w:val="24"/>
        </w:rPr>
        <w:t>Sixth Circuit</w:t>
      </w:r>
      <w:r w:rsidR="009C3A63">
        <w:rPr>
          <w:rFonts w:eastAsia="Calibri"/>
          <w:bCs/>
          <w:szCs w:val="24"/>
        </w:rPr>
        <w:t xml:space="preserve"> affirmed the district court </w:t>
      </w:r>
      <w:r w:rsidR="00F8283C">
        <w:rPr>
          <w:rFonts w:eastAsia="Calibri"/>
          <w:bCs/>
          <w:szCs w:val="24"/>
        </w:rPr>
        <w:t xml:space="preserve">because it </w:t>
      </w:r>
      <w:r w:rsidR="009C3A63">
        <w:rPr>
          <w:rFonts w:eastAsia="Calibri"/>
          <w:bCs/>
          <w:szCs w:val="24"/>
        </w:rPr>
        <w:t xml:space="preserve">applied </w:t>
      </w:r>
      <w:r w:rsidR="000E216C">
        <w:rPr>
          <w:rFonts w:eastAsia="Calibri"/>
          <w:bCs/>
          <w:szCs w:val="24"/>
        </w:rPr>
        <w:t xml:space="preserve">a </w:t>
      </w:r>
      <w:r w:rsidR="00F8283C">
        <w:rPr>
          <w:rFonts w:eastAsia="Calibri"/>
          <w:bCs/>
          <w:szCs w:val="24"/>
        </w:rPr>
        <w:t>“</w:t>
      </w:r>
      <w:r w:rsidR="009C3A63">
        <w:rPr>
          <w:rFonts w:eastAsia="Calibri"/>
          <w:bCs/>
          <w:szCs w:val="24"/>
        </w:rPr>
        <w:t>fact</w:t>
      </w:r>
      <w:r w:rsidR="000E216C">
        <w:rPr>
          <w:rFonts w:eastAsia="Calibri"/>
          <w:bCs/>
          <w:szCs w:val="24"/>
        </w:rPr>
        <w:t xml:space="preserve"> specific</w:t>
      </w:r>
      <w:r w:rsidR="00F8283C">
        <w:rPr>
          <w:rFonts w:eastAsia="Calibri"/>
          <w:bCs/>
          <w:szCs w:val="24"/>
        </w:rPr>
        <w:t>”</w:t>
      </w:r>
      <w:r w:rsidR="000E216C">
        <w:rPr>
          <w:rFonts w:eastAsia="Calibri"/>
          <w:bCs/>
          <w:szCs w:val="24"/>
        </w:rPr>
        <w:t xml:space="preserve"> analysis, </w:t>
      </w:r>
      <w:r w:rsidR="00F8283C">
        <w:rPr>
          <w:rFonts w:eastAsia="Calibri"/>
          <w:bCs/>
          <w:szCs w:val="24"/>
        </w:rPr>
        <w:t>539 F.3d</w:t>
      </w:r>
      <w:r w:rsidR="000E216C">
        <w:rPr>
          <w:rFonts w:eastAsia="Calibri"/>
          <w:bCs/>
          <w:szCs w:val="24"/>
        </w:rPr>
        <w:t xml:space="preserve"> at 534,</w:t>
      </w:r>
      <w:r w:rsidR="009C3A63">
        <w:rPr>
          <w:rFonts w:eastAsia="Calibri"/>
          <w:bCs/>
          <w:szCs w:val="24"/>
        </w:rPr>
        <w:t xml:space="preserve"> not because </w:t>
      </w:r>
      <w:r w:rsidR="00F8283C">
        <w:rPr>
          <w:rFonts w:eastAsia="Calibri"/>
          <w:bCs/>
          <w:szCs w:val="24"/>
        </w:rPr>
        <w:t xml:space="preserve">it found some </w:t>
      </w:r>
      <w:r w:rsidR="009C3A63">
        <w:rPr>
          <w:rFonts w:eastAsia="Calibri"/>
          <w:bCs/>
          <w:szCs w:val="24"/>
        </w:rPr>
        <w:t xml:space="preserve">categorical </w:t>
      </w:r>
      <w:r w:rsidR="00F8283C">
        <w:rPr>
          <w:rFonts w:eastAsia="Calibri"/>
          <w:bCs/>
          <w:szCs w:val="24"/>
        </w:rPr>
        <w:t>“</w:t>
      </w:r>
      <w:r w:rsidR="009C3A63">
        <w:rPr>
          <w:rFonts w:eastAsia="Calibri"/>
          <w:bCs/>
          <w:szCs w:val="24"/>
        </w:rPr>
        <w:t>exigent circumstances</w:t>
      </w:r>
      <w:r w:rsidR="00F8283C">
        <w:rPr>
          <w:rFonts w:eastAsia="Calibri"/>
          <w:bCs/>
          <w:szCs w:val="24"/>
        </w:rPr>
        <w:t>” exception to Title II</w:t>
      </w:r>
      <w:r w:rsidR="009C3A63">
        <w:rPr>
          <w:rFonts w:eastAsia="Calibri"/>
          <w:bCs/>
          <w:szCs w:val="24"/>
        </w:rPr>
        <w:t xml:space="preserve">. And the facts of </w:t>
      </w:r>
      <w:r w:rsidR="009C3A63">
        <w:rPr>
          <w:rFonts w:eastAsia="Calibri"/>
          <w:bCs/>
          <w:i/>
          <w:szCs w:val="24"/>
        </w:rPr>
        <w:t>Tucker</w:t>
      </w:r>
      <w:r w:rsidR="009C3A63">
        <w:rPr>
          <w:rFonts w:eastAsia="Calibri"/>
          <w:bCs/>
          <w:szCs w:val="24"/>
        </w:rPr>
        <w:t xml:space="preserve"> are a far cry from the facts here</w:t>
      </w:r>
      <w:r w:rsidR="000E216C">
        <w:rPr>
          <w:rFonts w:eastAsia="Calibri"/>
          <w:bCs/>
          <w:szCs w:val="24"/>
        </w:rPr>
        <w:t xml:space="preserve"> – in </w:t>
      </w:r>
      <w:r w:rsidR="000E216C">
        <w:rPr>
          <w:rFonts w:eastAsia="Calibri"/>
          <w:bCs/>
          <w:i/>
          <w:szCs w:val="24"/>
        </w:rPr>
        <w:t>Tucker</w:t>
      </w:r>
      <w:r w:rsidR="000E216C">
        <w:rPr>
          <w:rFonts w:eastAsia="Calibri"/>
          <w:bCs/>
          <w:szCs w:val="24"/>
        </w:rPr>
        <w:t xml:space="preserve">, one of the officers personally observed one disputant strike another, and then physically assault one officer and threaten to assault another. </w:t>
      </w:r>
      <w:r w:rsidR="00F8283C">
        <w:rPr>
          <w:rFonts w:eastAsia="Calibri"/>
          <w:bCs/>
          <w:i/>
          <w:szCs w:val="24"/>
        </w:rPr>
        <w:t>See i</w:t>
      </w:r>
      <w:r w:rsidR="000E216C">
        <w:rPr>
          <w:rFonts w:eastAsia="Calibri"/>
          <w:bCs/>
          <w:i/>
          <w:szCs w:val="24"/>
        </w:rPr>
        <w:t>d.</w:t>
      </w:r>
      <w:r w:rsidR="000E216C">
        <w:rPr>
          <w:rFonts w:eastAsia="Calibri"/>
          <w:bCs/>
          <w:szCs w:val="24"/>
        </w:rPr>
        <w:t xml:space="preserve"> at 529</w:t>
      </w:r>
      <w:r w:rsidR="00F8283C">
        <w:rPr>
          <w:rFonts w:eastAsia="Calibri"/>
          <w:bCs/>
          <w:szCs w:val="24"/>
        </w:rPr>
        <w:t>.</w:t>
      </w:r>
      <w:r w:rsidR="00F8283C">
        <w:rPr>
          <w:rFonts w:ascii="CenturyExpandedBT-Bold" w:eastAsia="Calibri" w:hAnsi="CenturyExpandedBT-Bold" w:cs="CenturyExpandedBT-Bold"/>
          <w:bCs/>
          <w:szCs w:val="24"/>
        </w:rPr>
        <w:t xml:space="preserve"> </w:t>
      </w:r>
      <w:proofErr w:type="spellStart"/>
      <w:r w:rsidR="0009095C" w:rsidRPr="00F8283C">
        <w:rPr>
          <w:rFonts w:eastAsia="Calibri"/>
          <w:bCs/>
          <w:i/>
          <w:szCs w:val="24"/>
        </w:rPr>
        <w:t>Bircoll</w:t>
      </w:r>
      <w:proofErr w:type="spellEnd"/>
      <w:r w:rsidR="00F8283C">
        <w:rPr>
          <w:rFonts w:eastAsia="Calibri"/>
          <w:bCs/>
          <w:szCs w:val="24"/>
        </w:rPr>
        <w:t>, too, explicitly required a “‘highly fact-specific inquiry</w:t>
      </w:r>
      <w:r w:rsidR="007F3FD0">
        <w:rPr>
          <w:rFonts w:eastAsia="Calibri"/>
          <w:bCs/>
          <w:szCs w:val="24"/>
        </w:rPr>
        <w:t>,</w:t>
      </w:r>
      <w:r w:rsidR="00F8283C">
        <w:rPr>
          <w:rFonts w:eastAsia="Calibri"/>
          <w:bCs/>
          <w:szCs w:val="24"/>
        </w:rPr>
        <w:t xml:space="preserve">’” which rested in part upon </w:t>
      </w:r>
      <w:r w:rsidR="0009095C">
        <w:rPr>
          <w:rFonts w:eastAsia="Calibri"/>
          <w:bCs/>
          <w:szCs w:val="24"/>
        </w:rPr>
        <w:t xml:space="preserve">“the exigent circumstances of a DUI stop on the side of a highway” where “the danger to human life is high.” </w:t>
      </w:r>
      <w:proofErr w:type="spellStart"/>
      <w:r w:rsidR="00F8283C">
        <w:rPr>
          <w:rFonts w:eastAsia="Calibri"/>
          <w:bCs/>
          <w:i/>
          <w:szCs w:val="24"/>
        </w:rPr>
        <w:t>Bircoll</w:t>
      </w:r>
      <w:proofErr w:type="spellEnd"/>
      <w:r w:rsidR="00F8283C">
        <w:rPr>
          <w:rFonts w:eastAsia="Calibri"/>
          <w:bCs/>
          <w:szCs w:val="24"/>
        </w:rPr>
        <w:t>, 480 F.3d at 10</w:t>
      </w:r>
      <w:r w:rsidR="00EB2528">
        <w:rPr>
          <w:rFonts w:eastAsia="Calibri"/>
          <w:bCs/>
          <w:szCs w:val="24"/>
        </w:rPr>
        <w:t>85-</w:t>
      </w:r>
      <w:r w:rsidR="00F8283C">
        <w:rPr>
          <w:rFonts w:eastAsia="Calibri"/>
          <w:bCs/>
          <w:szCs w:val="24"/>
        </w:rPr>
        <w:t>86.</w:t>
      </w:r>
      <w:r w:rsidR="0009095C">
        <w:rPr>
          <w:rFonts w:eastAsia="Calibri"/>
          <w:bCs/>
          <w:szCs w:val="24"/>
        </w:rPr>
        <w:t xml:space="preserve"> </w:t>
      </w:r>
      <w:r w:rsidR="008E1619">
        <w:rPr>
          <w:rFonts w:eastAsia="Calibri"/>
          <w:bCs/>
          <w:szCs w:val="24"/>
        </w:rPr>
        <w:t xml:space="preserve"> </w:t>
      </w:r>
      <w:r w:rsidR="008E1619">
        <w:rPr>
          <w:color w:val="000000"/>
          <w:szCs w:val="24"/>
        </w:rPr>
        <w:t xml:space="preserve">In </w:t>
      </w:r>
      <w:proofErr w:type="spellStart"/>
      <w:r w:rsidR="008E1619">
        <w:rPr>
          <w:i/>
          <w:color w:val="000000"/>
          <w:szCs w:val="24"/>
        </w:rPr>
        <w:t>Hainze</w:t>
      </w:r>
      <w:proofErr w:type="spellEnd"/>
      <w:r w:rsidR="008E1619">
        <w:rPr>
          <w:color w:val="000000"/>
          <w:szCs w:val="24"/>
        </w:rPr>
        <w:t>, t</w:t>
      </w:r>
      <w:r w:rsidR="008E1619" w:rsidRPr="009C3A63">
        <w:rPr>
          <w:color w:val="000000"/>
          <w:szCs w:val="24"/>
        </w:rPr>
        <w:t>he police officers responded to a request to take a mentally ill individual</w:t>
      </w:r>
      <w:r w:rsidR="008E1619">
        <w:rPr>
          <w:color w:val="000000"/>
          <w:szCs w:val="24"/>
        </w:rPr>
        <w:t xml:space="preserve"> </w:t>
      </w:r>
      <w:r w:rsidR="008E1619" w:rsidRPr="009C3A63">
        <w:rPr>
          <w:color w:val="000000"/>
          <w:szCs w:val="24"/>
        </w:rPr>
        <w:t>to a hospital.</w:t>
      </w:r>
      <w:r w:rsidR="008E1619">
        <w:rPr>
          <w:color w:val="000000"/>
          <w:szCs w:val="24"/>
        </w:rPr>
        <w:t xml:space="preserve"> </w:t>
      </w:r>
      <w:r w:rsidR="008E1619">
        <w:rPr>
          <w:i/>
          <w:color w:val="000000"/>
          <w:szCs w:val="24"/>
        </w:rPr>
        <w:t xml:space="preserve">See </w:t>
      </w:r>
      <w:r w:rsidR="008E1619">
        <w:rPr>
          <w:color w:val="000000"/>
          <w:szCs w:val="24"/>
        </w:rPr>
        <w:t>207 F.3d at 797. When the officers</w:t>
      </w:r>
      <w:r w:rsidR="008E1619" w:rsidRPr="009C3A63">
        <w:rPr>
          <w:color w:val="000000"/>
          <w:szCs w:val="24"/>
        </w:rPr>
        <w:t xml:space="preserve"> arrived at the scene, </w:t>
      </w:r>
      <w:r w:rsidR="008E1619">
        <w:rPr>
          <w:color w:val="000000"/>
          <w:szCs w:val="24"/>
        </w:rPr>
        <w:t>however</w:t>
      </w:r>
      <w:r w:rsidR="008E1619" w:rsidRPr="009C3A63">
        <w:rPr>
          <w:color w:val="000000"/>
          <w:szCs w:val="24"/>
        </w:rPr>
        <w:t>,</w:t>
      </w:r>
      <w:r w:rsidR="008E1619">
        <w:rPr>
          <w:color w:val="000000"/>
          <w:szCs w:val="24"/>
        </w:rPr>
        <w:t xml:space="preserve"> the individual began to advance upon the officers</w:t>
      </w:r>
      <w:r w:rsidR="008E1619" w:rsidRPr="009C3A63">
        <w:rPr>
          <w:color w:val="000000"/>
          <w:szCs w:val="24"/>
        </w:rPr>
        <w:t xml:space="preserve"> with a knife in his hand</w:t>
      </w:r>
      <w:r w:rsidR="008E1619">
        <w:rPr>
          <w:color w:val="000000"/>
          <w:szCs w:val="24"/>
        </w:rPr>
        <w:t xml:space="preserve">. </w:t>
      </w:r>
      <w:r w:rsidR="008E1619">
        <w:rPr>
          <w:i/>
          <w:color w:val="000000"/>
          <w:szCs w:val="24"/>
        </w:rPr>
        <w:t xml:space="preserve">See id. </w:t>
      </w:r>
      <w:r w:rsidR="008E1619">
        <w:rPr>
          <w:color w:val="000000"/>
          <w:szCs w:val="24"/>
        </w:rPr>
        <w:t xml:space="preserve">There is an obvious and </w:t>
      </w:r>
      <w:r w:rsidR="008E1619">
        <w:rPr>
          <w:rFonts w:eastAsia="Calibri"/>
          <w:bCs/>
          <w:szCs w:val="24"/>
        </w:rPr>
        <w:t>s</w:t>
      </w:r>
      <w:r w:rsidR="0009095C">
        <w:rPr>
          <w:rFonts w:eastAsia="Calibri"/>
          <w:bCs/>
          <w:szCs w:val="24"/>
        </w:rPr>
        <w:t>triking difference</w:t>
      </w:r>
      <w:r w:rsidR="008E1619">
        <w:rPr>
          <w:rFonts w:eastAsia="Calibri"/>
          <w:bCs/>
          <w:szCs w:val="24"/>
        </w:rPr>
        <w:t>, in any event, between reasonably modifying</w:t>
      </w:r>
      <w:r w:rsidR="0009095C">
        <w:rPr>
          <w:rFonts w:eastAsia="Calibri"/>
          <w:bCs/>
          <w:szCs w:val="24"/>
        </w:rPr>
        <w:t xml:space="preserve"> practices where officers and </w:t>
      </w:r>
      <w:r w:rsidR="008E1619">
        <w:rPr>
          <w:rFonts w:eastAsia="Calibri"/>
          <w:bCs/>
          <w:szCs w:val="24"/>
        </w:rPr>
        <w:t>civilians</w:t>
      </w:r>
      <w:r w:rsidR="0009095C">
        <w:rPr>
          <w:rFonts w:eastAsia="Calibri"/>
          <w:bCs/>
          <w:szCs w:val="24"/>
        </w:rPr>
        <w:t xml:space="preserve"> are being assaulted (</w:t>
      </w:r>
      <w:r w:rsidR="0009095C" w:rsidRPr="008E1619">
        <w:rPr>
          <w:rFonts w:eastAsia="Calibri"/>
          <w:bCs/>
          <w:i/>
          <w:szCs w:val="24"/>
        </w:rPr>
        <w:t>Tucker</w:t>
      </w:r>
      <w:r w:rsidR="008E1619">
        <w:rPr>
          <w:rFonts w:eastAsia="Calibri"/>
          <w:bCs/>
          <w:szCs w:val="24"/>
        </w:rPr>
        <w:t xml:space="preserve">), a drunk driver </w:t>
      </w:r>
      <w:r w:rsidR="0009095C">
        <w:rPr>
          <w:rFonts w:eastAsia="Calibri"/>
          <w:bCs/>
          <w:szCs w:val="24"/>
        </w:rPr>
        <w:t>is barreling down the highway at 3:00 a.m. (</w:t>
      </w:r>
      <w:proofErr w:type="spellStart"/>
      <w:r w:rsidR="0009095C" w:rsidRPr="008E1619">
        <w:rPr>
          <w:rFonts w:eastAsia="Calibri"/>
          <w:bCs/>
          <w:i/>
          <w:szCs w:val="24"/>
        </w:rPr>
        <w:t>Bircoll</w:t>
      </w:r>
      <w:proofErr w:type="spellEnd"/>
      <w:r w:rsidR="0009095C">
        <w:rPr>
          <w:rFonts w:eastAsia="Calibri"/>
          <w:bCs/>
          <w:szCs w:val="24"/>
        </w:rPr>
        <w:t xml:space="preserve">), or a mentally disabled man </w:t>
      </w:r>
      <w:r w:rsidR="008E1619">
        <w:rPr>
          <w:rFonts w:eastAsia="Calibri"/>
          <w:bCs/>
          <w:szCs w:val="24"/>
        </w:rPr>
        <w:t xml:space="preserve">is about to attack officers </w:t>
      </w:r>
      <w:r w:rsidR="0009095C">
        <w:rPr>
          <w:rFonts w:eastAsia="Calibri"/>
          <w:bCs/>
          <w:szCs w:val="24"/>
        </w:rPr>
        <w:t>with a knife (</w:t>
      </w:r>
      <w:proofErr w:type="spellStart"/>
      <w:r w:rsidR="0009095C" w:rsidRPr="008E1619">
        <w:rPr>
          <w:rFonts w:eastAsia="Calibri"/>
          <w:bCs/>
          <w:i/>
          <w:szCs w:val="24"/>
        </w:rPr>
        <w:t>Hainze</w:t>
      </w:r>
      <w:proofErr w:type="spellEnd"/>
      <w:r w:rsidR="0009095C">
        <w:rPr>
          <w:rFonts w:eastAsia="Calibri"/>
          <w:bCs/>
          <w:szCs w:val="24"/>
        </w:rPr>
        <w:t xml:space="preserve">), and the </w:t>
      </w:r>
      <w:r w:rsidR="007F3FD0">
        <w:rPr>
          <w:rFonts w:eastAsia="Calibri"/>
          <w:bCs/>
          <w:szCs w:val="24"/>
        </w:rPr>
        <w:t xml:space="preserve">situation here, where the </w:t>
      </w:r>
      <w:r w:rsidR="0009095C">
        <w:rPr>
          <w:rFonts w:eastAsia="Calibri"/>
          <w:bCs/>
          <w:szCs w:val="24"/>
        </w:rPr>
        <w:t>NYPD Officers enter</w:t>
      </w:r>
      <w:r w:rsidR="007F3FD0">
        <w:rPr>
          <w:rFonts w:eastAsia="Calibri"/>
          <w:bCs/>
          <w:szCs w:val="24"/>
        </w:rPr>
        <w:t>ed</w:t>
      </w:r>
      <w:r w:rsidR="0009095C">
        <w:rPr>
          <w:rFonts w:eastAsia="Calibri"/>
          <w:bCs/>
          <w:szCs w:val="24"/>
        </w:rPr>
        <w:t xml:space="preserve"> a private home where there had been a verbal altercation, but the situation had settled such that the officers could speak to the non-deaf witnesses for fifteen to twenty minutes without incident.</w:t>
      </w:r>
    </w:p>
    <w:p w:rsidR="00D40915" w:rsidRPr="008E1619" w:rsidRDefault="009C3A63" w:rsidP="007D5C89">
      <w:pPr>
        <w:spacing w:line="480" w:lineRule="auto"/>
        <w:rPr>
          <w:rFonts w:eastAsia="Calibri"/>
          <w:szCs w:val="24"/>
        </w:rPr>
      </w:pPr>
      <w:r>
        <w:rPr>
          <w:rFonts w:eastAsia="Calibri"/>
          <w:bCs/>
          <w:szCs w:val="24"/>
        </w:rPr>
        <w:tab/>
        <w:t>Put another way, Defendant is taking cases in which the district court conducted a fact-based analysis of all of the circumstances, considered the possibility of reasonable modifications, and found that specific ex</w:t>
      </w:r>
      <w:r w:rsidR="000E216C">
        <w:rPr>
          <w:rFonts w:eastAsia="Calibri"/>
          <w:bCs/>
          <w:szCs w:val="24"/>
        </w:rPr>
        <w:t>igent circumstances did not requi</w:t>
      </w:r>
      <w:r>
        <w:rPr>
          <w:rFonts w:eastAsia="Calibri"/>
          <w:bCs/>
          <w:szCs w:val="24"/>
        </w:rPr>
        <w:t xml:space="preserve">re them, to somehow create a rule in which the mere invocation of </w:t>
      </w:r>
      <w:r w:rsidR="008E1619">
        <w:rPr>
          <w:rFonts w:eastAsia="Calibri"/>
          <w:bCs/>
          <w:szCs w:val="24"/>
        </w:rPr>
        <w:t xml:space="preserve">the </w:t>
      </w:r>
      <w:r>
        <w:rPr>
          <w:rFonts w:eastAsia="Calibri"/>
          <w:bCs/>
          <w:szCs w:val="24"/>
        </w:rPr>
        <w:t xml:space="preserve">“exigent circumstances” </w:t>
      </w:r>
      <w:r w:rsidR="008E1619">
        <w:rPr>
          <w:rFonts w:eastAsia="Calibri"/>
          <w:bCs/>
          <w:szCs w:val="24"/>
        </w:rPr>
        <w:t xml:space="preserve">inherent in police work </w:t>
      </w:r>
      <w:r>
        <w:rPr>
          <w:rFonts w:eastAsia="Calibri"/>
          <w:bCs/>
          <w:szCs w:val="24"/>
        </w:rPr>
        <w:t>– regardless of the facts – suffices to exempt the interaction from Title II of the ADA.  This is not the law.</w:t>
      </w:r>
    </w:p>
    <w:p w:rsidR="00225530" w:rsidRDefault="00807D60" w:rsidP="00225530">
      <w:pPr>
        <w:rPr>
          <w:rFonts w:ascii="CenturyExpandedBT-Bold" w:eastAsia="Calibri" w:hAnsi="CenturyExpandedBT-Bold" w:cs="CenturyExpandedBT-Bold"/>
          <w:b/>
          <w:bCs/>
          <w:szCs w:val="24"/>
        </w:rPr>
      </w:pPr>
      <w:r>
        <w:rPr>
          <w:rFonts w:ascii="CenturyExpandedBT-Bold" w:eastAsia="Calibri" w:hAnsi="CenturyExpandedBT-Bold" w:cs="CenturyExpandedBT-Bold"/>
          <w:b/>
          <w:bCs/>
          <w:szCs w:val="24"/>
        </w:rPr>
        <w:t>C</w:t>
      </w:r>
      <w:r w:rsidR="007D5C89" w:rsidRPr="00225530">
        <w:rPr>
          <w:rFonts w:ascii="CenturyExpandedBT-Bold" w:eastAsia="Calibri" w:hAnsi="CenturyExpandedBT-Bold" w:cs="CenturyExpandedBT-Bold"/>
          <w:b/>
          <w:bCs/>
          <w:szCs w:val="24"/>
        </w:rPr>
        <w:t xml:space="preserve">. </w:t>
      </w:r>
      <w:r w:rsidR="00225530">
        <w:rPr>
          <w:rFonts w:ascii="CenturyExpandedBT-Bold" w:eastAsia="Calibri" w:hAnsi="CenturyExpandedBT-Bold" w:cs="CenturyExpandedBT-Bold"/>
          <w:b/>
          <w:bCs/>
          <w:szCs w:val="24"/>
        </w:rPr>
        <w:tab/>
      </w:r>
      <w:r w:rsidR="00225530" w:rsidRPr="00225530">
        <w:rPr>
          <w:rFonts w:ascii="CenturyExpandedBT-Bold" w:eastAsia="Calibri" w:hAnsi="CenturyExpandedBT-Bold" w:cs="CenturyExpandedBT-Bold"/>
          <w:b/>
          <w:bCs/>
          <w:szCs w:val="24"/>
        </w:rPr>
        <w:t xml:space="preserve">Because There Are Genuine Issues of Material Fact </w:t>
      </w:r>
      <w:r w:rsidR="00A952E9">
        <w:rPr>
          <w:rFonts w:ascii="CenturyExpandedBT-Bold" w:eastAsia="Calibri" w:hAnsi="CenturyExpandedBT-Bold" w:cs="CenturyExpandedBT-Bold"/>
          <w:b/>
          <w:bCs/>
          <w:szCs w:val="24"/>
        </w:rPr>
        <w:t>at Issue</w:t>
      </w:r>
      <w:r w:rsidR="00225530" w:rsidRPr="00225530">
        <w:rPr>
          <w:rFonts w:ascii="CenturyExpandedBT-Bold" w:eastAsia="Calibri" w:hAnsi="CenturyExpandedBT-Bold" w:cs="CenturyExpandedBT-Bold"/>
          <w:b/>
          <w:bCs/>
          <w:szCs w:val="24"/>
        </w:rPr>
        <w:t xml:space="preserve">, Summary Judgment </w:t>
      </w:r>
      <w:r w:rsidR="008D2243">
        <w:rPr>
          <w:rFonts w:ascii="CenturyExpandedBT-Bold" w:eastAsia="Calibri" w:hAnsi="CenturyExpandedBT-Bold" w:cs="CenturyExpandedBT-Bold"/>
          <w:b/>
          <w:bCs/>
          <w:szCs w:val="24"/>
        </w:rPr>
        <w:tab/>
      </w:r>
      <w:r w:rsidR="00225530" w:rsidRPr="00225530">
        <w:rPr>
          <w:rFonts w:ascii="CenturyExpandedBT-Bold" w:eastAsia="Calibri" w:hAnsi="CenturyExpandedBT-Bold" w:cs="CenturyExpandedBT-Bold"/>
          <w:b/>
          <w:bCs/>
          <w:szCs w:val="24"/>
        </w:rPr>
        <w:t>Should be Denied</w:t>
      </w:r>
    </w:p>
    <w:p w:rsidR="000F039B" w:rsidRDefault="000F039B" w:rsidP="00225530">
      <w:pPr>
        <w:rPr>
          <w:rFonts w:ascii="CenturyExpandedBT-Bold" w:eastAsia="Calibri" w:hAnsi="CenturyExpandedBT-Bold" w:cs="CenturyExpandedBT-Bold"/>
          <w:b/>
          <w:bCs/>
          <w:szCs w:val="24"/>
        </w:rPr>
      </w:pPr>
    </w:p>
    <w:p w:rsidR="000F039B" w:rsidRDefault="000F039B" w:rsidP="00677C67">
      <w:pPr>
        <w:spacing w:line="480" w:lineRule="auto"/>
        <w:rPr>
          <w:rFonts w:ascii="CenturyExpandedBT-Bold" w:eastAsia="Calibri" w:hAnsi="CenturyExpandedBT-Bold" w:cs="CenturyExpandedBT-Bold"/>
          <w:bCs/>
          <w:szCs w:val="24"/>
        </w:rPr>
      </w:pPr>
      <w:r>
        <w:rPr>
          <w:rFonts w:ascii="CenturyExpandedBT-Bold" w:eastAsia="Calibri" w:hAnsi="CenturyExpandedBT-Bold" w:cs="CenturyExpandedBT-Bold"/>
          <w:b/>
          <w:bCs/>
          <w:szCs w:val="24"/>
        </w:rPr>
        <w:tab/>
      </w:r>
      <w:r w:rsidRPr="00677C67">
        <w:rPr>
          <w:rFonts w:ascii="CenturyExpandedBT-Bold" w:eastAsia="Calibri" w:hAnsi="CenturyExpandedBT-Bold" w:cs="CenturyExpandedBT-Bold"/>
          <w:bCs/>
          <w:szCs w:val="24"/>
        </w:rPr>
        <w:t xml:space="preserve">Applying the legal framework set forth above, there are genuine and significant issues of fact as to whether </w:t>
      </w:r>
      <w:r w:rsidR="0057623F">
        <w:rPr>
          <w:rFonts w:ascii="CenturyExpandedBT-Bold" w:eastAsia="Calibri" w:hAnsi="CenturyExpandedBT-Bold" w:cs="CenturyExpandedBT-Bold"/>
          <w:bCs/>
          <w:szCs w:val="24"/>
        </w:rPr>
        <w:t>there w</w:t>
      </w:r>
      <w:r w:rsidR="004C2210">
        <w:rPr>
          <w:rFonts w:ascii="CenturyExpandedBT-Bold" w:eastAsia="Calibri" w:hAnsi="CenturyExpandedBT-Bold" w:cs="CenturyExpandedBT-Bold"/>
          <w:bCs/>
          <w:szCs w:val="24"/>
        </w:rPr>
        <w:t>ere</w:t>
      </w:r>
      <w:r w:rsidR="0057623F">
        <w:rPr>
          <w:rFonts w:ascii="CenturyExpandedBT-Bold" w:eastAsia="Calibri" w:hAnsi="CenturyExpandedBT-Bold" w:cs="CenturyExpandedBT-Bold"/>
          <w:bCs/>
          <w:szCs w:val="24"/>
        </w:rPr>
        <w:t xml:space="preserve"> effective communication techniques available to the arresting officers that were not provided, and </w:t>
      </w:r>
      <w:r w:rsidRPr="00677C67">
        <w:rPr>
          <w:rFonts w:ascii="CenturyExpandedBT-Bold" w:eastAsia="Calibri" w:hAnsi="CenturyExpandedBT-Bold" w:cs="CenturyExpandedBT-Bold"/>
          <w:bCs/>
          <w:szCs w:val="24"/>
        </w:rPr>
        <w:t>there were reasonable modifications to NYPD policies, practices, and procedures that s</w:t>
      </w:r>
      <w:r w:rsidR="00A44AAE">
        <w:rPr>
          <w:rFonts w:ascii="CenturyExpandedBT-Bold" w:eastAsia="Calibri" w:hAnsi="CenturyExpandedBT-Bold" w:cs="CenturyExpandedBT-Bold"/>
          <w:bCs/>
          <w:szCs w:val="24"/>
        </w:rPr>
        <w:t>hould have been provided</w:t>
      </w:r>
      <w:r w:rsidR="0057623F">
        <w:rPr>
          <w:rFonts w:ascii="CenturyExpandedBT-Bold" w:eastAsia="Calibri" w:hAnsi="CenturyExpandedBT-Bold" w:cs="CenturyExpandedBT-Bold"/>
          <w:bCs/>
          <w:szCs w:val="24"/>
        </w:rPr>
        <w:t>,</w:t>
      </w:r>
      <w:r w:rsidR="00A44AAE">
        <w:rPr>
          <w:rFonts w:ascii="CenturyExpandedBT-Bold" w:eastAsia="Calibri" w:hAnsi="CenturyExpandedBT-Bold" w:cs="CenturyExpandedBT-Bold"/>
          <w:bCs/>
          <w:szCs w:val="24"/>
        </w:rPr>
        <w:t xml:space="preserve"> to Williams</w:t>
      </w:r>
      <w:r w:rsidRPr="00677C67">
        <w:rPr>
          <w:rFonts w:ascii="CenturyExpandedBT-Bold" w:eastAsia="Calibri" w:hAnsi="CenturyExpandedBT-Bold" w:cs="CenturyExpandedBT-Bold"/>
          <w:bCs/>
          <w:szCs w:val="24"/>
        </w:rPr>
        <w:t>.</w:t>
      </w:r>
    </w:p>
    <w:p w:rsidR="008E1619" w:rsidRDefault="00A025D6" w:rsidP="00742006">
      <w:pPr>
        <w:spacing w:line="480" w:lineRule="auto"/>
        <w:rPr>
          <w:rFonts w:ascii="CenturyExpandedBT-Bold" w:eastAsia="Calibri" w:hAnsi="CenturyExpandedBT-Bold" w:cs="CenturyExpandedBT-Bold"/>
          <w:bCs/>
          <w:szCs w:val="24"/>
        </w:rPr>
      </w:pPr>
      <w:r>
        <w:rPr>
          <w:rFonts w:ascii="CenturyExpandedBT-Bold" w:eastAsia="Calibri" w:hAnsi="CenturyExpandedBT-Bold" w:cs="CenturyExpandedBT-Bold"/>
          <w:bCs/>
          <w:szCs w:val="24"/>
        </w:rPr>
        <w:tab/>
      </w:r>
      <w:r w:rsidR="00317FA3">
        <w:rPr>
          <w:rFonts w:ascii="CenturyExpandedBT-Bold" w:eastAsia="Calibri" w:hAnsi="CenturyExpandedBT-Bold" w:cs="CenturyExpandedBT-Bold"/>
          <w:bCs/>
          <w:szCs w:val="24"/>
        </w:rPr>
        <w:t>Although D</w:t>
      </w:r>
      <w:r w:rsidR="00C20AE0">
        <w:rPr>
          <w:rFonts w:ascii="CenturyExpandedBT-Bold" w:eastAsia="Calibri" w:hAnsi="CenturyExpandedBT-Bold" w:cs="CenturyExpandedBT-Bold"/>
          <w:bCs/>
          <w:szCs w:val="24"/>
        </w:rPr>
        <w:t xml:space="preserve">efendant devotes little attention to the interaction between </w:t>
      </w:r>
      <w:r w:rsidR="00A44AAE">
        <w:rPr>
          <w:rFonts w:ascii="CenturyExpandedBT-Bold" w:eastAsia="Calibri" w:hAnsi="CenturyExpandedBT-Bold" w:cs="CenturyExpandedBT-Bold"/>
          <w:bCs/>
          <w:szCs w:val="24"/>
        </w:rPr>
        <w:t>Williams</w:t>
      </w:r>
      <w:r w:rsidR="00C20AE0">
        <w:rPr>
          <w:rFonts w:ascii="CenturyExpandedBT-Bold" w:eastAsia="Calibri" w:hAnsi="CenturyExpandedBT-Bold" w:cs="CenturyExpandedBT-Bold"/>
          <w:bCs/>
          <w:szCs w:val="24"/>
        </w:rPr>
        <w:t xml:space="preserve"> and the NYPD Officers, </w:t>
      </w:r>
      <w:r w:rsidR="00A44AAE">
        <w:rPr>
          <w:rFonts w:ascii="CenturyExpandedBT-Bold" w:eastAsia="Calibri" w:hAnsi="CenturyExpandedBT-Bold" w:cs="CenturyExpandedBT-Bold"/>
          <w:bCs/>
          <w:szCs w:val="24"/>
        </w:rPr>
        <w:t>Williams</w:t>
      </w:r>
      <w:r w:rsidR="00C20AE0">
        <w:rPr>
          <w:rFonts w:ascii="CenturyExpandedBT-Bold" w:eastAsia="Calibri" w:hAnsi="CenturyExpandedBT-Bold" w:cs="CenturyExpandedBT-Bold"/>
          <w:bCs/>
          <w:szCs w:val="24"/>
        </w:rPr>
        <w:t xml:space="preserve">’s statement of material facts as to which there is no genuine dispute points to numerous occasions where the NYPD Officers should have used auxiliary aids and services, yet failed to do so. </w:t>
      </w:r>
      <w:r w:rsidR="00C82E05">
        <w:rPr>
          <w:rFonts w:ascii="CenturyExpandedBT-Bold" w:eastAsia="Calibri" w:hAnsi="CenturyExpandedBT-Bold" w:cs="CenturyExpandedBT-Bold"/>
          <w:bCs/>
          <w:szCs w:val="24"/>
        </w:rPr>
        <w:t xml:space="preserve"> </w:t>
      </w:r>
      <w:r w:rsidR="00DD636B">
        <w:rPr>
          <w:rFonts w:ascii="CenturyExpandedBT-Bold" w:eastAsia="Calibri" w:hAnsi="CenturyExpandedBT-Bold" w:cs="CenturyExpandedBT-Bold"/>
          <w:bCs/>
          <w:szCs w:val="24"/>
        </w:rPr>
        <w:t xml:space="preserve">Williams is entitled to show at trial that there were </w:t>
      </w:r>
      <w:r w:rsidR="0057623F">
        <w:rPr>
          <w:rFonts w:ascii="CenturyExpandedBT-Bold" w:eastAsia="Calibri" w:hAnsi="CenturyExpandedBT-Bold" w:cs="CenturyExpandedBT-Bold"/>
          <w:bCs/>
          <w:szCs w:val="24"/>
        </w:rPr>
        <w:t xml:space="preserve">effective communication techniques that were available to the NYPD Officers and </w:t>
      </w:r>
      <w:r w:rsidR="00DD636B">
        <w:rPr>
          <w:rFonts w:ascii="CenturyExpandedBT-Bold" w:eastAsia="Calibri" w:hAnsi="CenturyExpandedBT-Bold" w:cs="CenturyExpandedBT-Bold"/>
          <w:bCs/>
          <w:szCs w:val="24"/>
        </w:rPr>
        <w:t>reasonable modifications that the NYPD Officers could have provided from the time they arrived at the scene to the point where they removed Williams from the scene. Once the NYPD Officers arrived, it was unreasonable for them to rely primarily upon the statements of the non-deaf individuals on the scene, as the tenant’s friend and boyfriend were obviously partial to one side of the dispute. No</w:t>
      </w:r>
      <w:r w:rsidR="008E1619">
        <w:rPr>
          <w:rFonts w:ascii="CenturyExpandedBT-Bold" w:eastAsia="Calibri" w:hAnsi="CenturyExpandedBT-Bold" w:cs="CenturyExpandedBT-Bold"/>
          <w:bCs/>
          <w:szCs w:val="24"/>
        </w:rPr>
        <w:t>r has there been any showing of such</w:t>
      </w:r>
      <w:r w:rsidR="00DD636B">
        <w:rPr>
          <w:rFonts w:ascii="CenturyExpandedBT-Bold" w:eastAsia="Calibri" w:hAnsi="CenturyExpandedBT-Bold" w:cs="CenturyExpandedBT-Bold"/>
          <w:bCs/>
          <w:szCs w:val="24"/>
        </w:rPr>
        <w:t xml:space="preserve"> urgency </w:t>
      </w:r>
      <w:r w:rsidR="008E1619">
        <w:rPr>
          <w:rFonts w:ascii="CenturyExpandedBT-Bold" w:eastAsia="Calibri" w:hAnsi="CenturyExpandedBT-Bold" w:cs="CenturyExpandedBT-Bold"/>
          <w:bCs/>
          <w:szCs w:val="24"/>
        </w:rPr>
        <w:t xml:space="preserve">to justify the failure to call an interpreter to the scene – particularly given that three of the witnesses were deaf. </w:t>
      </w:r>
      <w:r w:rsidR="008E1619" w:rsidRPr="009C3A63">
        <w:rPr>
          <w:rFonts w:eastAsia="Calibri"/>
          <w:szCs w:val="24"/>
        </w:rPr>
        <w:t xml:space="preserve">In </w:t>
      </w:r>
      <w:r w:rsidR="008E1619" w:rsidRPr="009C3A63">
        <w:rPr>
          <w:rFonts w:eastAsia="Calibri"/>
          <w:i/>
          <w:szCs w:val="24"/>
        </w:rPr>
        <w:t>Taylor</w:t>
      </w:r>
      <w:r w:rsidR="008E1619" w:rsidRPr="009C3A63">
        <w:rPr>
          <w:rFonts w:eastAsia="Calibri"/>
          <w:szCs w:val="24"/>
        </w:rPr>
        <w:t xml:space="preserve">, </w:t>
      </w:r>
      <w:r w:rsidR="008E1619">
        <w:rPr>
          <w:rFonts w:eastAsia="Calibri"/>
          <w:szCs w:val="24"/>
        </w:rPr>
        <w:t>for example</w:t>
      </w:r>
      <w:r w:rsidR="008E1619" w:rsidRPr="009C3A63">
        <w:rPr>
          <w:rFonts w:eastAsia="Calibri"/>
          <w:szCs w:val="24"/>
        </w:rPr>
        <w:t xml:space="preserve">, the court held that </w:t>
      </w:r>
      <w:r w:rsidR="00C62E1A">
        <w:rPr>
          <w:rFonts w:eastAsia="Calibri"/>
          <w:szCs w:val="24"/>
        </w:rPr>
        <w:t xml:space="preserve">based on </w:t>
      </w:r>
      <w:r w:rsidR="008E1619" w:rsidRPr="009C3A63">
        <w:rPr>
          <w:rFonts w:eastAsia="Calibri"/>
          <w:szCs w:val="24"/>
        </w:rPr>
        <w:t>the record before the court, the facts “do not demonstrate that the circumstances changed during the encounter with police such that the police should not have been requi</w:t>
      </w:r>
      <w:r w:rsidR="008E1619">
        <w:rPr>
          <w:rFonts w:ascii="CenturyExpandedBT-Roman" w:eastAsia="Calibri" w:hAnsi="CenturyExpandedBT-Roman" w:cs="CenturyExpandedBT-Roman"/>
          <w:szCs w:val="24"/>
        </w:rPr>
        <w:t xml:space="preserve">red to wait for the independent interpreter to arrive at the scene.” </w:t>
      </w:r>
      <w:r w:rsidR="008E1619">
        <w:rPr>
          <w:rFonts w:ascii="CenturyExpandedBT-Roman" w:eastAsia="Calibri" w:hAnsi="CenturyExpandedBT-Roman" w:cs="CenturyExpandedBT-Roman"/>
          <w:i/>
          <w:szCs w:val="24"/>
        </w:rPr>
        <w:t>Taylor</w:t>
      </w:r>
      <w:r w:rsidR="008E1619">
        <w:rPr>
          <w:rFonts w:ascii="CenturyExpandedBT-Roman" w:eastAsia="Calibri" w:hAnsi="CenturyExpandedBT-Roman" w:cs="CenturyExpandedBT-Roman"/>
          <w:szCs w:val="24"/>
        </w:rPr>
        <w:t xml:space="preserve">, 970 F. Supp. 2d at 782.  Particularly relevant to the court’s analysis in </w:t>
      </w:r>
      <w:r w:rsidR="008E1619">
        <w:rPr>
          <w:rFonts w:ascii="CenturyExpandedBT-Roman" w:eastAsia="Calibri" w:hAnsi="CenturyExpandedBT-Roman" w:cs="CenturyExpandedBT-Roman"/>
          <w:i/>
          <w:szCs w:val="24"/>
        </w:rPr>
        <w:t>Taylor</w:t>
      </w:r>
      <w:r w:rsidR="008E1619">
        <w:rPr>
          <w:rFonts w:ascii="CenturyExpandedBT-Roman" w:eastAsia="Calibri" w:hAnsi="CenturyExpandedBT-Roman" w:cs="CenturyExpandedBT-Roman"/>
          <w:szCs w:val="24"/>
        </w:rPr>
        <w:t xml:space="preserve"> was that the plaintiff had been the one to call the officers to </w:t>
      </w:r>
      <w:r w:rsidR="004A48A7">
        <w:rPr>
          <w:rFonts w:ascii="CenturyExpandedBT-Roman" w:eastAsia="Calibri" w:hAnsi="CenturyExpandedBT-Roman" w:cs="CenturyExpandedBT-Roman"/>
          <w:szCs w:val="24"/>
        </w:rPr>
        <w:t xml:space="preserve">the </w:t>
      </w:r>
      <w:r w:rsidR="008E1619">
        <w:rPr>
          <w:rFonts w:ascii="CenturyExpandedBT-Roman" w:eastAsia="Calibri" w:hAnsi="CenturyExpandedBT-Roman" w:cs="CenturyExpandedBT-Roman"/>
          <w:szCs w:val="24"/>
        </w:rPr>
        <w:t xml:space="preserve">scene, just as Williams’s husband did here. </w:t>
      </w:r>
      <w:r w:rsidR="008E1619">
        <w:rPr>
          <w:rFonts w:ascii="CenturyExpandedBT-Roman" w:eastAsia="Calibri" w:hAnsi="CenturyExpandedBT-Roman" w:cs="CenturyExpandedBT-Roman"/>
          <w:i/>
          <w:szCs w:val="24"/>
        </w:rPr>
        <w:t>See id.</w:t>
      </w:r>
      <w:r w:rsidR="008E1619">
        <w:rPr>
          <w:rFonts w:ascii="CenturyExpandedBT-Roman" w:eastAsia="Calibri" w:hAnsi="CenturyExpandedBT-Roman" w:cs="CenturyExpandedBT-Roman"/>
          <w:szCs w:val="24"/>
        </w:rPr>
        <w:t xml:space="preserve"> at 781.</w:t>
      </w:r>
    </w:p>
    <w:p w:rsidR="006C0E90" w:rsidRDefault="008E1619" w:rsidP="00677C67">
      <w:pPr>
        <w:spacing w:line="480" w:lineRule="auto"/>
        <w:rPr>
          <w:rFonts w:ascii="CenturyExpandedBT-Bold" w:eastAsia="Calibri" w:hAnsi="CenturyExpandedBT-Bold" w:cs="CenturyExpandedBT-Bold"/>
          <w:bCs/>
          <w:szCs w:val="24"/>
        </w:rPr>
      </w:pPr>
      <w:r>
        <w:rPr>
          <w:rFonts w:ascii="CenturyExpandedBT-Bold" w:eastAsia="Calibri" w:hAnsi="CenturyExpandedBT-Bold" w:cs="CenturyExpandedBT-Bold"/>
          <w:bCs/>
          <w:szCs w:val="24"/>
        </w:rPr>
        <w:tab/>
      </w:r>
      <w:r w:rsidR="00DD636B">
        <w:rPr>
          <w:rFonts w:ascii="CenturyExpandedBT-Bold" w:eastAsia="Calibri" w:hAnsi="CenturyExpandedBT-Bold" w:cs="CenturyExpandedBT-Bold"/>
          <w:bCs/>
          <w:szCs w:val="24"/>
        </w:rPr>
        <w:t xml:space="preserve">Even if the NYPD </w:t>
      </w:r>
      <w:r w:rsidR="007F3FD0">
        <w:rPr>
          <w:rFonts w:ascii="CenturyExpandedBT-Bold" w:eastAsia="Calibri" w:hAnsi="CenturyExpandedBT-Bold" w:cs="CenturyExpandedBT-Bold"/>
          <w:bCs/>
          <w:szCs w:val="24"/>
        </w:rPr>
        <w:t>O</w:t>
      </w:r>
      <w:r w:rsidR="00DD636B">
        <w:rPr>
          <w:rFonts w:ascii="CenturyExpandedBT-Bold" w:eastAsia="Calibri" w:hAnsi="CenturyExpandedBT-Bold" w:cs="CenturyExpandedBT-Bold"/>
          <w:bCs/>
          <w:szCs w:val="24"/>
        </w:rPr>
        <w:t>fficers were justified in placing Williams in handcuffs, they should have reasonably modified their procedures to place Williams’ hands in front, or handcuff Williams only partially, so that she could continue to sign</w:t>
      </w:r>
      <w:r w:rsidR="007B724A">
        <w:rPr>
          <w:rFonts w:ascii="CenturyExpandedBT-Bold" w:eastAsia="Calibri" w:hAnsi="CenturyExpandedBT-Bold" w:cs="CenturyExpandedBT-Bold"/>
          <w:bCs/>
          <w:szCs w:val="24"/>
        </w:rPr>
        <w:t xml:space="preserve">. </w:t>
      </w:r>
      <w:r w:rsidR="00CD23C1">
        <w:rPr>
          <w:rFonts w:ascii="CenturyExpandedBT-Bold" w:eastAsia="Calibri" w:hAnsi="CenturyExpandedBT-Bold" w:cs="CenturyExpandedBT-Bold"/>
          <w:bCs/>
          <w:szCs w:val="24"/>
        </w:rPr>
        <w:t xml:space="preserve">In </w:t>
      </w:r>
      <w:proofErr w:type="spellStart"/>
      <w:r w:rsidR="00CD23C1">
        <w:rPr>
          <w:rFonts w:ascii="CenturyExpandedBT-Bold" w:eastAsia="Calibri" w:hAnsi="CenturyExpandedBT-Bold" w:cs="CenturyExpandedBT-Bold"/>
          <w:bCs/>
          <w:i/>
          <w:szCs w:val="24"/>
        </w:rPr>
        <w:t>Valanzuolo</w:t>
      </w:r>
      <w:proofErr w:type="spellEnd"/>
      <w:r w:rsidR="009144C6">
        <w:rPr>
          <w:rFonts w:ascii="CenturyExpandedBT-Bold" w:eastAsia="Calibri" w:hAnsi="CenturyExpandedBT-Bold" w:cs="CenturyExpandedBT-Bold"/>
          <w:bCs/>
          <w:szCs w:val="24"/>
        </w:rPr>
        <w:t>, by way of example, the arresting officers provided reasonable modifications by communicating with the plaintiff in a manner that was effective (pad and pencil) and by giving the</w:t>
      </w:r>
      <w:r w:rsidR="00CD23C1">
        <w:rPr>
          <w:szCs w:val="24"/>
        </w:rPr>
        <w:t xml:space="preserve"> plaintiff an opportunity to read the arrest warrant. </w:t>
      </w:r>
      <w:r w:rsidR="009144C6">
        <w:rPr>
          <w:i/>
          <w:szCs w:val="24"/>
        </w:rPr>
        <w:t xml:space="preserve">See </w:t>
      </w:r>
      <w:proofErr w:type="spellStart"/>
      <w:r w:rsidR="00CD23C1">
        <w:rPr>
          <w:i/>
          <w:szCs w:val="24"/>
        </w:rPr>
        <w:t>Valanzuolo</w:t>
      </w:r>
      <w:proofErr w:type="spellEnd"/>
      <w:r w:rsidR="00CD23C1">
        <w:rPr>
          <w:szCs w:val="24"/>
        </w:rPr>
        <w:t>, 972 F. Supp. 2d at 27</w:t>
      </w:r>
      <w:r w:rsidR="00EB2528">
        <w:rPr>
          <w:szCs w:val="24"/>
        </w:rPr>
        <w:t>8-7</w:t>
      </w:r>
      <w:r w:rsidR="00CD23C1">
        <w:rPr>
          <w:szCs w:val="24"/>
        </w:rPr>
        <w:t>9.</w:t>
      </w:r>
      <w:r w:rsidR="009144C6">
        <w:rPr>
          <w:szCs w:val="24"/>
        </w:rPr>
        <w:t xml:space="preserve"> </w:t>
      </w:r>
      <w:r w:rsidR="007B724A">
        <w:rPr>
          <w:rFonts w:ascii="CenturyExpandedBT-Bold" w:eastAsia="Calibri" w:hAnsi="CenturyExpandedBT-Bold" w:cs="CenturyExpandedBT-Bold"/>
          <w:bCs/>
          <w:szCs w:val="24"/>
        </w:rPr>
        <w:t xml:space="preserve">In </w:t>
      </w:r>
      <w:r w:rsidR="007B724A">
        <w:rPr>
          <w:rFonts w:ascii="CenturyExpandedBT-Bold" w:eastAsia="Calibri" w:hAnsi="CenturyExpandedBT-Bold" w:cs="CenturyExpandedBT-Bold"/>
          <w:bCs/>
          <w:i/>
          <w:szCs w:val="24"/>
        </w:rPr>
        <w:t>Ryan</w:t>
      </w:r>
      <w:r w:rsidR="007B724A">
        <w:rPr>
          <w:rFonts w:ascii="CenturyExpandedBT-Bold" w:eastAsia="Calibri" w:hAnsi="CenturyExpandedBT-Bold" w:cs="CenturyExpandedBT-Bold"/>
          <w:bCs/>
          <w:szCs w:val="24"/>
        </w:rPr>
        <w:t xml:space="preserve">, the court found that the arresting officers had provided a reasonable accommodation when they arrested the plaintiff, an amputee who could not walk without a cane, by permitting him to walk to the police cruiser without handcuffing him completely, to sit down without being handcuffed, and then driven to the police barracks with his hands cuffed in front. </w:t>
      </w:r>
      <w:r w:rsidR="007B724A">
        <w:rPr>
          <w:rFonts w:ascii="CenturyExpandedBT-Bold" w:eastAsia="Calibri" w:hAnsi="CenturyExpandedBT-Bold" w:cs="CenturyExpandedBT-Bold"/>
          <w:bCs/>
          <w:i/>
          <w:szCs w:val="24"/>
        </w:rPr>
        <w:t>See</w:t>
      </w:r>
      <w:r w:rsidR="007B724A">
        <w:rPr>
          <w:rFonts w:ascii="CenturyExpandedBT-Bold" w:eastAsia="Calibri" w:hAnsi="CenturyExpandedBT-Bold" w:cs="CenturyExpandedBT-Bold"/>
          <w:bCs/>
          <w:szCs w:val="24"/>
        </w:rPr>
        <w:t xml:space="preserve"> </w:t>
      </w:r>
      <w:r w:rsidR="007B724A">
        <w:rPr>
          <w:rFonts w:ascii="CenturyExpandedBT-Bold" w:eastAsia="Calibri" w:hAnsi="CenturyExpandedBT-Bold" w:cs="CenturyExpandedBT-Bold"/>
          <w:bCs/>
          <w:i/>
          <w:szCs w:val="24"/>
        </w:rPr>
        <w:t>Ryan</w:t>
      </w:r>
      <w:r w:rsidR="007B724A">
        <w:rPr>
          <w:rFonts w:ascii="CenturyExpandedBT-Bold" w:eastAsia="Calibri" w:hAnsi="CenturyExpandedBT-Bold" w:cs="CenturyExpandedBT-Bold"/>
          <w:bCs/>
          <w:szCs w:val="24"/>
        </w:rPr>
        <w:t>, 667 F. Supp. 2d at 389. The NYPD Officers in this case, by contrast, provided no reasonable modifications.</w:t>
      </w:r>
      <w:r>
        <w:rPr>
          <w:rFonts w:ascii="CenturyExpandedBT-Bold" w:eastAsia="Calibri" w:hAnsi="CenturyExpandedBT-Bold" w:cs="CenturyExpandedBT-Bold"/>
          <w:bCs/>
          <w:szCs w:val="24"/>
        </w:rPr>
        <w:t xml:space="preserve"> </w:t>
      </w:r>
      <w:r w:rsidR="00F401F0">
        <w:rPr>
          <w:rFonts w:ascii="CenturyExpandedBT-Bold" w:eastAsia="Calibri" w:hAnsi="CenturyExpandedBT-Bold" w:cs="CenturyExpandedBT-Bold"/>
          <w:bCs/>
          <w:szCs w:val="24"/>
        </w:rPr>
        <w:t xml:space="preserve">  </w:t>
      </w:r>
    </w:p>
    <w:p w:rsidR="00564253" w:rsidRDefault="006C0E90" w:rsidP="00225530">
      <w:pPr>
        <w:spacing w:line="480" w:lineRule="auto"/>
        <w:rPr>
          <w:rFonts w:ascii="CenturyExpandedBT-Roman" w:eastAsia="Calibri" w:hAnsi="CenturyExpandedBT-Roman" w:cs="CenturyExpandedBT-Roman"/>
          <w:szCs w:val="24"/>
        </w:rPr>
      </w:pPr>
      <w:r>
        <w:rPr>
          <w:rFonts w:ascii="CenturyExpandedBT-Bold" w:eastAsia="Calibri" w:hAnsi="CenturyExpandedBT-Bold" w:cs="CenturyExpandedBT-Bold"/>
          <w:bCs/>
          <w:szCs w:val="24"/>
        </w:rPr>
        <w:tab/>
        <w:t xml:space="preserve">The NYPD Officers may </w:t>
      </w:r>
      <w:r w:rsidR="00F401F0">
        <w:rPr>
          <w:rFonts w:ascii="CenturyExpandedBT-Bold" w:eastAsia="Calibri" w:hAnsi="CenturyExpandedBT-Bold" w:cs="CenturyExpandedBT-Bold"/>
          <w:bCs/>
          <w:szCs w:val="24"/>
        </w:rPr>
        <w:t xml:space="preserve">have had the ability to arrest </w:t>
      </w:r>
      <w:r w:rsidR="00A44AAE">
        <w:rPr>
          <w:rFonts w:ascii="CenturyExpandedBT-Bold" w:eastAsia="Calibri" w:hAnsi="CenturyExpandedBT-Bold" w:cs="CenturyExpandedBT-Bold"/>
          <w:bCs/>
          <w:szCs w:val="24"/>
        </w:rPr>
        <w:t>Williams</w:t>
      </w:r>
      <w:r w:rsidR="00F401F0">
        <w:rPr>
          <w:rFonts w:ascii="CenturyExpandedBT-Bold" w:eastAsia="Calibri" w:hAnsi="CenturyExpandedBT-Bold" w:cs="CenturyExpandedBT-Bold"/>
          <w:bCs/>
          <w:szCs w:val="24"/>
        </w:rPr>
        <w:t xml:space="preserve"> without providing an interpreter, but to meet </w:t>
      </w:r>
      <w:r>
        <w:rPr>
          <w:rFonts w:ascii="CenturyExpandedBT-Bold" w:eastAsia="Calibri" w:hAnsi="CenturyExpandedBT-Bold" w:cs="CenturyExpandedBT-Bold"/>
          <w:bCs/>
          <w:szCs w:val="24"/>
        </w:rPr>
        <w:t>its burden Defendant must show that it was not possible to provide a reasonable modification to its procedures</w:t>
      </w:r>
      <w:r w:rsidR="004A6EEB">
        <w:rPr>
          <w:rFonts w:ascii="CenturyExpandedBT-Bold" w:eastAsia="Calibri" w:hAnsi="CenturyExpandedBT-Bold" w:cs="CenturyExpandedBT-Bold"/>
          <w:bCs/>
          <w:szCs w:val="24"/>
        </w:rPr>
        <w:t xml:space="preserve"> or that effective communication was not possible</w:t>
      </w:r>
      <w:r>
        <w:rPr>
          <w:rFonts w:ascii="CenturyExpandedBT-Bold" w:eastAsia="Calibri" w:hAnsi="CenturyExpandedBT-Bold" w:cs="CenturyExpandedBT-Bold"/>
          <w:bCs/>
          <w:szCs w:val="24"/>
        </w:rPr>
        <w:t xml:space="preserve">. </w:t>
      </w:r>
      <w:r w:rsidR="00F401F0">
        <w:rPr>
          <w:rFonts w:ascii="CenturyExpandedBT-Bold" w:eastAsia="Calibri" w:hAnsi="CenturyExpandedBT-Bold" w:cs="CenturyExpandedBT-Bold"/>
          <w:bCs/>
          <w:szCs w:val="24"/>
        </w:rPr>
        <w:t xml:space="preserve">The </w:t>
      </w:r>
      <w:r w:rsidR="004A6EEB">
        <w:rPr>
          <w:rFonts w:ascii="CenturyExpandedBT-Bold" w:eastAsia="Calibri" w:hAnsi="CenturyExpandedBT-Bold" w:cs="CenturyExpandedBT-Bold"/>
          <w:bCs/>
          <w:szCs w:val="24"/>
        </w:rPr>
        <w:t xml:space="preserve">request for appropriate auxiliary aids and services had been made and any attendant </w:t>
      </w:r>
      <w:r w:rsidR="00F401F0">
        <w:rPr>
          <w:rFonts w:ascii="CenturyExpandedBT-Bold" w:eastAsia="Calibri" w:hAnsi="CenturyExpandedBT-Bold" w:cs="CenturyExpandedBT-Bold"/>
          <w:bCs/>
          <w:szCs w:val="24"/>
        </w:rPr>
        <w:t>reasonable modifications requested here</w:t>
      </w:r>
      <w:r w:rsidR="004A48A7">
        <w:rPr>
          <w:rFonts w:ascii="CenturyExpandedBT-Bold" w:eastAsia="Calibri" w:hAnsi="CenturyExpandedBT-Bold" w:cs="CenturyExpandedBT-Bold"/>
          <w:bCs/>
          <w:szCs w:val="24"/>
        </w:rPr>
        <w:t xml:space="preserve"> </w:t>
      </w:r>
      <w:r w:rsidR="00F401F0">
        <w:rPr>
          <w:rFonts w:ascii="CenturyExpandedBT-Bold" w:eastAsia="Calibri" w:hAnsi="CenturyExpandedBT-Bold" w:cs="CenturyExpandedBT-Bold"/>
          <w:bCs/>
          <w:szCs w:val="24"/>
        </w:rPr>
        <w:t xml:space="preserve">were modest – a request that the </w:t>
      </w:r>
      <w:r>
        <w:rPr>
          <w:rFonts w:ascii="CenturyExpandedBT-Bold" w:eastAsia="Calibri" w:hAnsi="CenturyExpandedBT-Bold" w:cs="CenturyExpandedBT-Bold"/>
          <w:bCs/>
          <w:szCs w:val="24"/>
        </w:rPr>
        <w:t>NYPD O</w:t>
      </w:r>
      <w:r w:rsidR="00F401F0">
        <w:rPr>
          <w:rFonts w:ascii="CenturyExpandedBT-Bold" w:eastAsia="Calibri" w:hAnsi="CenturyExpandedBT-Bold" w:cs="CenturyExpandedBT-Bold"/>
          <w:bCs/>
          <w:szCs w:val="24"/>
        </w:rPr>
        <w:t>fficers summon a sign language interpreter to assist at the scene</w:t>
      </w:r>
      <w:r>
        <w:rPr>
          <w:rFonts w:ascii="CenturyExpandedBT-Bold" w:eastAsia="Calibri" w:hAnsi="CenturyExpandedBT-Bold" w:cs="CenturyExpandedBT-Bold"/>
          <w:bCs/>
          <w:szCs w:val="24"/>
        </w:rPr>
        <w:t xml:space="preserve">, which they are obliged to do under Interim Order 31. (Kennedy Decl. </w:t>
      </w:r>
      <w:proofErr w:type="spellStart"/>
      <w:r>
        <w:rPr>
          <w:rFonts w:ascii="CenturyExpandedBT-Bold" w:eastAsia="Calibri" w:hAnsi="CenturyExpandedBT-Bold" w:cs="CenturyExpandedBT-Bold"/>
          <w:bCs/>
          <w:szCs w:val="24"/>
        </w:rPr>
        <w:t>Exh</w:t>
      </w:r>
      <w:proofErr w:type="spellEnd"/>
      <w:r>
        <w:rPr>
          <w:rFonts w:ascii="CenturyExpandedBT-Bold" w:eastAsia="Calibri" w:hAnsi="CenturyExpandedBT-Bold" w:cs="CenturyExpandedBT-Bold"/>
          <w:bCs/>
          <w:szCs w:val="24"/>
        </w:rPr>
        <w:t>. B.)</w:t>
      </w:r>
      <w:r w:rsidR="00F401F0">
        <w:rPr>
          <w:rFonts w:ascii="CenturyExpandedBT-Bold" w:eastAsia="Calibri" w:hAnsi="CenturyExpandedBT-Bold" w:cs="CenturyExpandedBT-Bold"/>
          <w:bCs/>
          <w:szCs w:val="24"/>
        </w:rPr>
        <w:t xml:space="preserve"> </w:t>
      </w:r>
      <w:r w:rsidR="00317FA3">
        <w:rPr>
          <w:rFonts w:ascii="CenturyExpandedBT-Bold" w:eastAsia="Calibri" w:hAnsi="CenturyExpandedBT-Bold" w:cs="CenturyExpandedBT-Bold"/>
          <w:bCs/>
          <w:szCs w:val="24"/>
        </w:rPr>
        <w:t xml:space="preserve"> </w:t>
      </w:r>
      <w:r w:rsidR="00F401F0">
        <w:rPr>
          <w:rFonts w:ascii="CenturyExpandedBT-Bold" w:eastAsia="Calibri" w:hAnsi="CenturyExpandedBT-Bold" w:cs="CenturyExpandedBT-Bold"/>
          <w:bCs/>
          <w:szCs w:val="24"/>
        </w:rPr>
        <w:t>The situation, moreover, did not appear to be threatening to the safety of any officer or civilian</w:t>
      </w:r>
      <w:r w:rsidR="007C6450">
        <w:rPr>
          <w:rFonts w:ascii="CenturyExpandedBT-Bold" w:eastAsia="Calibri" w:hAnsi="CenturyExpandedBT-Bold" w:cs="CenturyExpandedBT-Bold"/>
          <w:bCs/>
          <w:szCs w:val="24"/>
        </w:rPr>
        <w:t>, based at least on the parties’ summary judgment submissions</w:t>
      </w:r>
      <w:r w:rsidR="00F401F0">
        <w:rPr>
          <w:rFonts w:ascii="CenturyExpandedBT-Bold" w:eastAsia="Calibri" w:hAnsi="CenturyExpandedBT-Bold" w:cs="CenturyExpandedBT-Bold"/>
          <w:bCs/>
          <w:szCs w:val="24"/>
        </w:rPr>
        <w:t xml:space="preserve">. </w:t>
      </w:r>
      <w:r w:rsidR="006409D2">
        <w:rPr>
          <w:rFonts w:ascii="CenturyExpandedBT-Bold" w:eastAsia="Calibri" w:hAnsi="CenturyExpandedBT-Bold" w:cs="CenturyExpandedBT-Bold"/>
          <w:bCs/>
          <w:szCs w:val="24"/>
        </w:rPr>
        <w:t xml:space="preserve"> The NYPD Officers were on the scene talking to witnesses for fifteen to twenty minutes (Def. Stat. ¶ 47; Pl. Resp. ¶ 47), although there was the threat of a gun, </w:t>
      </w:r>
      <w:r w:rsidR="00C86B8E">
        <w:rPr>
          <w:rFonts w:ascii="CenturyExpandedBT-Bold" w:eastAsia="Calibri" w:hAnsi="CenturyExpandedBT-Bold" w:cs="CenturyExpandedBT-Bold"/>
          <w:bCs/>
          <w:szCs w:val="24"/>
        </w:rPr>
        <w:t xml:space="preserve">there was no allegation that Williams was ever armed and </w:t>
      </w:r>
      <w:r w:rsidR="006409D2">
        <w:rPr>
          <w:rFonts w:ascii="CenturyExpandedBT-Bold" w:eastAsia="Calibri" w:hAnsi="CenturyExpandedBT-Bold" w:cs="CenturyExpandedBT-Bold"/>
          <w:bCs/>
          <w:szCs w:val="24"/>
        </w:rPr>
        <w:t xml:space="preserve">no gun was ever apparent on the scene (Def. Stat. ¶ 49; Pl. Resp. ¶ 49), and the record is entirely devoid of any threats of violence or harm to either individuals on the scene or the NYPD </w:t>
      </w:r>
      <w:r w:rsidR="007F3FD0">
        <w:rPr>
          <w:rFonts w:ascii="CenturyExpandedBT-Bold" w:eastAsia="Calibri" w:hAnsi="CenturyExpandedBT-Bold" w:cs="CenturyExpandedBT-Bold"/>
          <w:bCs/>
          <w:szCs w:val="24"/>
        </w:rPr>
        <w:t>O</w:t>
      </w:r>
      <w:r w:rsidR="006409D2">
        <w:rPr>
          <w:rFonts w:ascii="CenturyExpandedBT-Bold" w:eastAsia="Calibri" w:hAnsi="CenturyExpandedBT-Bold" w:cs="CenturyExpandedBT-Bold"/>
          <w:bCs/>
          <w:szCs w:val="24"/>
        </w:rPr>
        <w:t xml:space="preserve">fficers. </w:t>
      </w:r>
      <w:r w:rsidR="00BF6F7E">
        <w:rPr>
          <w:rFonts w:ascii="CenturyExpandedBT-Bold" w:eastAsia="Calibri" w:hAnsi="CenturyExpandedBT-Bold" w:cs="CenturyExpandedBT-Bold"/>
          <w:bCs/>
          <w:szCs w:val="24"/>
        </w:rPr>
        <w:t xml:space="preserve">Defendant relies heavily on </w:t>
      </w:r>
      <w:r w:rsidR="00A44AAE">
        <w:rPr>
          <w:rFonts w:ascii="CenturyExpandedBT-Bold" w:eastAsia="Calibri" w:hAnsi="CenturyExpandedBT-Bold" w:cs="CenturyExpandedBT-Bold"/>
          <w:bCs/>
          <w:szCs w:val="24"/>
        </w:rPr>
        <w:t>Williams</w:t>
      </w:r>
      <w:r w:rsidR="006E63D6">
        <w:rPr>
          <w:rFonts w:ascii="CenturyExpandedBT-Bold" w:eastAsia="Calibri" w:hAnsi="CenturyExpandedBT-Bold" w:cs="CenturyExpandedBT-Bold"/>
          <w:bCs/>
          <w:szCs w:val="24"/>
        </w:rPr>
        <w:t xml:space="preserve">’s husband’s use of </w:t>
      </w:r>
      <w:r w:rsidR="00BF6F7E">
        <w:rPr>
          <w:rFonts w:ascii="CenturyExpandedBT-Bold" w:eastAsia="Calibri" w:hAnsi="CenturyExpandedBT-Bold" w:cs="CenturyExpandedBT-Bold"/>
          <w:bCs/>
          <w:szCs w:val="24"/>
        </w:rPr>
        <w:t>the use of word “</w:t>
      </w:r>
      <w:r w:rsidR="006E63D6">
        <w:rPr>
          <w:rFonts w:ascii="CenturyExpandedBT-Bold" w:eastAsia="Calibri" w:hAnsi="CenturyExpandedBT-Bold" w:cs="CenturyExpandedBT-Bold"/>
          <w:bCs/>
          <w:szCs w:val="24"/>
        </w:rPr>
        <w:t>chaotic</w:t>
      </w:r>
      <w:r w:rsidR="00BF6F7E">
        <w:rPr>
          <w:rFonts w:ascii="CenturyExpandedBT-Bold" w:eastAsia="Calibri" w:hAnsi="CenturyExpandedBT-Bold" w:cs="CenturyExpandedBT-Bold"/>
          <w:bCs/>
          <w:szCs w:val="24"/>
        </w:rPr>
        <w:t>”</w:t>
      </w:r>
      <w:r w:rsidR="006E63D6">
        <w:rPr>
          <w:rFonts w:ascii="CenturyExpandedBT-Bold" w:eastAsia="Calibri" w:hAnsi="CenturyExpandedBT-Bold" w:cs="CenturyExpandedBT-Bold"/>
          <w:bCs/>
          <w:szCs w:val="24"/>
        </w:rPr>
        <w:t xml:space="preserve"> in describing the scene (Def. Br. at 12), </w:t>
      </w:r>
      <w:r w:rsidR="00BF6F7E">
        <w:rPr>
          <w:rFonts w:ascii="CenturyExpandedBT-Bold" w:eastAsia="Calibri" w:hAnsi="CenturyExpandedBT-Bold" w:cs="CenturyExpandedBT-Bold"/>
          <w:bCs/>
          <w:szCs w:val="24"/>
        </w:rPr>
        <w:t>but</w:t>
      </w:r>
      <w:r w:rsidR="006E63D6">
        <w:rPr>
          <w:rFonts w:ascii="CenturyExpandedBT-Bold" w:eastAsia="Calibri" w:hAnsi="CenturyExpandedBT-Bold" w:cs="CenturyExpandedBT-Bold"/>
          <w:bCs/>
          <w:szCs w:val="24"/>
        </w:rPr>
        <w:t xml:space="preserve"> in the range of circumstances that police confront, to arrive on the scene to find several people engaged in a disagreement without any violence or weapons</w:t>
      </w:r>
      <w:r w:rsidR="00BF6F7E">
        <w:rPr>
          <w:rFonts w:ascii="CenturyExpandedBT-Bold" w:eastAsia="Calibri" w:hAnsi="CenturyExpandedBT-Bold" w:cs="CenturyExpandedBT-Bold"/>
          <w:bCs/>
          <w:szCs w:val="24"/>
        </w:rPr>
        <w:t xml:space="preserve"> </w:t>
      </w:r>
      <w:r w:rsidR="006E63D6">
        <w:rPr>
          <w:rFonts w:ascii="CenturyExpandedBT-Bold" w:eastAsia="Calibri" w:hAnsi="CenturyExpandedBT-Bold" w:cs="CenturyExpandedBT-Bold"/>
          <w:bCs/>
          <w:szCs w:val="24"/>
        </w:rPr>
        <w:t xml:space="preserve">– some of whom then spend fifteen to twenty minutes in discussions with the NYPD </w:t>
      </w:r>
      <w:r w:rsidR="007F3FD0">
        <w:rPr>
          <w:rFonts w:ascii="CenturyExpandedBT-Bold" w:eastAsia="Calibri" w:hAnsi="CenturyExpandedBT-Bold" w:cs="CenturyExpandedBT-Bold"/>
          <w:bCs/>
          <w:szCs w:val="24"/>
        </w:rPr>
        <w:t>O</w:t>
      </w:r>
      <w:r w:rsidR="006E63D6">
        <w:rPr>
          <w:rFonts w:ascii="CenturyExpandedBT-Bold" w:eastAsia="Calibri" w:hAnsi="CenturyExpandedBT-Bold" w:cs="CenturyExpandedBT-Bold"/>
          <w:bCs/>
          <w:szCs w:val="24"/>
        </w:rPr>
        <w:t xml:space="preserve">fficers – is not “chaotic” in the </w:t>
      </w:r>
      <w:r w:rsidR="00BF6F7E">
        <w:rPr>
          <w:rFonts w:ascii="CenturyExpandedBT-Bold" w:eastAsia="Calibri" w:hAnsi="CenturyExpandedBT-Bold" w:cs="CenturyExpandedBT-Bold"/>
          <w:bCs/>
          <w:szCs w:val="24"/>
        </w:rPr>
        <w:t xml:space="preserve">usual sense.  </w:t>
      </w:r>
      <w:r w:rsidR="006409D2">
        <w:rPr>
          <w:rFonts w:ascii="CenturyExpandedBT-Bold" w:eastAsia="Calibri" w:hAnsi="CenturyExpandedBT-Bold" w:cs="CenturyExpandedBT-Bold"/>
          <w:bCs/>
          <w:szCs w:val="24"/>
        </w:rPr>
        <w:t xml:space="preserve">While the NYPD </w:t>
      </w:r>
      <w:r w:rsidR="007F3FD0">
        <w:rPr>
          <w:rFonts w:ascii="CenturyExpandedBT-Bold" w:eastAsia="Calibri" w:hAnsi="CenturyExpandedBT-Bold" w:cs="CenturyExpandedBT-Bold"/>
          <w:bCs/>
          <w:szCs w:val="24"/>
        </w:rPr>
        <w:t>O</w:t>
      </w:r>
      <w:r w:rsidR="006409D2">
        <w:rPr>
          <w:rFonts w:ascii="CenturyExpandedBT-Bold" w:eastAsia="Calibri" w:hAnsi="CenturyExpandedBT-Bold" w:cs="CenturyExpandedBT-Bold"/>
          <w:bCs/>
          <w:szCs w:val="24"/>
        </w:rPr>
        <w:t>fficers are</w:t>
      </w:r>
      <w:r>
        <w:rPr>
          <w:rFonts w:ascii="CenturyExpandedBT-Bold" w:eastAsia="Calibri" w:hAnsi="CenturyExpandedBT-Bold" w:cs="CenturyExpandedBT-Bold"/>
          <w:bCs/>
          <w:szCs w:val="24"/>
        </w:rPr>
        <w:t xml:space="preserve"> entitled to demonstrate at trial that the circumstances of the arrest </w:t>
      </w:r>
      <w:r w:rsidR="009130A5">
        <w:rPr>
          <w:rFonts w:ascii="CenturyExpandedBT-Bold" w:eastAsia="Calibri" w:hAnsi="CenturyExpandedBT-Bold" w:cs="CenturyExpandedBT-Bold"/>
          <w:bCs/>
          <w:szCs w:val="24"/>
        </w:rPr>
        <w:t xml:space="preserve">prevented them from employing </w:t>
      </w:r>
      <w:r w:rsidR="0057623F">
        <w:rPr>
          <w:rFonts w:ascii="CenturyExpandedBT-Bold" w:eastAsia="Calibri" w:hAnsi="CenturyExpandedBT-Bold" w:cs="CenturyExpandedBT-Bold"/>
          <w:bCs/>
          <w:szCs w:val="24"/>
        </w:rPr>
        <w:t xml:space="preserve">effective communication techniques or </w:t>
      </w:r>
      <w:r>
        <w:rPr>
          <w:rFonts w:ascii="CenturyExpandedBT-Bold" w:eastAsia="Calibri" w:hAnsi="CenturyExpandedBT-Bold" w:cs="CenturyExpandedBT-Bold"/>
          <w:bCs/>
          <w:szCs w:val="24"/>
        </w:rPr>
        <w:t>reasonabl</w:t>
      </w:r>
      <w:r w:rsidR="009130A5">
        <w:rPr>
          <w:rFonts w:ascii="CenturyExpandedBT-Bold" w:eastAsia="Calibri" w:hAnsi="CenturyExpandedBT-Bold" w:cs="CenturyExpandedBT-Bold"/>
          <w:bCs/>
          <w:szCs w:val="24"/>
        </w:rPr>
        <w:t>y</w:t>
      </w:r>
      <w:r>
        <w:rPr>
          <w:rFonts w:ascii="CenturyExpandedBT-Bold" w:eastAsia="Calibri" w:hAnsi="CenturyExpandedBT-Bold" w:cs="CenturyExpandedBT-Bold"/>
          <w:bCs/>
          <w:szCs w:val="24"/>
        </w:rPr>
        <w:t xml:space="preserve"> modif</w:t>
      </w:r>
      <w:r w:rsidR="009130A5">
        <w:rPr>
          <w:rFonts w:ascii="CenturyExpandedBT-Bold" w:eastAsia="Calibri" w:hAnsi="CenturyExpandedBT-Bold" w:cs="CenturyExpandedBT-Bold"/>
          <w:bCs/>
          <w:szCs w:val="24"/>
        </w:rPr>
        <w:t>ying</w:t>
      </w:r>
      <w:r>
        <w:rPr>
          <w:rFonts w:ascii="CenturyExpandedBT-Bold" w:eastAsia="Calibri" w:hAnsi="CenturyExpandedBT-Bold" w:cs="CenturyExpandedBT-Bold"/>
          <w:bCs/>
          <w:szCs w:val="24"/>
        </w:rPr>
        <w:t xml:space="preserve"> their practices, the facts that would support such a showing are disputed. </w:t>
      </w:r>
      <w:r w:rsidR="00677796">
        <w:rPr>
          <w:rFonts w:ascii="CenturyExpandedBT-Bold" w:eastAsia="Calibri" w:hAnsi="CenturyExpandedBT-Bold" w:cs="CenturyExpandedBT-Bold"/>
          <w:bCs/>
          <w:szCs w:val="24"/>
        </w:rPr>
        <w:t xml:space="preserve"> </w:t>
      </w:r>
      <w:bookmarkStart w:id="0" w:name="_GoBack"/>
      <w:bookmarkEnd w:id="0"/>
      <w:r w:rsidR="006409D2">
        <w:rPr>
          <w:rFonts w:ascii="CenturyExpandedBT-Bold" w:eastAsia="Calibri" w:hAnsi="CenturyExpandedBT-Bold" w:cs="CenturyExpandedBT-Bold"/>
          <w:bCs/>
          <w:szCs w:val="24"/>
        </w:rPr>
        <w:t>Defendant’s motion should be denied.</w:t>
      </w:r>
      <w:r w:rsidR="000F039B" w:rsidRPr="00225530">
        <w:rPr>
          <w:rStyle w:val="FootnoteReference"/>
          <w:bCs/>
          <w:szCs w:val="24"/>
        </w:rPr>
        <w:footnoteReference w:id="9"/>
      </w:r>
      <w:r w:rsidR="000F039B" w:rsidRPr="00225530">
        <w:rPr>
          <w:rFonts w:ascii="CenturyExpandedBT-Roman" w:eastAsia="Calibri" w:hAnsi="CenturyExpandedBT-Roman" w:cs="CenturyExpandedBT-Roman"/>
          <w:szCs w:val="24"/>
        </w:rPr>
        <w:t xml:space="preserve"> </w:t>
      </w:r>
    </w:p>
    <w:p w:rsidR="00C86B8E" w:rsidRPr="006E63D6" w:rsidRDefault="00C86B8E" w:rsidP="00225530">
      <w:pPr>
        <w:spacing w:line="480" w:lineRule="auto"/>
        <w:rPr>
          <w:rFonts w:ascii="CenturyExpandedBT-Bold" w:eastAsia="Calibri" w:hAnsi="CenturyExpandedBT-Bold" w:cs="CenturyExpandedBT-Bold"/>
          <w:bCs/>
          <w:szCs w:val="24"/>
        </w:rPr>
      </w:pPr>
    </w:p>
    <w:p w:rsidR="0031288F" w:rsidRPr="006E63D6" w:rsidRDefault="001F1DA1" w:rsidP="00D01009">
      <w:pPr>
        <w:numPr>
          <w:ilvl w:val="12"/>
          <w:numId w:val="0"/>
        </w:numPr>
        <w:spacing w:line="480" w:lineRule="auto"/>
        <w:jc w:val="center"/>
        <w:rPr>
          <w:szCs w:val="24"/>
        </w:rPr>
      </w:pPr>
      <w:r w:rsidRPr="006E63D6">
        <w:rPr>
          <w:b/>
          <w:bCs/>
          <w:szCs w:val="24"/>
        </w:rPr>
        <w:t>CONCLUSION</w:t>
      </w:r>
    </w:p>
    <w:p w:rsidR="0048584E" w:rsidRDefault="00D46BB6" w:rsidP="00E752C5">
      <w:pPr>
        <w:numPr>
          <w:ilvl w:val="12"/>
          <w:numId w:val="0"/>
        </w:numPr>
        <w:spacing w:line="480" w:lineRule="auto"/>
        <w:rPr>
          <w:szCs w:val="24"/>
        </w:rPr>
      </w:pPr>
      <w:r w:rsidRPr="00225530">
        <w:rPr>
          <w:szCs w:val="24"/>
        </w:rPr>
        <w:tab/>
        <w:t>Accordingly</w:t>
      </w:r>
      <w:r w:rsidR="00FD53A6" w:rsidRPr="00225530">
        <w:rPr>
          <w:szCs w:val="24"/>
        </w:rPr>
        <w:t xml:space="preserve">, the Court should </w:t>
      </w:r>
      <w:r w:rsidR="006E63D6">
        <w:rPr>
          <w:szCs w:val="24"/>
        </w:rPr>
        <w:t>deny the Defendant’s motion for summary judgment with respect to the ADA Title II claim</w:t>
      </w:r>
      <w:r w:rsidR="00E752C5" w:rsidRPr="00225530">
        <w:rPr>
          <w:szCs w:val="24"/>
        </w:rPr>
        <w:t xml:space="preserve">.  </w:t>
      </w:r>
    </w:p>
    <w:p w:rsidR="00C86B8E" w:rsidRPr="00225530" w:rsidRDefault="00C86B8E" w:rsidP="00E752C5">
      <w:pPr>
        <w:numPr>
          <w:ilvl w:val="12"/>
          <w:numId w:val="0"/>
        </w:numPr>
        <w:spacing w:line="480" w:lineRule="auto"/>
        <w:rPr>
          <w:szCs w:val="24"/>
        </w:rPr>
      </w:pPr>
    </w:p>
    <w:p w:rsidR="00060038" w:rsidRDefault="00C77F9E" w:rsidP="00CF6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25530">
        <w:rPr>
          <w:szCs w:val="24"/>
        </w:rPr>
        <w:t xml:space="preserve">Dated: </w:t>
      </w:r>
      <w:r w:rsidR="00060038">
        <w:rPr>
          <w:szCs w:val="24"/>
        </w:rPr>
        <w:tab/>
      </w:r>
      <w:r w:rsidR="00060038">
        <w:rPr>
          <w:szCs w:val="24"/>
        </w:rPr>
        <w:tab/>
        <w:t>New York, New York</w:t>
      </w:r>
    </w:p>
    <w:p w:rsidR="006F65FA" w:rsidRPr="00225530" w:rsidRDefault="00060038" w:rsidP="00CF6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00D01009">
        <w:rPr>
          <w:szCs w:val="24"/>
        </w:rPr>
        <w:t xml:space="preserve">February </w:t>
      </w:r>
      <w:r w:rsidR="007F3FD0">
        <w:rPr>
          <w:szCs w:val="24"/>
        </w:rPr>
        <w:t>2</w:t>
      </w:r>
      <w:r w:rsidR="005D4BF6">
        <w:rPr>
          <w:szCs w:val="24"/>
        </w:rPr>
        <w:t>5</w:t>
      </w:r>
      <w:r w:rsidR="00D01009">
        <w:rPr>
          <w:szCs w:val="24"/>
        </w:rPr>
        <w:t>, 2015</w:t>
      </w:r>
    </w:p>
    <w:p w:rsidR="00A35207" w:rsidRPr="00225530" w:rsidRDefault="00A35207" w:rsidP="00CF6AE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left="5040"/>
        <w:rPr>
          <w:color w:val="000000"/>
          <w:szCs w:val="24"/>
        </w:rPr>
      </w:pPr>
      <w:r w:rsidRPr="00225530">
        <w:rPr>
          <w:color w:val="000000"/>
          <w:szCs w:val="24"/>
        </w:rPr>
        <w:t>PREET BHARARA</w:t>
      </w:r>
    </w:p>
    <w:p w:rsidR="00A35207" w:rsidRPr="00225530" w:rsidRDefault="00A35207" w:rsidP="009E0F0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firstLine="5040"/>
        <w:rPr>
          <w:color w:val="000000"/>
          <w:szCs w:val="24"/>
        </w:rPr>
      </w:pPr>
      <w:r w:rsidRPr="00225530">
        <w:rPr>
          <w:color w:val="000000"/>
          <w:szCs w:val="24"/>
        </w:rPr>
        <w:t>United States Attorney for the</w:t>
      </w:r>
    </w:p>
    <w:p w:rsidR="00A35207" w:rsidRPr="00225530" w:rsidRDefault="00A35207" w:rsidP="009E0F0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firstLine="5040"/>
        <w:rPr>
          <w:color w:val="000000"/>
          <w:szCs w:val="24"/>
        </w:rPr>
      </w:pPr>
      <w:r w:rsidRPr="00225530">
        <w:rPr>
          <w:color w:val="000000"/>
          <w:szCs w:val="24"/>
        </w:rPr>
        <w:t>Southern District of New York</w:t>
      </w:r>
    </w:p>
    <w:p w:rsidR="00A35207" w:rsidRPr="00225530" w:rsidRDefault="00CF74D9" w:rsidP="009E0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25530">
        <w:rPr>
          <w:color w:val="000000"/>
          <w:szCs w:val="24"/>
        </w:rPr>
        <w:tab/>
      </w:r>
      <w:r w:rsidR="00A35207" w:rsidRPr="00225530">
        <w:rPr>
          <w:color w:val="000000"/>
          <w:szCs w:val="24"/>
        </w:rPr>
        <w:tab/>
      </w:r>
      <w:r w:rsidR="00A35207" w:rsidRPr="00225530">
        <w:rPr>
          <w:color w:val="000000"/>
          <w:szCs w:val="24"/>
        </w:rPr>
        <w:tab/>
      </w:r>
      <w:r w:rsidR="00A35207" w:rsidRPr="00225530">
        <w:rPr>
          <w:color w:val="000000"/>
          <w:szCs w:val="24"/>
        </w:rPr>
        <w:tab/>
      </w:r>
      <w:r w:rsidR="00A35207" w:rsidRPr="00225530">
        <w:rPr>
          <w:color w:val="000000"/>
          <w:szCs w:val="24"/>
        </w:rPr>
        <w:tab/>
      </w:r>
      <w:r w:rsidR="00A35207" w:rsidRPr="00225530">
        <w:rPr>
          <w:color w:val="000000"/>
          <w:szCs w:val="24"/>
        </w:rPr>
        <w:tab/>
      </w:r>
      <w:r w:rsidR="00A35207" w:rsidRPr="00225530">
        <w:rPr>
          <w:color w:val="000000"/>
          <w:szCs w:val="24"/>
        </w:rPr>
        <w:tab/>
        <w:t xml:space="preserve">Attorney for </w:t>
      </w:r>
      <w:r w:rsidR="00E50D76" w:rsidRPr="00225530">
        <w:rPr>
          <w:color w:val="000000"/>
          <w:szCs w:val="24"/>
        </w:rPr>
        <w:t>the United States</w:t>
      </w:r>
    </w:p>
    <w:p w:rsidR="00FF4DD0" w:rsidRPr="00225530" w:rsidRDefault="00FF4DD0" w:rsidP="009E0F0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firstLine="720"/>
        <w:rPr>
          <w:color w:val="000000"/>
          <w:szCs w:val="24"/>
        </w:rPr>
      </w:pPr>
    </w:p>
    <w:p w:rsidR="00A35207" w:rsidRPr="00225530" w:rsidRDefault="00705D5F" w:rsidP="009E0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25530">
        <w:rPr>
          <w:color w:val="000000"/>
          <w:szCs w:val="24"/>
        </w:rPr>
        <w:tab/>
      </w:r>
      <w:r w:rsidRPr="00225530">
        <w:rPr>
          <w:color w:val="000000"/>
          <w:szCs w:val="24"/>
        </w:rPr>
        <w:tab/>
      </w:r>
      <w:r w:rsidRPr="00225530">
        <w:rPr>
          <w:color w:val="000000"/>
          <w:szCs w:val="24"/>
        </w:rPr>
        <w:tab/>
      </w:r>
      <w:r w:rsidRPr="00225530">
        <w:rPr>
          <w:color w:val="000000"/>
          <w:szCs w:val="24"/>
        </w:rPr>
        <w:tab/>
      </w:r>
      <w:r w:rsidRPr="00225530">
        <w:rPr>
          <w:color w:val="000000"/>
          <w:szCs w:val="24"/>
        </w:rPr>
        <w:tab/>
      </w:r>
      <w:r w:rsidRPr="00225530">
        <w:rPr>
          <w:color w:val="000000"/>
          <w:szCs w:val="24"/>
        </w:rPr>
        <w:tab/>
      </w:r>
      <w:r w:rsidRPr="00225530">
        <w:rPr>
          <w:color w:val="000000"/>
          <w:szCs w:val="24"/>
        </w:rPr>
        <w:tab/>
      </w:r>
      <w:r w:rsidR="00A35207" w:rsidRPr="00225530">
        <w:rPr>
          <w:color w:val="000000"/>
          <w:szCs w:val="24"/>
          <w:u w:val="single"/>
        </w:rPr>
        <w:t>_</w:t>
      </w:r>
      <w:r w:rsidR="002C7FBF" w:rsidRPr="00225530">
        <w:rPr>
          <w:i/>
          <w:color w:val="000000"/>
          <w:szCs w:val="24"/>
          <w:u w:val="single"/>
        </w:rPr>
        <w:t xml:space="preserve">/s/ </w:t>
      </w:r>
      <w:r w:rsidR="00D01009">
        <w:rPr>
          <w:i/>
          <w:color w:val="000000"/>
          <w:szCs w:val="24"/>
          <w:u w:val="single"/>
        </w:rPr>
        <w:t>David J. Kennedy</w:t>
      </w:r>
      <w:r w:rsidR="00A35207" w:rsidRPr="00225530">
        <w:rPr>
          <w:color w:val="000000"/>
          <w:szCs w:val="24"/>
          <w:u w:val="single"/>
        </w:rPr>
        <w:t>_</w:t>
      </w:r>
      <w:r w:rsidR="002C7FBF" w:rsidRPr="00225530">
        <w:rPr>
          <w:i/>
          <w:color w:val="000000"/>
          <w:szCs w:val="24"/>
        </w:rPr>
        <w:t>_______</w:t>
      </w:r>
      <w:r w:rsidR="00A35207" w:rsidRPr="00225530">
        <w:rPr>
          <w:color w:val="000000"/>
          <w:szCs w:val="24"/>
        </w:rPr>
        <w:t>____</w:t>
      </w:r>
    </w:p>
    <w:p w:rsidR="00A35207" w:rsidRPr="00225530" w:rsidRDefault="00A35207" w:rsidP="009E0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color w:val="000000"/>
          <w:szCs w:val="24"/>
        </w:rPr>
      </w:pPr>
      <w:r w:rsidRPr="00225530">
        <w:rPr>
          <w:color w:val="000000"/>
          <w:szCs w:val="24"/>
        </w:rPr>
        <w:t>By:</w:t>
      </w:r>
      <w:r w:rsidRPr="00225530">
        <w:rPr>
          <w:color w:val="000000"/>
          <w:szCs w:val="24"/>
        </w:rPr>
        <w:tab/>
      </w:r>
      <w:r w:rsidR="00D01009">
        <w:rPr>
          <w:color w:val="000000"/>
          <w:szCs w:val="24"/>
        </w:rPr>
        <w:t>DAVID J. KENNEDY</w:t>
      </w:r>
    </w:p>
    <w:p w:rsidR="00A35207" w:rsidRPr="00225530" w:rsidRDefault="00A35207" w:rsidP="009E0F0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firstLine="5040"/>
        <w:rPr>
          <w:color w:val="000000"/>
          <w:szCs w:val="24"/>
        </w:rPr>
      </w:pPr>
      <w:r w:rsidRPr="00225530">
        <w:rPr>
          <w:color w:val="000000"/>
          <w:szCs w:val="24"/>
        </w:rPr>
        <w:t>Assistant United States Attorney</w:t>
      </w:r>
    </w:p>
    <w:p w:rsidR="00A35207" w:rsidRPr="00225530" w:rsidRDefault="00A35207" w:rsidP="009E0F0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firstLine="5040"/>
        <w:rPr>
          <w:color w:val="000000"/>
          <w:szCs w:val="24"/>
        </w:rPr>
      </w:pPr>
      <w:r w:rsidRPr="00225530">
        <w:rPr>
          <w:color w:val="000000"/>
          <w:szCs w:val="24"/>
        </w:rPr>
        <w:t>86 Chambers Street</w:t>
      </w:r>
      <w:r w:rsidR="00CD3056">
        <w:rPr>
          <w:color w:val="000000"/>
          <w:szCs w:val="24"/>
        </w:rPr>
        <w:t>, 3</w:t>
      </w:r>
      <w:r w:rsidR="00CD3056" w:rsidRPr="00CD3056">
        <w:rPr>
          <w:color w:val="000000"/>
          <w:szCs w:val="24"/>
        </w:rPr>
        <w:t>rd</w:t>
      </w:r>
      <w:r w:rsidR="00CD3056">
        <w:rPr>
          <w:color w:val="000000"/>
          <w:szCs w:val="24"/>
        </w:rPr>
        <w:t xml:space="preserve"> Floor</w:t>
      </w:r>
    </w:p>
    <w:p w:rsidR="00A35207" w:rsidRPr="00225530" w:rsidRDefault="00A35207" w:rsidP="009E0F0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firstLine="5040"/>
        <w:rPr>
          <w:color w:val="000000"/>
          <w:szCs w:val="24"/>
        </w:rPr>
      </w:pPr>
      <w:r w:rsidRPr="00225530">
        <w:rPr>
          <w:color w:val="000000"/>
          <w:szCs w:val="24"/>
        </w:rPr>
        <w:t>New York, New York 10007</w:t>
      </w:r>
    </w:p>
    <w:p w:rsidR="00A35207" w:rsidRPr="00225530" w:rsidRDefault="00D01009" w:rsidP="009E0F0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firstLine="5040"/>
        <w:rPr>
          <w:color w:val="000000"/>
          <w:szCs w:val="24"/>
        </w:rPr>
      </w:pPr>
      <w:r>
        <w:rPr>
          <w:color w:val="000000"/>
          <w:szCs w:val="24"/>
        </w:rPr>
        <w:t>Tel.: (212) 637-2733</w:t>
      </w:r>
    </w:p>
    <w:p w:rsidR="00FD53A6" w:rsidRDefault="006E63D6" w:rsidP="009E0F0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firstLine="5040"/>
        <w:rPr>
          <w:color w:val="000000"/>
          <w:szCs w:val="24"/>
        </w:rPr>
      </w:pPr>
      <w:r>
        <w:rPr>
          <w:color w:val="000000"/>
          <w:szCs w:val="24"/>
        </w:rPr>
        <w:t xml:space="preserve">Fax: </w:t>
      </w:r>
      <w:r w:rsidR="00D01009">
        <w:rPr>
          <w:color w:val="000000"/>
          <w:szCs w:val="24"/>
        </w:rPr>
        <w:t>(212) 637-0033</w:t>
      </w:r>
    </w:p>
    <w:p w:rsidR="007F3FD0" w:rsidRPr="00225530" w:rsidRDefault="007F3FD0" w:rsidP="009E0F0F">
      <w:pPr>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ind w:firstLine="5040"/>
        <w:rPr>
          <w:rFonts w:eastAsia="Calibri"/>
          <w:szCs w:val="24"/>
        </w:rPr>
      </w:pPr>
      <w:r>
        <w:rPr>
          <w:color w:val="000000"/>
          <w:szCs w:val="24"/>
        </w:rPr>
        <w:t>david.kennedy2@usdoj.gov</w:t>
      </w:r>
    </w:p>
    <w:sectPr w:rsidR="007F3FD0" w:rsidRPr="00225530" w:rsidSect="00D60747">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A5B" w:rsidRDefault="003D1A5B" w:rsidP="00A77D7D">
      <w:r>
        <w:separator/>
      </w:r>
    </w:p>
  </w:endnote>
  <w:endnote w:type="continuationSeparator" w:id="0">
    <w:p w:rsidR="003D1A5B" w:rsidRDefault="003D1A5B" w:rsidP="00A77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enturyExpandedBT-Roman">
    <w:panose1 w:val="00000000000000000000"/>
    <w:charset w:val="00"/>
    <w:family w:val="roman"/>
    <w:notTrueType/>
    <w:pitch w:val="default"/>
    <w:sig w:usb0="00000003" w:usb1="00000000" w:usb2="00000000" w:usb3="00000000" w:csb0="00000001" w:csb1="00000000"/>
  </w:font>
  <w:font w:name="CenturyExpandedBT-Bold">
    <w:panose1 w:val="00000000000000000000"/>
    <w:charset w:val="00"/>
    <w:family w:val="roman"/>
    <w:notTrueType/>
    <w:pitch w:val="default"/>
    <w:sig w:usb0="00000003" w:usb1="00000000" w:usb2="00000000" w:usb3="00000000" w:csb0="00000001" w:csb1="00000000"/>
  </w:font>
  <w:font w:name="CenturyExpandedB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881004"/>
      <w:docPartObj>
        <w:docPartGallery w:val="Page Numbers (Bottom of Page)"/>
        <w:docPartUnique/>
      </w:docPartObj>
    </w:sdtPr>
    <w:sdtEndPr>
      <w:rPr>
        <w:noProof/>
      </w:rPr>
    </w:sdtEndPr>
    <w:sdtContent>
      <w:p w:rsidR="003D1A5B" w:rsidRDefault="0046210A">
        <w:pPr>
          <w:pStyle w:val="Footer"/>
          <w:jc w:val="center"/>
        </w:pPr>
        <w:r>
          <w:fldChar w:fldCharType="begin"/>
        </w:r>
        <w:r w:rsidR="003D1A5B">
          <w:instrText xml:space="preserve"> PAGE   \* MERGEFORMAT </w:instrText>
        </w:r>
        <w:r>
          <w:fldChar w:fldCharType="separate"/>
        </w:r>
        <w:r w:rsidR="0081170B">
          <w:rPr>
            <w:noProof/>
          </w:rPr>
          <w:t>vi</w:t>
        </w:r>
        <w:r>
          <w:rPr>
            <w:noProof/>
          </w:rPr>
          <w:fldChar w:fldCharType="end"/>
        </w:r>
      </w:p>
    </w:sdtContent>
  </w:sdt>
  <w:p w:rsidR="003D1A5B" w:rsidRDefault="003D1A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5B" w:rsidRDefault="0046210A">
    <w:pPr>
      <w:pStyle w:val="Footer"/>
      <w:jc w:val="center"/>
    </w:pPr>
    <w:r>
      <w:fldChar w:fldCharType="begin"/>
    </w:r>
    <w:r w:rsidR="003D1A5B">
      <w:instrText xml:space="preserve"> PAGE   \* MERGEFORMAT </w:instrText>
    </w:r>
    <w:r>
      <w:fldChar w:fldCharType="separate"/>
    </w:r>
    <w:r w:rsidR="0081170B">
      <w:rPr>
        <w:noProof/>
      </w:rPr>
      <w:t>25</w:t>
    </w:r>
    <w:r>
      <w:rPr>
        <w:noProof/>
      </w:rPr>
      <w:fldChar w:fldCharType="end"/>
    </w:r>
  </w:p>
  <w:p w:rsidR="003D1A5B" w:rsidRDefault="003D1A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5B" w:rsidRDefault="003D1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A5B" w:rsidRDefault="003D1A5B" w:rsidP="00A77D7D">
      <w:r>
        <w:separator/>
      </w:r>
    </w:p>
  </w:footnote>
  <w:footnote w:type="continuationSeparator" w:id="0">
    <w:p w:rsidR="003D1A5B" w:rsidRDefault="003D1A5B" w:rsidP="00A77D7D">
      <w:r>
        <w:continuationSeparator/>
      </w:r>
    </w:p>
  </w:footnote>
  <w:footnote w:id="1">
    <w:p w:rsidR="003D1A5B" w:rsidRPr="001D7D4F" w:rsidRDefault="003D1A5B" w:rsidP="00F83D22">
      <w:pPr>
        <w:pStyle w:val="FootnoteText"/>
        <w:rPr>
          <w:rFonts w:ascii="Times New Roman" w:hAnsi="Times New Roman"/>
          <w:szCs w:val="24"/>
        </w:rPr>
      </w:pPr>
      <w:r w:rsidRPr="004902B6">
        <w:rPr>
          <w:rStyle w:val="FootnoteReference"/>
          <w:rFonts w:ascii="Times New Roman" w:hAnsi="Times New Roman"/>
          <w:sz w:val="22"/>
          <w:szCs w:val="22"/>
        </w:rPr>
        <w:footnoteRef/>
      </w:r>
      <w:r>
        <w:rPr>
          <w:rFonts w:ascii="Times New Roman" w:hAnsi="Times New Roman"/>
          <w:sz w:val="22"/>
          <w:szCs w:val="22"/>
        </w:rPr>
        <w:t xml:space="preserve"> </w:t>
      </w:r>
      <w:r w:rsidRPr="001D7D4F">
        <w:rPr>
          <w:rFonts w:ascii="Times New Roman" w:hAnsi="Times New Roman"/>
          <w:szCs w:val="24"/>
        </w:rPr>
        <w:t>28 U.S.C. § 517 states that “[t]he Solicitor General, or any officer of the Department of Justice, may be sent by the Attorney General to any State or district in the United States to attend to the interests of the United States in a suit pending in a court of the United States, or in a court of a State, or to attend to any other interest of the United States.”</w:t>
      </w:r>
    </w:p>
    <w:p w:rsidR="003D1A5B" w:rsidRDefault="003D1A5B" w:rsidP="004902B6">
      <w:pPr>
        <w:pStyle w:val="FootnoteText"/>
        <w:ind w:firstLine="0"/>
        <w:rPr>
          <w:rFonts w:ascii="Times New Roman" w:hAnsi="Times New Roman"/>
          <w:szCs w:val="24"/>
        </w:rPr>
      </w:pPr>
      <w:r w:rsidRPr="001D7D4F">
        <w:rPr>
          <w:rFonts w:ascii="Times New Roman" w:hAnsi="Times New Roman"/>
          <w:szCs w:val="24"/>
        </w:rPr>
        <w:tab/>
        <w:t xml:space="preserve">The United States frequently files Statements of Interest in the district court, and </w:t>
      </w:r>
      <w:r w:rsidRPr="004F5DBE">
        <w:rPr>
          <w:rFonts w:ascii="Times New Roman" w:hAnsi="Times New Roman"/>
          <w:i/>
          <w:szCs w:val="24"/>
        </w:rPr>
        <w:t>amicus</w:t>
      </w:r>
      <w:r w:rsidRPr="001D7D4F">
        <w:rPr>
          <w:rFonts w:ascii="Times New Roman" w:hAnsi="Times New Roman"/>
          <w:szCs w:val="24"/>
        </w:rPr>
        <w:t xml:space="preserve"> briefs in the Second Circuit, in cases concerning the applicability and interpretation of the ADA. </w:t>
      </w:r>
      <w:r w:rsidRPr="001D7D4F">
        <w:rPr>
          <w:rFonts w:ascii="Times New Roman" w:hAnsi="Times New Roman"/>
          <w:i/>
          <w:szCs w:val="24"/>
        </w:rPr>
        <w:t>See, e.g.</w:t>
      </w:r>
      <w:r w:rsidRPr="001D7D4F">
        <w:rPr>
          <w:rFonts w:ascii="Times New Roman" w:hAnsi="Times New Roman"/>
          <w:szCs w:val="24"/>
        </w:rPr>
        <w:t xml:space="preserve">, </w:t>
      </w:r>
      <w:r w:rsidRPr="001D7D4F">
        <w:rPr>
          <w:rFonts w:ascii="Times New Roman" w:hAnsi="Times New Roman"/>
          <w:i/>
          <w:szCs w:val="24"/>
        </w:rPr>
        <w:t>Brooklyn Center for Independence of Disabled v. Bloomberg</w:t>
      </w:r>
      <w:r w:rsidRPr="001D7D4F">
        <w:rPr>
          <w:rFonts w:ascii="Times New Roman" w:hAnsi="Times New Roman"/>
          <w:szCs w:val="24"/>
        </w:rPr>
        <w:t>, 980 F. Supp. 2d 588, 641 n.9 (S.D.N.Y. 2013) (noting statement of interest filed in ADA Title II chal</w:t>
      </w:r>
      <w:r>
        <w:rPr>
          <w:rFonts w:ascii="Times New Roman" w:hAnsi="Times New Roman"/>
          <w:szCs w:val="24"/>
        </w:rPr>
        <w:t>lenge to NYC emergency planning</w:t>
      </w:r>
      <w:r w:rsidRPr="001D7D4F">
        <w:rPr>
          <w:rFonts w:ascii="Times New Roman" w:hAnsi="Times New Roman"/>
          <w:szCs w:val="24"/>
        </w:rPr>
        <w:t xml:space="preserve"> procedures); </w:t>
      </w:r>
      <w:r>
        <w:rPr>
          <w:rFonts w:ascii="Times New Roman" w:hAnsi="Times New Roman"/>
          <w:i/>
          <w:szCs w:val="24"/>
        </w:rPr>
        <w:t xml:space="preserve">see also </w:t>
      </w:r>
      <w:r w:rsidRPr="001D7D4F">
        <w:rPr>
          <w:rFonts w:ascii="Times New Roman" w:hAnsi="Times New Roman"/>
          <w:i/>
          <w:szCs w:val="24"/>
        </w:rPr>
        <w:t>Disabled in Action v. Board of Elections of the City of New York</w:t>
      </w:r>
      <w:r w:rsidRPr="001D7D4F">
        <w:rPr>
          <w:rFonts w:ascii="Times New Roman" w:hAnsi="Times New Roman"/>
          <w:szCs w:val="24"/>
        </w:rPr>
        <w:t>, 752 F.3d 189, 194-95 (2d Cir. 2014)</w:t>
      </w:r>
      <w:r w:rsidRPr="001D7D4F">
        <w:rPr>
          <w:rFonts w:ascii="Times New Roman" w:hAnsi="Times New Roman"/>
          <w:i/>
          <w:szCs w:val="24"/>
        </w:rPr>
        <w:t xml:space="preserve"> </w:t>
      </w:r>
      <w:r w:rsidRPr="001D7D4F">
        <w:rPr>
          <w:rFonts w:ascii="Times New Roman" w:hAnsi="Times New Roman"/>
          <w:szCs w:val="24"/>
        </w:rPr>
        <w:t>(noting appearance of United States to propose remedial plan to address lack of accessible election facilities in ADA Title II case).</w:t>
      </w:r>
    </w:p>
    <w:p w:rsidR="003D1A5B" w:rsidRPr="008B5DE5" w:rsidRDefault="003D1A5B" w:rsidP="004902B6">
      <w:pPr>
        <w:pStyle w:val="FootnoteText"/>
        <w:ind w:firstLine="0"/>
        <w:rPr>
          <w:rFonts w:ascii="Times New Roman" w:hAnsi="Times New Roman"/>
          <w:sz w:val="22"/>
          <w:szCs w:val="22"/>
        </w:rPr>
      </w:pPr>
      <w:r>
        <w:rPr>
          <w:rFonts w:ascii="Times New Roman" w:hAnsi="Times New Roman"/>
          <w:szCs w:val="24"/>
        </w:rPr>
        <w:tab/>
      </w:r>
      <w:r w:rsidR="005A5243">
        <w:rPr>
          <w:rFonts w:ascii="Times New Roman" w:hAnsi="Times New Roman"/>
          <w:szCs w:val="24"/>
        </w:rPr>
        <w:t>In addition</w:t>
      </w:r>
      <w:r>
        <w:rPr>
          <w:rFonts w:ascii="Times New Roman" w:hAnsi="Times New Roman"/>
          <w:szCs w:val="24"/>
        </w:rPr>
        <w:t xml:space="preserve">, the Solicitor General of the United States has filed an </w:t>
      </w:r>
      <w:r>
        <w:rPr>
          <w:rFonts w:ascii="Times New Roman" w:hAnsi="Times New Roman"/>
          <w:i/>
          <w:szCs w:val="24"/>
        </w:rPr>
        <w:t xml:space="preserve">amicus </w:t>
      </w:r>
      <w:r>
        <w:rPr>
          <w:rFonts w:ascii="Times New Roman" w:hAnsi="Times New Roman"/>
          <w:szCs w:val="24"/>
        </w:rPr>
        <w:t xml:space="preserve">brief with the United States Supreme Court in </w:t>
      </w:r>
      <w:r>
        <w:rPr>
          <w:rFonts w:ascii="Times New Roman" w:hAnsi="Times New Roman"/>
          <w:i/>
          <w:szCs w:val="24"/>
        </w:rPr>
        <w:t>City and County of San Francisco v. Sheehan</w:t>
      </w:r>
      <w:r>
        <w:rPr>
          <w:rFonts w:ascii="Times New Roman" w:hAnsi="Times New Roman"/>
          <w:szCs w:val="24"/>
        </w:rPr>
        <w:t xml:space="preserve">, No. 13-1412, which addresses the scope of </w:t>
      </w:r>
      <w:r w:rsidR="005A5243">
        <w:rPr>
          <w:rFonts w:ascii="Times New Roman" w:hAnsi="Times New Roman"/>
          <w:szCs w:val="24"/>
        </w:rPr>
        <w:t xml:space="preserve">Title II’s </w:t>
      </w:r>
      <w:r>
        <w:rPr>
          <w:rFonts w:ascii="Times New Roman" w:hAnsi="Times New Roman"/>
          <w:szCs w:val="24"/>
        </w:rPr>
        <w:t xml:space="preserve">reasonable modification obligation during the arrest of an individual with a disability who is armed and violent. </w:t>
      </w:r>
      <w:r>
        <w:rPr>
          <w:rFonts w:ascii="Times New Roman" w:hAnsi="Times New Roman"/>
          <w:i/>
          <w:szCs w:val="24"/>
        </w:rPr>
        <w:t>Sheehan</w:t>
      </w:r>
      <w:r>
        <w:rPr>
          <w:rFonts w:ascii="Times New Roman" w:hAnsi="Times New Roman"/>
          <w:szCs w:val="24"/>
        </w:rPr>
        <w:t xml:space="preserve"> is awaiting argument.  </w:t>
      </w:r>
      <w:r w:rsidR="005A5243">
        <w:rPr>
          <w:rFonts w:ascii="Times New Roman" w:hAnsi="Times New Roman"/>
          <w:szCs w:val="24"/>
        </w:rPr>
        <w:t>The parties</w:t>
      </w:r>
      <w:r>
        <w:rPr>
          <w:rFonts w:ascii="Times New Roman" w:hAnsi="Times New Roman"/>
          <w:szCs w:val="24"/>
        </w:rPr>
        <w:t xml:space="preserve"> in </w:t>
      </w:r>
      <w:r>
        <w:rPr>
          <w:rFonts w:ascii="Times New Roman" w:hAnsi="Times New Roman"/>
          <w:i/>
          <w:szCs w:val="24"/>
        </w:rPr>
        <w:t>Sheehan</w:t>
      </w:r>
      <w:r>
        <w:rPr>
          <w:rFonts w:ascii="Times New Roman" w:hAnsi="Times New Roman"/>
          <w:szCs w:val="24"/>
        </w:rPr>
        <w:t xml:space="preserve"> </w:t>
      </w:r>
      <w:r w:rsidR="005A5243">
        <w:rPr>
          <w:rFonts w:ascii="Times New Roman" w:hAnsi="Times New Roman"/>
          <w:szCs w:val="24"/>
        </w:rPr>
        <w:t>agree that</w:t>
      </w:r>
      <w:r>
        <w:rPr>
          <w:rFonts w:ascii="Times New Roman" w:hAnsi="Times New Roman"/>
          <w:szCs w:val="24"/>
        </w:rPr>
        <w:t xml:space="preserve"> Title II </w:t>
      </w:r>
      <w:r w:rsidR="005A5243">
        <w:rPr>
          <w:rFonts w:ascii="Times New Roman" w:hAnsi="Times New Roman"/>
          <w:szCs w:val="24"/>
        </w:rPr>
        <w:t>applies to</w:t>
      </w:r>
      <w:r>
        <w:rPr>
          <w:rFonts w:ascii="Times New Roman" w:hAnsi="Times New Roman"/>
          <w:szCs w:val="24"/>
        </w:rPr>
        <w:t xml:space="preserve"> arrests. (</w:t>
      </w:r>
      <w:r w:rsidRPr="003C0059">
        <w:rPr>
          <w:rFonts w:ascii="Times New Roman" w:hAnsi="Times New Roman"/>
          <w:i/>
          <w:szCs w:val="24"/>
        </w:rPr>
        <w:t>See</w:t>
      </w:r>
      <w:r>
        <w:rPr>
          <w:rFonts w:ascii="Times New Roman" w:hAnsi="Times New Roman"/>
          <w:szCs w:val="24"/>
        </w:rPr>
        <w:t xml:space="preserve"> Petitioner’s Br.</w:t>
      </w:r>
      <w:r w:rsidR="00EB2528">
        <w:rPr>
          <w:rFonts w:ascii="Times New Roman" w:hAnsi="Times New Roman"/>
          <w:szCs w:val="24"/>
        </w:rPr>
        <w:t>, 2015 WL 254639,</w:t>
      </w:r>
      <w:r>
        <w:rPr>
          <w:rFonts w:ascii="Times New Roman" w:hAnsi="Times New Roman"/>
          <w:szCs w:val="24"/>
        </w:rPr>
        <w:t xml:space="preserve"> at 34 (“There is no claim that an arrest is not one of the ‘services, programs, or activities’ of a public entity under [Title II]….  The only ADA issue here is what Title II requires of individual officers who are facing an armed and dangerous suspect.”).)  </w:t>
      </w:r>
    </w:p>
  </w:footnote>
  <w:footnote w:id="2">
    <w:p w:rsidR="003D1A5B" w:rsidRPr="00624810" w:rsidRDefault="003D1A5B" w:rsidP="00F83D22">
      <w:pPr>
        <w:pStyle w:val="FootnoteText"/>
        <w:rPr>
          <w:rFonts w:ascii="Times New Roman" w:hAnsi="Times New Roman"/>
          <w:sz w:val="22"/>
          <w:szCs w:val="22"/>
        </w:rPr>
      </w:pPr>
      <w:r w:rsidRPr="004902B6">
        <w:rPr>
          <w:rStyle w:val="FootnoteReference"/>
          <w:rFonts w:ascii="Times New Roman" w:hAnsi="Times New Roman"/>
          <w:sz w:val="22"/>
          <w:szCs w:val="22"/>
        </w:rPr>
        <w:footnoteRef/>
      </w:r>
      <w:r>
        <w:rPr>
          <w:rFonts w:ascii="Times New Roman" w:hAnsi="Times New Roman"/>
          <w:sz w:val="22"/>
          <w:szCs w:val="22"/>
        </w:rPr>
        <w:t xml:space="preserve"> </w:t>
      </w:r>
      <w:r w:rsidRPr="001D7D4F">
        <w:rPr>
          <w:rFonts w:ascii="Times New Roman" w:hAnsi="Times New Roman"/>
          <w:szCs w:val="24"/>
        </w:rPr>
        <w:t xml:space="preserve">The United States is not aware of any claim in this case that plaintiff is not a </w:t>
      </w:r>
      <w:r>
        <w:rPr>
          <w:rFonts w:ascii="Times New Roman" w:hAnsi="Times New Roman"/>
          <w:szCs w:val="24"/>
        </w:rPr>
        <w:t>“qualified individual</w:t>
      </w:r>
      <w:r w:rsidRPr="001D7D4F">
        <w:rPr>
          <w:rFonts w:ascii="Times New Roman" w:hAnsi="Times New Roman"/>
          <w:szCs w:val="24"/>
        </w:rPr>
        <w:t xml:space="preserve">,” or that the defendant is not a “public entity” within the meaning of Subtitle A of Title II and its implementing regulations.   </w:t>
      </w:r>
    </w:p>
    <w:p w:rsidR="003D1A5B" w:rsidRPr="00624810" w:rsidRDefault="003D1A5B" w:rsidP="004902B6">
      <w:pPr>
        <w:pStyle w:val="FootnoteText"/>
        <w:rPr>
          <w:rFonts w:ascii="Times New Roman" w:hAnsi="Times New Roman"/>
          <w:sz w:val="22"/>
          <w:szCs w:val="22"/>
        </w:rPr>
      </w:pPr>
    </w:p>
  </w:footnote>
  <w:footnote w:id="3">
    <w:p w:rsidR="003D1A5B" w:rsidRPr="008D275D" w:rsidRDefault="003D1A5B" w:rsidP="00F83D22">
      <w:pPr>
        <w:pStyle w:val="FootnoteText"/>
        <w:rPr>
          <w:rFonts w:ascii="Times New Roman" w:hAnsi="Times New Roman"/>
          <w:sz w:val="22"/>
          <w:szCs w:val="22"/>
        </w:rPr>
      </w:pPr>
      <w:r w:rsidRPr="00624810">
        <w:rPr>
          <w:rStyle w:val="FootnoteReference"/>
          <w:rFonts w:ascii="Times New Roman" w:hAnsi="Times New Roman"/>
          <w:sz w:val="22"/>
          <w:szCs w:val="22"/>
        </w:rPr>
        <w:footnoteRef/>
      </w:r>
      <w:r>
        <w:rPr>
          <w:rFonts w:ascii="Times New Roman" w:hAnsi="Times New Roman"/>
          <w:sz w:val="22"/>
          <w:szCs w:val="22"/>
        </w:rPr>
        <w:t xml:space="preserve"> </w:t>
      </w:r>
      <w:r w:rsidRPr="001D7D4F">
        <w:rPr>
          <w:rFonts w:ascii="Times New Roman" w:hAnsi="Times New Roman"/>
          <w:szCs w:val="24"/>
        </w:rPr>
        <w:t xml:space="preserve">Title II extended the protections of Section 504, which prohibits discrimination under, exclusion from participation in, and the denial of benefits of “any program or activity receiving Federal financial assistance,” 29 U.S.C. § 794(a), to all state and local government programs, services, and activities.  The provisions of Title II can provide no lesser protection than that afforded by Section 504, but the Title II implementing regulations do not prevent Title II from providing greater protection to persons with disabilities than Section 504.  </w:t>
      </w:r>
      <w:r w:rsidRPr="001D7D4F">
        <w:rPr>
          <w:rFonts w:ascii="Times New Roman" w:hAnsi="Times New Roman"/>
          <w:i/>
          <w:szCs w:val="24"/>
        </w:rPr>
        <w:t xml:space="preserve">See </w:t>
      </w:r>
      <w:r w:rsidRPr="001D7D4F">
        <w:rPr>
          <w:rFonts w:ascii="Times New Roman" w:hAnsi="Times New Roman"/>
          <w:szCs w:val="24"/>
        </w:rPr>
        <w:t xml:space="preserve">28 C.F.R. § 35.103(a).  Apart from these distinctions, and in all ways relevant to this discussion, the ADA and Section 504 are generally construed to impose the same or similar requirements.  </w:t>
      </w:r>
      <w:r w:rsidRPr="001D7D4F">
        <w:rPr>
          <w:rFonts w:ascii="Times New Roman" w:hAnsi="Times New Roman"/>
          <w:i/>
          <w:szCs w:val="24"/>
        </w:rPr>
        <w:t>See, e.g.</w:t>
      </w:r>
      <w:r w:rsidRPr="001D7D4F">
        <w:rPr>
          <w:rFonts w:ascii="Times New Roman" w:hAnsi="Times New Roman"/>
          <w:szCs w:val="24"/>
        </w:rPr>
        <w:t xml:space="preserve">,  </w:t>
      </w:r>
      <w:r w:rsidRPr="001D7D4F">
        <w:rPr>
          <w:rFonts w:ascii="Times New Roman" w:hAnsi="Times New Roman"/>
          <w:i/>
          <w:szCs w:val="24"/>
        </w:rPr>
        <w:t>Henrietta D.</w:t>
      </w:r>
      <w:r w:rsidRPr="001D7D4F">
        <w:rPr>
          <w:rFonts w:ascii="Times New Roman" w:hAnsi="Times New Roman"/>
          <w:szCs w:val="24"/>
        </w:rPr>
        <w:t>, 331 F.3d at 272;</w:t>
      </w:r>
      <w:r w:rsidRPr="001D7D4F">
        <w:rPr>
          <w:rFonts w:ascii="Times New Roman" w:hAnsi="Times New Roman"/>
          <w:i/>
          <w:szCs w:val="24"/>
        </w:rPr>
        <w:t xml:space="preserve"> K.M. ex rel. D.G. v. Hyde Park Cent. Sch. Dist.</w:t>
      </w:r>
      <w:r w:rsidRPr="001D7D4F">
        <w:rPr>
          <w:rFonts w:ascii="Times New Roman" w:hAnsi="Times New Roman"/>
          <w:szCs w:val="24"/>
        </w:rPr>
        <w:t xml:space="preserve">, 381 F. Supp. 2d 343, 357 (S.D.N.Y. 2005).  Therefore, this Statement of Interest will not separately discuss the City’s compliance or lack thereof with Section 504, but will solely address Title II and its implementing regulations.  </w:t>
      </w:r>
    </w:p>
    <w:p w:rsidR="003D1A5B" w:rsidRPr="008D275D" w:rsidRDefault="003D1A5B" w:rsidP="00624810">
      <w:pPr>
        <w:pStyle w:val="FootnoteText"/>
        <w:ind w:firstLine="0"/>
        <w:rPr>
          <w:rFonts w:ascii="Times New Roman" w:hAnsi="Times New Roman"/>
          <w:sz w:val="22"/>
          <w:szCs w:val="22"/>
        </w:rPr>
      </w:pPr>
    </w:p>
  </w:footnote>
  <w:footnote w:id="4">
    <w:p w:rsidR="003D1A5B" w:rsidRDefault="003D1A5B" w:rsidP="00F83D22">
      <w:pPr>
        <w:pStyle w:val="FootnoteText"/>
      </w:pPr>
      <w:r w:rsidRPr="008D275D">
        <w:rPr>
          <w:rStyle w:val="FootnoteReference"/>
          <w:rFonts w:ascii="Times New Roman" w:hAnsi="Times New Roman"/>
          <w:sz w:val="22"/>
          <w:szCs w:val="22"/>
        </w:rPr>
        <w:footnoteRef/>
      </w:r>
      <w:r>
        <w:rPr>
          <w:rFonts w:ascii="Times New Roman" w:hAnsi="Times New Roman"/>
          <w:sz w:val="22"/>
          <w:szCs w:val="22"/>
        </w:rPr>
        <w:t xml:space="preserve"> </w:t>
      </w:r>
      <w:r w:rsidRPr="001D7D4F">
        <w:rPr>
          <w:rFonts w:ascii="Times New Roman" w:hAnsi="Times New Roman"/>
          <w:szCs w:val="24"/>
        </w:rPr>
        <w:t>This “meaningful access” standard was formulated under Section 504 before Title II was enacted, and several years before the promulgation of the DOJ Regulations.</w:t>
      </w:r>
      <w:r w:rsidRPr="001D7D4F">
        <w:rPr>
          <w:szCs w:val="24"/>
        </w:rPr>
        <w:t xml:space="preserve">  </w:t>
      </w:r>
    </w:p>
  </w:footnote>
  <w:footnote w:id="5">
    <w:p w:rsidR="003D1A5B" w:rsidRDefault="003D1A5B" w:rsidP="009130A5">
      <w:pPr>
        <w:pStyle w:val="FootnoteText"/>
      </w:pPr>
      <w:r w:rsidRPr="006C0E90">
        <w:rPr>
          <w:rStyle w:val="FootnoteReference"/>
          <w:rFonts w:ascii="Times New Roman" w:hAnsi="Times New Roman"/>
        </w:rPr>
        <w:footnoteRef/>
      </w:r>
      <w:r w:rsidRPr="006C0E90">
        <w:rPr>
          <w:rFonts w:ascii="Times New Roman" w:hAnsi="Times New Roman"/>
        </w:rPr>
        <w:t xml:space="preserve"> </w:t>
      </w:r>
      <w:r w:rsidRPr="006C0E90">
        <w:rPr>
          <w:rFonts w:ascii="Times New Roman" w:hAnsi="Times New Roman"/>
          <w:bCs/>
          <w:szCs w:val="24"/>
        </w:rPr>
        <w:t>Af</w:t>
      </w:r>
      <w:r>
        <w:rPr>
          <w:rFonts w:ascii="CenturyExpandedBT-Bold" w:hAnsi="CenturyExpandedBT-Bold" w:cs="CenturyExpandedBT-Bold"/>
          <w:bCs/>
          <w:szCs w:val="24"/>
        </w:rPr>
        <w:t xml:space="preserve">ter she was arrested, Williams was brought to a cell at the </w:t>
      </w:r>
      <w:r w:rsidRPr="00F401F0">
        <w:rPr>
          <w:rFonts w:ascii="CenturyExpandedBT-Bold" w:hAnsi="CenturyExpandedBT-Bold" w:cs="CenturyExpandedBT-Bold"/>
          <w:bCs/>
          <w:szCs w:val="24"/>
        </w:rPr>
        <w:t>122nd Precinct</w:t>
      </w:r>
      <w:r>
        <w:rPr>
          <w:rFonts w:ascii="CenturyExpandedBT-Bold" w:hAnsi="CenturyExpandedBT-Bold" w:cs="CenturyExpandedBT-Bold"/>
          <w:bCs/>
          <w:szCs w:val="24"/>
        </w:rPr>
        <w:t xml:space="preserve">. (Pl. Stat. ¶¶ 60-61.) At no point during her time at the </w:t>
      </w:r>
      <w:r w:rsidRPr="00F401F0">
        <w:rPr>
          <w:rFonts w:ascii="CenturyExpandedBT-Bold" w:hAnsi="CenturyExpandedBT-Bold" w:cs="CenturyExpandedBT-Bold"/>
          <w:bCs/>
          <w:szCs w:val="24"/>
        </w:rPr>
        <w:t>122nd Precinct</w:t>
      </w:r>
      <w:r>
        <w:rPr>
          <w:rFonts w:ascii="CenturyExpandedBT-Bold" w:hAnsi="CenturyExpandedBT-Bold" w:cs="CenturyExpandedBT-Bold"/>
          <w:bCs/>
          <w:szCs w:val="24"/>
        </w:rPr>
        <w:t xml:space="preserve"> was Williams provided with an interpreter, despite numerous requests, and at no point was the reason for her arrest explained to her. (Pl. Stat. ¶¶ 62-63, 66-67.) Williams was ultimately released, on September 12, 2011, without charges being filed against her. (Def. Stat. ¶ 63; Pl. Resp. Stat. ¶ 63.) Notably, Defendant is not seeking summary judgment on Williams’s claims relating to her treatment at the </w:t>
      </w:r>
      <w:r w:rsidRPr="00F401F0">
        <w:rPr>
          <w:rFonts w:ascii="CenturyExpandedBT-Bold" w:hAnsi="CenturyExpandedBT-Bold" w:cs="CenturyExpandedBT-Bold"/>
          <w:bCs/>
          <w:szCs w:val="24"/>
        </w:rPr>
        <w:t>122nd Precinct</w:t>
      </w:r>
      <w:r>
        <w:rPr>
          <w:rFonts w:ascii="CenturyExpandedBT-Bold" w:hAnsi="CenturyExpandedBT-Bold" w:cs="CenturyExpandedBT-Bold"/>
          <w:bCs/>
          <w:szCs w:val="24"/>
        </w:rPr>
        <w:t>. (Def. Br. at 1, 12, 23.)</w:t>
      </w:r>
    </w:p>
  </w:footnote>
  <w:footnote w:id="6">
    <w:p w:rsidR="003D1A5B" w:rsidRPr="009C3A63" w:rsidRDefault="003D1A5B">
      <w:pPr>
        <w:pStyle w:val="FootnoteText"/>
        <w:rPr>
          <w:rFonts w:ascii="Times New Roman" w:hAnsi="Times New Roman"/>
        </w:rPr>
      </w:pPr>
      <w:r w:rsidRPr="00ED2966">
        <w:rPr>
          <w:rStyle w:val="FootnoteReference"/>
          <w:rFonts w:ascii="Times New Roman" w:hAnsi="Times New Roman"/>
        </w:rPr>
        <w:footnoteRef/>
      </w:r>
      <w:r w:rsidRPr="00ED2966">
        <w:rPr>
          <w:rFonts w:ascii="Times New Roman" w:hAnsi="Times New Roman"/>
        </w:rPr>
        <w:t xml:space="preserve"> The </w:t>
      </w:r>
      <w:proofErr w:type="spellStart"/>
      <w:r>
        <w:rPr>
          <w:rFonts w:ascii="Times New Roman" w:hAnsi="Times New Roman"/>
          <w:i/>
        </w:rPr>
        <w:t>Serem</w:t>
      </w:r>
      <w:r w:rsidRPr="00ED2966">
        <w:rPr>
          <w:rFonts w:ascii="Times New Roman" w:hAnsi="Times New Roman"/>
          <w:i/>
        </w:rPr>
        <w:t>eth</w:t>
      </w:r>
      <w:proofErr w:type="spellEnd"/>
      <w:r w:rsidRPr="00ED2966">
        <w:rPr>
          <w:rFonts w:ascii="Times New Roman" w:hAnsi="Times New Roman"/>
          <w:i/>
        </w:rPr>
        <w:t xml:space="preserve"> </w:t>
      </w:r>
      <w:r w:rsidRPr="00ED2966">
        <w:rPr>
          <w:rFonts w:ascii="Times New Roman" w:hAnsi="Times New Roman"/>
        </w:rPr>
        <w:t xml:space="preserve">court explained that </w:t>
      </w:r>
      <w:r w:rsidRPr="00ED2966">
        <w:rPr>
          <w:rFonts w:ascii="Times New Roman" w:hAnsi="Times New Roman"/>
          <w:i/>
        </w:rPr>
        <w:t>Rosen</w:t>
      </w:r>
      <w:r w:rsidRPr="00ED2966">
        <w:rPr>
          <w:rFonts w:ascii="Times New Roman" w:hAnsi="Times New Roman"/>
        </w:rPr>
        <w:t xml:space="preserve"> is still precedential on “the subject of what constitutes an injury under the ADA.” </w:t>
      </w:r>
      <w:proofErr w:type="spellStart"/>
      <w:r>
        <w:rPr>
          <w:rFonts w:ascii="Times New Roman" w:hAnsi="Times New Roman"/>
          <w:i/>
        </w:rPr>
        <w:t>Serem</w:t>
      </w:r>
      <w:r w:rsidRPr="00ED2966">
        <w:rPr>
          <w:rFonts w:ascii="Times New Roman" w:hAnsi="Times New Roman"/>
          <w:i/>
        </w:rPr>
        <w:t>eth</w:t>
      </w:r>
      <w:proofErr w:type="spellEnd"/>
      <w:r w:rsidRPr="00ED2966">
        <w:rPr>
          <w:rFonts w:ascii="Times New Roman" w:hAnsi="Times New Roman"/>
        </w:rPr>
        <w:t>, 673 F.3d at 338 n.2. That issue is not relevant to this case.</w:t>
      </w:r>
      <w:r>
        <w:rPr>
          <w:rFonts w:ascii="Times New Roman" w:hAnsi="Times New Roman"/>
        </w:rPr>
        <w:t xml:space="preserve"> In this Circuit, to suffer discrimination prohibited by the ADA is itself an injury. </w:t>
      </w:r>
      <w:r>
        <w:rPr>
          <w:rFonts w:ascii="Times New Roman" w:hAnsi="Times New Roman"/>
          <w:i/>
        </w:rPr>
        <w:t>See, e.g.</w:t>
      </w:r>
      <w:r>
        <w:rPr>
          <w:rFonts w:ascii="Times New Roman" w:hAnsi="Times New Roman"/>
        </w:rPr>
        <w:t xml:space="preserve">, </w:t>
      </w:r>
      <w:r>
        <w:rPr>
          <w:rFonts w:ascii="Times New Roman" w:hAnsi="Times New Roman"/>
          <w:i/>
        </w:rPr>
        <w:t>Camarillo v. Carrols Corp.</w:t>
      </w:r>
      <w:r>
        <w:rPr>
          <w:rFonts w:ascii="Times New Roman" w:hAnsi="Times New Roman"/>
        </w:rPr>
        <w:t>, 518 F.3d 153, 158 (2d Cir. 2008) (reversing district court grant of summary judgment where plaintiff alleged she could not read the text of fast-food restaurant menus and no accommodation was provided; while plaintiff was permitted to eat, she had suffered injury based on “defendants’ discriminatory failure to ensure effective communication of their menu items”).</w:t>
      </w:r>
    </w:p>
  </w:footnote>
  <w:footnote w:id="7">
    <w:p w:rsidR="00961C69" w:rsidRPr="003C0059" w:rsidRDefault="00961C69" w:rsidP="00961C69">
      <w:pPr>
        <w:rPr>
          <w:rFonts w:eastAsia="Calibri"/>
          <w:szCs w:val="24"/>
        </w:rPr>
      </w:pPr>
      <w:r>
        <w:rPr>
          <w:sz w:val="22"/>
          <w:szCs w:val="22"/>
        </w:rPr>
        <w:tab/>
      </w:r>
      <w:r w:rsidRPr="00413804">
        <w:rPr>
          <w:rStyle w:val="FootnoteReference"/>
          <w:sz w:val="22"/>
          <w:szCs w:val="22"/>
        </w:rPr>
        <w:footnoteRef/>
      </w:r>
      <w:r w:rsidRPr="00413804">
        <w:rPr>
          <w:sz w:val="22"/>
          <w:szCs w:val="22"/>
        </w:rPr>
        <w:t xml:space="preserve"> </w:t>
      </w:r>
      <w:r w:rsidRPr="008D00A6">
        <w:rPr>
          <w:szCs w:val="24"/>
        </w:rPr>
        <w:t xml:space="preserve">Notably, there is no allegation in this case that the plaintiff was armed or violent or that </w:t>
      </w:r>
      <w:r w:rsidRPr="008D00A6">
        <w:rPr>
          <w:rFonts w:eastAsia="Calibri"/>
          <w:szCs w:val="24"/>
        </w:rPr>
        <w:t>there was any significant threat to the officers on the scene. Where an arrestee is armed and violent, an accommodation may not be reasonable in the run of cases because a deviation from ordinary police procedures generally will involve a significant threat to the officers or others on the scene. Even in circumstances involving an armed and violent arrestee, however, a plaintiff should “nonetheless remain[ ] fr</w:t>
      </w:r>
      <w:r w:rsidRPr="003C0059">
        <w:rPr>
          <w:rFonts w:eastAsia="Calibri"/>
          <w:szCs w:val="24"/>
        </w:rPr>
        <w:t xml:space="preserve">ee to show that special circumstances warrant a finding that . . . the requested ‘accommodation’ is ‘reasonable’ on the particular facts.” </w:t>
      </w:r>
      <w:r w:rsidRPr="003C0059">
        <w:rPr>
          <w:rFonts w:eastAsia="Calibri"/>
          <w:i/>
          <w:iCs/>
          <w:szCs w:val="24"/>
        </w:rPr>
        <w:t>U.S. Airways v. Barnett</w:t>
      </w:r>
      <w:r>
        <w:rPr>
          <w:rFonts w:eastAsia="Calibri"/>
          <w:iCs/>
          <w:szCs w:val="24"/>
        </w:rPr>
        <w:t>,</w:t>
      </w:r>
      <w:r w:rsidRPr="003C0059">
        <w:rPr>
          <w:rFonts w:eastAsia="Calibri"/>
          <w:i/>
          <w:iCs/>
          <w:szCs w:val="24"/>
        </w:rPr>
        <w:t xml:space="preserve"> </w:t>
      </w:r>
      <w:r w:rsidRPr="003C0059">
        <w:rPr>
          <w:rFonts w:eastAsia="Calibri"/>
          <w:szCs w:val="24"/>
        </w:rPr>
        <w:t xml:space="preserve">535 U.S. 391, 405 (2002).  If a plaintiff points to special circumstances showing that an accommodation was reasonable on the particular facts despite the presence of a weapon and violent behavior during an arrest, a law enforcement entity will not be entitled to summary judgment on that issue. </w:t>
      </w:r>
    </w:p>
    <w:p w:rsidR="00961C69" w:rsidRDefault="00961C69" w:rsidP="00961C69">
      <w:pPr>
        <w:pStyle w:val="FootnoteText"/>
      </w:pPr>
    </w:p>
  </w:footnote>
  <w:footnote w:id="8">
    <w:p w:rsidR="00961C69" w:rsidRDefault="00961C69" w:rsidP="00D73BC6">
      <w:pPr>
        <w:ind w:firstLine="720"/>
      </w:pPr>
      <w:r>
        <w:rPr>
          <w:rStyle w:val="FootnoteReference"/>
        </w:rPr>
        <w:footnoteRef/>
      </w:r>
      <w:r>
        <w:t xml:space="preserve"> </w:t>
      </w:r>
      <w:r w:rsidR="00C86B8E">
        <w:t xml:space="preserve">Safety concerns also may obviate the need to provide an accommodation in other circumstances. For example, Title II “does not require a public entity to permit an individual to participate in . . . services, programs, or activities . . . when that individual poses a direct threat to the health or safety of others.” 28 C.F.R. § 35.139(a). </w:t>
      </w:r>
      <w:r w:rsidRPr="00225530">
        <w:rPr>
          <w:rFonts w:ascii="CenturyExpandedBT-Roman" w:eastAsia="Calibri" w:hAnsi="CenturyExpandedBT-Roman" w:cs="CenturyExpandedBT-Roman"/>
          <w:szCs w:val="24"/>
        </w:rPr>
        <w:t xml:space="preserve">Because the Department’s regulations define “direct threat” as “a significant risk to the health or safety of others that cannot be eliminated by a modification,” 28 C.F.R. </w:t>
      </w:r>
      <w:r>
        <w:rPr>
          <w:rFonts w:ascii="CenturyExpandedBT-Roman" w:eastAsia="Calibri" w:hAnsi="CenturyExpandedBT-Roman" w:cs="CenturyExpandedBT-Roman"/>
          <w:szCs w:val="24"/>
        </w:rPr>
        <w:t>§ </w:t>
      </w:r>
      <w:r w:rsidRPr="00225530">
        <w:rPr>
          <w:rFonts w:ascii="CenturyExpandedBT-Roman" w:eastAsia="Calibri" w:hAnsi="CenturyExpandedBT-Roman" w:cs="CenturyExpandedBT-Roman"/>
          <w:szCs w:val="24"/>
        </w:rPr>
        <w:t xml:space="preserve">35.104, a public entity that seeks to avoid ADA liability on this ground must demonstrate that reasonable modifications could not eliminate the threat or reduce it to an acceptable level. </w:t>
      </w:r>
      <w:r w:rsidRPr="001A4AA4">
        <w:rPr>
          <w:rFonts w:ascii="CenturyExpandedBT-Roman" w:eastAsia="Calibri" w:hAnsi="CenturyExpandedBT-Roman" w:cs="CenturyExpandedBT-Roman"/>
          <w:i/>
          <w:szCs w:val="24"/>
        </w:rPr>
        <w:t>See</w:t>
      </w:r>
      <w:r w:rsidRPr="00225530">
        <w:rPr>
          <w:rFonts w:ascii="CenturyExpandedBT-Roman" w:eastAsia="Calibri" w:hAnsi="CenturyExpandedBT-Roman" w:cs="CenturyExpandedBT-Roman"/>
          <w:szCs w:val="24"/>
        </w:rPr>
        <w:t xml:space="preserve"> </w:t>
      </w:r>
      <w:r w:rsidRPr="00225530">
        <w:rPr>
          <w:rFonts w:ascii="CenturyExpandedBT-Italic" w:eastAsia="Calibri" w:hAnsi="CenturyExpandedBT-Italic" w:cs="CenturyExpandedBT-Italic"/>
          <w:i/>
          <w:iCs/>
          <w:szCs w:val="24"/>
        </w:rPr>
        <w:t xml:space="preserve">Title II Technical Assistance </w:t>
      </w:r>
      <w:r w:rsidRPr="00225530">
        <w:rPr>
          <w:rFonts w:ascii="CenturyExpandedBT-Roman" w:eastAsia="Calibri" w:hAnsi="CenturyExpandedBT-Roman" w:cs="CenturyExpandedBT-Roman"/>
          <w:szCs w:val="24"/>
        </w:rPr>
        <w:t xml:space="preserve">§ II-2.8000, at 8. In addition, a public entity “may impose legitimate safety requirements necessary for the safe operation of its services, programs, or activities” so long as the “safety requirements are based on actual risks.” 28 C.F.R. </w:t>
      </w:r>
      <w:r>
        <w:rPr>
          <w:rFonts w:ascii="CenturyExpandedBT-Roman" w:eastAsia="Calibri" w:hAnsi="CenturyExpandedBT-Roman" w:cs="CenturyExpandedBT-Roman"/>
          <w:szCs w:val="24"/>
        </w:rPr>
        <w:t>§ </w:t>
      </w:r>
      <w:r w:rsidRPr="00225530">
        <w:rPr>
          <w:rFonts w:ascii="CenturyExpandedBT-Roman" w:eastAsia="Calibri" w:hAnsi="CenturyExpandedBT-Roman" w:cs="CenturyExpandedBT-Roman"/>
          <w:szCs w:val="24"/>
        </w:rPr>
        <w:t>35.130(h).</w:t>
      </w:r>
      <w:r w:rsidRPr="00225530">
        <w:rPr>
          <w:rFonts w:ascii="CenturyExpandedBT-Bold" w:eastAsia="Calibri" w:hAnsi="CenturyExpandedBT-Bold" w:cs="CenturyExpandedBT-Bold"/>
          <w:b/>
          <w:bCs/>
          <w:szCs w:val="24"/>
        </w:rPr>
        <w:t xml:space="preserve">  </w:t>
      </w:r>
      <w:r w:rsidR="00C86B8E">
        <w:rPr>
          <w:rFonts w:ascii="CenturyExpandedBT-Bold" w:eastAsia="Calibri" w:hAnsi="CenturyExpandedBT-Bold" w:cs="CenturyExpandedBT-Bold"/>
          <w:bCs/>
          <w:szCs w:val="24"/>
        </w:rPr>
        <w:t xml:space="preserve">Finally, even </w:t>
      </w:r>
      <w:r w:rsidR="00C86B8E">
        <w:rPr>
          <w:rFonts w:ascii="CenturyExpandedBT-Roman" w:eastAsia="Calibri" w:hAnsi="CenturyExpandedBT-Roman" w:cs="CenturyExpandedBT-Roman"/>
          <w:szCs w:val="24"/>
        </w:rPr>
        <w:t>i</w:t>
      </w:r>
      <w:r w:rsidRPr="00225530">
        <w:rPr>
          <w:rFonts w:ascii="CenturyExpandedBT-Roman" w:eastAsia="Calibri" w:hAnsi="CenturyExpandedBT-Roman" w:cs="CenturyExpandedBT-Roman"/>
          <w:szCs w:val="24"/>
        </w:rPr>
        <w:t>f a plaintiff carries her threshold burden of identifying a reasonable accommodation</w:t>
      </w:r>
      <w:r>
        <w:rPr>
          <w:rFonts w:ascii="CenturyExpandedBT-Roman" w:eastAsia="Calibri" w:hAnsi="CenturyExpandedBT-Roman" w:cs="CenturyExpandedBT-Roman"/>
          <w:szCs w:val="24"/>
        </w:rPr>
        <w:t xml:space="preserve"> or auxiliary aid</w:t>
      </w:r>
      <w:r w:rsidRPr="00225530">
        <w:rPr>
          <w:rFonts w:ascii="CenturyExpandedBT-Roman" w:eastAsia="Calibri" w:hAnsi="CenturyExpandedBT-Roman" w:cs="CenturyExpandedBT-Roman"/>
          <w:szCs w:val="24"/>
        </w:rPr>
        <w:t>, a public entity will not be liable if it “can demonstrate that making the modification[</w:t>
      </w:r>
      <w:r>
        <w:rPr>
          <w:rFonts w:ascii="CenturyExpandedBT-Roman" w:eastAsia="Calibri" w:hAnsi="CenturyExpandedBT-Roman" w:cs="CenturyExpandedBT-Roman"/>
          <w:szCs w:val="24"/>
        </w:rPr>
        <w:t xml:space="preserve"> </w:t>
      </w:r>
      <w:r w:rsidRPr="00225530">
        <w:rPr>
          <w:rFonts w:ascii="CenturyExpandedBT-Roman" w:eastAsia="Calibri" w:hAnsi="CenturyExpandedBT-Roman" w:cs="CenturyExpandedBT-Roman"/>
          <w:szCs w:val="24"/>
        </w:rPr>
        <w:t xml:space="preserve">] would fundamentally alter the nature of the service, program, or activity.” 28 C.F.R. </w:t>
      </w:r>
      <w:r>
        <w:rPr>
          <w:rFonts w:ascii="CenturyExpandedBT-Roman" w:eastAsia="Calibri" w:hAnsi="CenturyExpandedBT-Roman" w:cs="CenturyExpandedBT-Roman"/>
          <w:szCs w:val="24"/>
        </w:rPr>
        <w:t>§ </w:t>
      </w:r>
      <w:r w:rsidRPr="00225530">
        <w:rPr>
          <w:rFonts w:ascii="CenturyExpandedBT-Roman" w:eastAsia="Calibri" w:hAnsi="CenturyExpandedBT-Roman" w:cs="CenturyExpandedBT-Roman"/>
          <w:szCs w:val="24"/>
        </w:rPr>
        <w:t>35.130(b)(7)</w:t>
      </w:r>
      <w:r>
        <w:rPr>
          <w:rFonts w:ascii="CenturyExpandedBT-Roman" w:eastAsia="Calibri" w:hAnsi="CenturyExpandedBT-Roman" w:cs="CenturyExpandedBT-Roman"/>
          <w:szCs w:val="24"/>
        </w:rPr>
        <w:t xml:space="preserve">; </w:t>
      </w:r>
      <w:r>
        <w:rPr>
          <w:rFonts w:ascii="CenturyExpandedBT-Roman" w:eastAsia="Calibri" w:hAnsi="CenturyExpandedBT-Roman" w:cs="CenturyExpandedBT-Roman"/>
          <w:i/>
          <w:szCs w:val="24"/>
        </w:rPr>
        <w:t xml:space="preserve">see also </w:t>
      </w:r>
      <w:r>
        <w:rPr>
          <w:rFonts w:ascii="CenturyExpandedBT-Roman" w:eastAsia="Calibri" w:hAnsi="CenturyExpandedBT-Roman" w:cs="CenturyExpandedBT-Roman"/>
          <w:szCs w:val="24"/>
        </w:rPr>
        <w:t>28 C.F.R. § 35.164 (adopting similar analysis applied to obligation to provide effective communication)</w:t>
      </w:r>
      <w:r w:rsidRPr="00225530">
        <w:rPr>
          <w:rFonts w:ascii="CenturyExpandedBT-Roman" w:eastAsia="Calibri" w:hAnsi="CenturyExpandedBT-Roman" w:cs="CenturyExpandedBT-Roman"/>
          <w:szCs w:val="24"/>
        </w:rPr>
        <w:t>.</w:t>
      </w:r>
    </w:p>
  </w:footnote>
  <w:footnote w:id="9">
    <w:p w:rsidR="003D1A5B" w:rsidRPr="006E63D6" w:rsidRDefault="003D1A5B" w:rsidP="006E63D6">
      <w:pPr>
        <w:pStyle w:val="FootnoteText"/>
        <w:rPr>
          <w:rFonts w:ascii="Times New Roman" w:hAnsi="Times New Roman"/>
          <w:szCs w:val="24"/>
        </w:rPr>
      </w:pPr>
      <w:r w:rsidRPr="006E63D6">
        <w:rPr>
          <w:rStyle w:val="FootnoteReference"/>
          <w:rFonts w:ascii="Times New Roman" w:hAnsi="Times New Roman"/>
          <w:szCs w:val="24"/>
        </w:rPr>
        <w:footnoteRef/>
      </w:r>
      <w:r>
        <w:rPr>
          <w:rFonts w:ascii="Times New Roman" w:hAnsi="Times New Roman"/>
          <w:szCs w:val="24"/>
        </w:rPr>
        <w:t xml:space="preserve"> </w:t>
      </w:r>
      <w:r w:rsidRPr="006E63D6">
        <w:rPr>
          <w:rFonts w:ascii="Times New Roman" w:hAnsi="Times New Roman"/>
          <w:szCs w:val="24"/>
        </w:rPr>
        <w:t>Defendant also moves for summary judgment</w:t>
      </w:r>
      <w:r>
        <w:rPr>
          <w:rFonts w:ascii="Times New Roman" w:hAnsi="Times New Roman"/>
          <w:szCs w:val="24"/>
        </w:rPr>
        <w:t xml:space="preserve"> </w:t>
      </w:r>
      <w:r w:rsidRPr="006E63D6">
        <w:rPr>
          <w:rFonts w:ascii="Times New Roman" w:hAnsi="Times New Roman"/>
          <w:szCs w:val="24"/>
        </w:rPr>
        <w:t>with respect to plaintiff’s claim under New York Human Rights Law and New York City Human Rights Law (Def. Br. at 12-13), as well as plaintiff’s claims for false arrest (Def. Br. at 13-16), assault and battery (Def. Br. at 16-17), intentional infliction of emotional harm (Def. Br. at 17-18), and negligent hiring (Def. Br. at 18-20). The United States takes no position on these issues.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C5CE7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0638E"/>
    <w:multiLevelType w:val="hybridMultilevel"/>
    <w:tmpl w:val="07D0F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F75C1"/>
    <w:multiLevelType w:val="hybridMultilevel"/>
    <w:tmpl w:val="95705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76AF9"/>
    <w:multiLevelType w:val="hybridMultilevel"/>
    <w:tmpl w:val="AE78B3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7550BB"/>
    <w:multiLevelType w:val="hybridMultilevel"/>
    <w:tmpl w:val="AC5E37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FA5104"/>
    <w:multiLevelType w:val="hybridMultilevel"/>
    <w:tmpl w:val="187EE4D0"/>
    <w:lvl w:ilvl="0" w:tplc="1376E6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8564C"/>
    <w:multiLevelType w:val="hybridMultilevel"/>
    <w:tmpl w:val="C212E698"/>
    <w:lvl w:ilvl="0" w:tplc="3AEE22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1878"/>
    <w:multiLevelType w:val="hybridMultilevel"/>
    <w:tmpl w:val="EC9EF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A2981"/>
    <w:multiLevelType w:val="hybridMultilevel"/>
    <w:tmpl w:val="E942500C"/>
    <w:lvl w:ilvl="0" w:tplc="7E5ADB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77BE4"/>
    <w:multiLevelType w:val="hybridMultilevel"/>
    <w:tmpl w:val="1C52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97DD7"/>
    <w:multiLevelType w:val="hybridMultilevel"/>
    <w:tmpl w:val="D70EE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55281"/>
    <w:multiLevelType w:val="hybridMultilevel"/>
    <w:tmpl w:val="3084B3A2"/>
    <w:lvl w:ilvl="0" w:tplc="B3B0DA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B188D"/>
    <w:multiLevelType w:val="hybridMultilevel"/>
    <w:tmpl w:val="C16E181A"/>
    <w:lvl w:ilvl="0" w:tplc="FFA86C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03D5F"/>
    <w:multiLevelType w:val="hybridMultilevel"/>
    <w:tmpl w:val="4E94E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2B0ADA"/>
    <w:multiLevelType w:val="hybridMultilevel"/>
    <w:tmpl w:val="F5C29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0766D0"/>
    <w:multiLevelType w:val="hybridMultilevel"/>
    <w:tmpl w:val="E87A25E8"/>
    <w:lvl w:ilvl="0" w:tplc="BC685554">
      <w:start w:val="1"/>
      <w:numFmt w:val="decimal"/>
      <w:lvlText w:val="%1."/>
      <w:lvlJc w:val="left"/>
      <w:pPr>
        <w:ind w:left="450" w:hanging="360"/>
      </w:pPr>
      <w:rPr>
        <w:b w:val="0"/>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99E08B4"/>
    <w:multiLevelType w:val="hybridMultilevel"/>
    <w:tmpl w:val="B06A6F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D21AE7"/>
    <w:multiLevelType w:val="hybridMultilevel"/>
    <w:tmpl w:val="284C3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C273E0"/>
    <w:multiLevelType w:val="hybridMultilevel"/>
    <w:tmpl w:val="C7C09CB6"/>
    <w:lvl w:ilvl="0" w:tplc="31A0103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93DDF"/>
    <w:multiLevelType w:val="hybridMultilevel"/>
    <w:tmpl w:val="B1B0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9167A"/>
    <w:multiLevelType w:val="hybridMultilevel"/>
    <w:tmpl w:val="0E02E840"/>
    <w:lvl w:ilvl="0" w:tplc="292CC9E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7F40E5"/>
    <w:multiLevelType w:val="hybridMultilevel"/>
    <w:tmpl w:val="B3ECF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8A57EF"/>
    <w:multiLevelType w:val="hybridMultilevel"/>
    <w:tmpl w:val="3CA02708"/>
    <w:lvl w:ilvl="0" w:tplc="82FA5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3CA5546"/>
    <w:multiLevelType w:val="hybridMultilevel"/>
    <w:tmpl w:val="1D20CA9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511EC2"/>
    <w:multiLevelType w:val="hybridMultilevel"/>
    <w:tmpl w:val="A1C6D30E"/>
    <w:lvl w:ilvl="0" w:tplc="1DEEBC8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22"/>
  </w:num>
  <w:num w:numId="4">
    <w:abstractNumId w:val="8"/>
  </w:num>
  <w:num w:numId="5">
    <w:abstractNumId w:val="19"/>
  </w:num>
  <w:num w:numId="6">
    <w:abstractNumId w:val="17"/>
  </w:num>
  <w:num w:numId="7">
    <w:abstractNumId w:val="10"/>
  </w:num>
  <w:num w:numId="8">
    <w:abstractNumId w:val="13"/>
  </w:num>
  <w:num w:numId="9">
    <w:abstractNumId w:val="5"/>
  </w:num>
  <w:num w:numId="10">
    <w:abstractNumId w:val="11"/>
  </w:num>
  <w:num w:numId="11">
    <w:abstractNumId w:val="24"/>
  </w:num>
  <w:num w:numId="12">
    <w:abstractNumId w:val="2"/>
  </w:num>
  <w:num w:numId="13">
    <w:abstractNumId w:val="16"/>
  </w:num>
  <w:num w:numId="14">
    <w:abstractNumId w:val="7"/>
  </w:num>
  <w:num w:numId="15">
    <w:abstractNumId w:val="14"/>
  </w:num>
  <w:num w:numId="16">
    <w:abstractNumId w:val="12"/>
  </w:num>
  <w:num w:numId="17">
    <w:abstractNumId w:val="18"/>
  </w:num>
  <w:num w:numId="18">
    <w:abstractNumId w:val="0"/>
  </w:num>
  <w:num w:numId="19">
    <w:abstractNumId w:val="23"/>
  </w:num>
  <w:num w:numId="20">
    <w:abstractNumId w:val="20"/>
  </w:num>
  <w:num w:numId="21">
    <w:abstractNumId w:val="9"/>
  </w:num>
  <w:num w:numId="22">
    <w:abstractNumId w:val="21"/>
  </w:num>
  <w:num w:numId="23">
    <w:abstractNumId w:val="1"/>
  </w:num>
  <w:num w:numId="24">
    <w:abstractNumId w:val="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trackRevisions/>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docVars>
    <w:docVar w:name="_CITRUS_JURISDICTION" w:val="Bluebook"/>
    <w:docVar w:name="CITRUS_DOC_GUID" w:val="{9005DD41-3AF8-4A4D-8DBF-8EC271A75237}"/>
  </w:docVars>
  <w:rsids>
    <w:rsidRoot w:val="00F70597"/>
    <w:rsid w:val="000001AE"/>
    <w:rsid w:val="000027BB"/>
    <w:rsid w:val="00010201"/>
    <w:rsid w:val="000123E4"/>
    <w:rsid w:val="00012DE5"/>
    <w:rsid w:val="000130FB"/>
    <w:rsid w:val="00013427"/>
    <w:rsid w:val="000205F8"/>
    <w:rsid w:val="000222E4"/>
    <w:rsid w:val="00024246"/>
    <w:rsid w:val="00025B9F"/>
    <w:rsid w:val="00025FB2"/>
    <w:rsid w:val="00027CB3"/>
    <w:rsid w:val="00032AB3"/>
    <w:rsid w:val="0003452E"/>
    <w:rsid w:val="00037259"/>
    <w:rsid w:val="000372A3"/>
    <w:rsid w:val="00037EB3"/>
    <w:rsid w:val="00041F3B"/>
    <w:rsid w:val="000475DB"/>
    <w:rsid w:val="00055128"/>
    <w:rsid w:val="00056581"/>
    <w:rsid w:val="00060038"/>
    <w:rsid w:val="00060313"/>
    <w:rsid w:val="00060F8D"/>
    <w:rsid w:val="000636C4"/>
    <w:rsid w:val="00064177"/>
    <w:rsid w:val="00064A04"/>
    <w:rsid w:val="00066068"/>
    <w:rsid w:val="0006670A"/>
    <w:rsid w:val="0007011B"/>
    <w:rsid w:val="000727F5"/>
    <w:rsid w:val="0007290A"/>
    <w:rsid w:val="000740CA"/>
    <w:rsid w:val="0008686C"/>
    <w:rsid w:val="0009095C"/>
    <w:rsid w:val="00091D00"/>
    <w:rsid w:val="00093562"/>
    <w:rsid w:val="00093A2D"/>
    <w:rsid w:val="00095362"/>
    <w:rsid w:val="00097132"/>
    <w:rsid w:val="00097BD2"/>
    <w:rsid w:val="000A0D77"/>
    <w:rsid w:val="000A2FF3"/>
    <w:rsid w:val="000A59F3"/>
    <w:rsid w:val="000B08C2"/>
    <w:rsid w:val="000B7927"/>
    <w:rsid w:val="000B7A0A"/>
    <w:rsid w:val="000C1C64"/>
    <w:rsid w:val="000C319D"/>
    <w:rsid w:val="000C5A91"/>
    <w:rsid w:val="000D310D"/>
    <w:rsid w:val="000D5E6A"/>
    <w:rsid w:val="000D6A87"/>
    <w:rsid w:val="000D7C65"/>
    <w:rsid w:val="000E216C"/>
    <w:rsid w:val="000E6993"/>
    <w:rsid w:val="000F039B"/>
    <w:rsid w:val="000F23EE"/>
    <w:rsid w:val="00102386"/>
    <w:rsid w:val="00102D9A"/>
    <w:rsid w:val="001032B0"/>
    <w:rsid w:val="00104FA7"/>
    <w:rsid w:val="00105EB7"/>
    <w:rsid w:val="00107277"/>
    <w:rsid w:val="0010781D"/>
    <w:rsid w:val="00115827"/>
    <w:rsid w:val="0011585F"/>
    <w:rsid w:val="00115CDF"/>
    <w:rsid w:val="001229FB"/>
    <w:rsid w:val="00123FCB"/>
    <w:rsid w:val="001276C8"/>
    <w:rsid w:val="0013475A"/>
    <w:rsid w:val="001359B8"/>
    <w:rsid w:val="00136014"/>
    <w:rsid w:val="00137C33"/>
    <w:rsid w:val="00137DAE"/>
    <w:rsid w:val="00141782"/>
    <w:rsid w:val="00142A2D"/>
    <w:rsid w:val="00144158"/>
    <w:rsid w:val="00144505"/>
    <w:rsid w:val="0014529B"/>
    <w:rsid w:val="001466FC"/>
    <w:rsid w:val="00146812"/>
    <w:rsid w:val="00147408"/>
    <w:rsid w:val="001514BC"/>
    <w:rsid w:val="0015422A"/>
    <w:rsid w:val="00156C21"/>
    <w:rsid w:val="00157660"/>
    <w:rsid w:val="001629AA"/>
    <w:rsid w:val="001678F5"/>
    <w:rsid w:val="00173F17"/>
    <w:rsid w:val="00175FD8"/>
    <w:rsid w:val="0017634D"/>
    <w:rsid w:val="0017755E"/>
    <w:rsid w:val="00180677"/>
    <w:rsid w:val="001816ED"/>
    <w:rsid w:val="00181A24"/>
    <w:rsid w:val="00181D99"/>
    <w:rsid w:val="00185EFE"/>
    <w:rsid w:val="0018666B"/>
    <w:rsid w:val="00186FBD"/>
    <w:rsid w:val="00187EF4"/>
    <w:rsid w:val="001901DD"/>
    <w:rsid w:val="00191BD9"/>
    <w:rsid w:val="001923B4"/>
    <w:rsid w:val="001949E2"/>
    <w:rsid w:val="0019524D"/>
    <w:rsid w:val="001A2631"/>
    <w:rsid w:val="001A35D8"/>
    <w:rsid w:val="001A4AA4"/>
    <w:rsid w:val="001A4C67"/>
    <w:rsid w:val="001B378F"/>
    <w:rsid w:val="001D20F6"/>
    <w:rsid w:val="001D3A52"/>
    <w:rsid w:val="001D4266"/>
    <w:rsid w:val="001D4844"/>
    <w:rsid w:val="001D7D4F"/>
    <w:rsid w:val="001E1199"/>
    <w:rsid w:val="001E3ACD"/>
    <w:rsid w:val="001E4D76"/>
    <w:rsid w:val="001E7D61"/>
    <w:rsid w:val="001F0827"/>
    <w:rsid w:val="001F1148"/>
    <w:rsid w:val="001F1DA1"/>
    <w:rsid w:val="001F4388"/>
    <w:rsid w:val="001F647C"/>
    <w:rsid w:val="001F7A68"/>
    <w:rsid w:val="002001F1"/>
    <w:rsid w:val="00201116"/>
    <w:rsid w:val="00201B48"/>
    <w:rsid w:val="00201E9F"/>
    <w:rsid w:val="00203BA1"/>
    <w:rsid w:val="002041F8"/>
    <w:rsid w:val="00205A4E"/>
    <w:rsid w:val="00207711"/>
    <w:rsid w:val="00214595"/>
    <w:rsid w:val="00217F94"/>
    <w:rsid w:val="002231D9"/>
    <w:rsid w:val="00224EB3"/>
    <w:rsid w:val="00225530"/>
    <w:rsid w:val="00232895"/>
    <w:rsid w:val="00233073"/>
    <w:rsid w:val="00233EC9"/>
    <w:rsid w:val="00234B5C"/>
    <w:rsid w:val="00235FDC"/>
    <w:rsid w:val="00241CB1"/>
    <w:rsid w:val="00245CD3"/>
    <w:rsid w:val="00245FCE"/>
    <w:rsid w:val="002464BA"/>
    <w:rsid w:val="002523BC"/>
    <w:rsid w:val="002537B2"/>
    <w:rsid w:val="0026107D"/>
    <w:rsid w:val="002611E2"/>
    <w:rsid w:val="002626A5"/>
    <w:rsid w:val="00264648"/>
    <w:rsid w:val="00266461"/>
    <w:rsid w:val="00270479"/>
    <w:rsid w:val="00274746"/>
    <w:rsid w:val="002756E2"/>
    <w:rsid w:val="0028435F"/>
    <w:rsid w:val="002909D2"/>
    <w:rsid w:val="00290C14"/>
    <w:rsid w:val="00290FE5"/>
    <w:rsid w:val="0029111C"/>
    <w:rsid w:val="00291D9B"/>
    <w:rsid w:val="00293666"/>
    <w:rsid w:val="002A1B82"/>
    <w:rsid w:val="002A1D13"/>
    <w:rsid w:val="002A32DD"/>
    <w:rsid w:val="002A70E9"/>
    <w:rsid w:val="002B3233"/>
    <w:rsid w:val="002B5063"/>
    <w:rsid w:val="002C205D"/>
    <w:rsid w:val="002C2620"/>
    <w:rsid w:val="002C6226"/>
    <w:rsid w:val="002C7218"/>
    <w:rsid w:val="002C7FBF"/>
    <w:rsid w:val="002D096C"/>
    <w:rsid w:val="002D2D94"/>
    <w:rsid w:val="002D42A1"/>
    <w:rsid w:val="002D7052"/>
    <w:rsid w:val="002E08BA"/>
    <w:rsid w:val="002F16FE"/>
    <w:rsid w:val="002F431E"/>
    <w:rsid w:val="002F44D5"/>
    <w:rsid w:val="002F4C35"/>
    <w:rsid w:val="002F58A5"/>
    <w:rsid w:val="002F608F"/>
    <w:rsid w:val="002F7209"/>
    <w:rsid w:val="002F774A"/>
    <w:rsid w:val="002F7B30"/>
    <w:rsid w:val="002F7CFC"/>
    <w:rsid w:val="00300126"/>
    <w:rsid w:val="0030202B"/>
    <w:rsid w:val="00302B20"/>
    <w:rsid w:val="0030716F"/>
    <w:rsid w:val="003119DE"/>
    <w:rsid w:val="0031288F"/>
    <w:rsid w:val="00312BA0"/>
    <w:rsid w:val="00313F3D"/>
    <w:rsid w:val="0031726E"/>
    <w:rsid w:val="00317FA3"/>
    <w:rsid w:val="0032088A"/>
    <w:rsid w:val="00320F94"/>
    <w:rsid w:val="003242FC"/>
    <w:rsid w:val="00325657"/>
    <w:rsid w:val="0032596A"/>
    <w:rsid w:val="00326739"/>
    <w:rsid w:val="003306D6"/>
    <w:rsid w:val="00331E3D"/>
    <w:rsid w:val="00333E9F"/>
    <w:rsid w:val="00337E6B"/>
    <w:rsid w:val="003403CE"/>
    <w:rsid w:val="003410E4"/>
    <w:rsid w:val="003423B4"/>
    <w:rsid w:val="003427DD"/>
    <w:rsid w:val="003438EE"/>
    <w:rsid w:val="0034482B"/>
    <w:rsid w:val="00344DD7"/>
    <w:rsid w:val="003532B5"/>
    <w:rsid w:val="00353AA2"/>
    <w:rsid w:val="0035584E"/>
    <w:rsid w:val="00357E66"/>
    <w:rsid w:val="00360765"/>
    <w:rsid w:val="00360B7C"/>
    <w:rsid w:val="003617BE"/>
    <w:rsid w:val="003657FD"/>
    <w:rsid w:val="003670EB"/>
    <w:rsid w:val="003727F5"/>
    <w:rsid w:val="00373625"/>
    <w:rsid w:val="00374DC2"/>
    <w:rsid w:val="00377631"/>
    <w:rsid w:val="00382E45"/>
    <w:rsid w:val="00384777"/>
    <w:rsid w:val="00386921"/>
    <w:rsid w:val="00387C51"/>
    <w:rsid w:val="003A4273"/>
    <w:rsid w:val="003A6B89"/>
    <w:rsid w:val="003A6D86"/>
    <w:rsid w:val="003A7557"/>
    <w:rsid w:val="003C0059"/>
    <w:rsid w:val="003C6856"/>
    <w:rsid w:val="003C7DFF"/>
    <w:rsid w:val="003D1A5B"/>
    <w:rsid w:val="003D2614"/>
    <w:rsid w:val="003D4151"/>
    <w:rsid w:val="003D50A7"/>
    <w:rsid w:val="003E1FDF"/>
    <w:rsid w:val="003E2124"/>
    <w:rsid w:val="003E34AE"/>
    <w:rsid w:val="003E3553"/>
    <w:rsid w:val="003E4B0F"/>
    <w:rsid w:val="003E4B97"/>
    <w:rsid w:val="003E5AB8"/>
    <w:rsid w:val="003E6032"/>
    <w:rsid w:val="003E6A9F"/>
    <w:rsid w:val="003E7078"/>
    <w:rsid w:val="003E756B"/>
    <w:rsid w:val="003F70DE"/>
    <w:rsid w:val="003F7D2C"/>
    <w:rsid w:val="003F7FDA"/>
    <w:rsid w:val="00401CDF"/>
    <w:rsid w:val="0040381C"/>
    <w:rsid w:val="004039D9"/>
    <w:rsid w:val="00406A0F"/>
    <w:rsid w:val="00410B9A"/>
    <w:rsid w:val="00412319"/>
    <w:rsid w:val="0041271D"/>
    <w:rsid w:val="00413804"/>
    <w:rsid w:val="00413B07"/>
    <w:rsid w:val="00414689"/>
    <w:rsid w:val="00416D75"/>
    <w:rsid w:val="00420DA7"/>
    <w:rsid w:val="00426749"/>
    <w:rsid w:val="0043127B"/>
    <w:rsid w:val="004412A0"/>
    <w:rsid w:val="00441367"/>
    <w:rsid w:val="004423E7"/>
    <w:rsid w:val="0044283D"/>
    <w:rsid w:val="00442ADA"/>
    <w:rsid w:val="004441BA"/>
    <w:rsid w:val="00445585"/>
    <w:rsid w:val="00456CC9"/>
    <w:rsid w:val="00460924"/>
    <w:rsid w:val="0046210A"/>
    <w:rsid w:val="00463A62"/>
    <w:rsid w:val="0046681C"/>
    <w:rsid w:val="004722F0"/>
    <w:rsid w:val="004728AF"/>
    <w:rsid w:val="00477BA6"/>
    <w:rsid w:val="004809AE"/>
    <w:rsid w:val="00480C15"/>
    <w:rsid w:val="004840F2"/>
    <w:rsid w:val="0048584E"/>
    <w:rsid w:val="00485D72"/>
    <w:rsid w:val="004902B6"/>
    <w:rsid w:val="00494839"/>
    <w:rsid w:val="004959A1"/>
    <w:rsid w:val="00496D06"/>
    <w:rsid w:val="004976DB"/>
    <w:rsid w:val="004A026B"/>
    <w:rsid w:val="004A1100"/>
    <w:rsid w:val="004A2925"/>
    <w:rsid w:val="004A37D0"/>
    <w:rsid w:val="004A38BE"/>
    <w:rsid w:val="004A48A7"/>
    <w:rsid w:val="004A4C7B"/>
    <w:rsid w:val="004A6EEB"/>
    <w:rsid w:val="004A78F2"/>
    <w:rsid w:val="004B0755"/>
    <w:rsid w:val="004B473B"/>
    <w:rsid w:val="004B4D7F"/>
    <w:rsid w:val="004C2210"/>
    <w:rsid w:val="004C2EEF"/>
    <w:rsid w:val="004C41E8"/>
    <w:rsid w:val="004C4ED4"/>
    <w:rsid w:val="004C66D5"/>
    <w:rsid w:val="004D0303"/>
    <w:rsid w:val="004D512A"/>
    <w:rsid w:val="004E28CE"/>
    <w:rsid w:val="004E67F1"/>
    <w:rsid w:val="004E6E4F"/>
    <w:rsid w:val="004F111A"/>
    <w:rsid w:val="004F33A7"/>
    <w:rsid w:val="004F5DBE"/>
    <w:rsid w:val="00500DB6"/>
    <w:rsid w:val="00501135"/>
    <w:rsid w:val="005036E8"/>
    <w:rsid w:val="0050790F"/>
    <w:rsid w:val="0050799A"/>
    <w:rsid w:val="005079AC"/>
    <w:rsid w:val="00511756"/>
    <w:rsid w:val="005133F7"/>
    <w:rsid w:val="0051386C"/>
    <w:rsid w:val="00514D54"/>
    <w:rsid w:val="00521BB5"/>
    <w:rsid w:val="00524DD3"/>
    <w:rsid w:val="00525638"/>
    <w:rsid w:val="00526154"/>
    <w:rsid w:val="005320C5"/>
    <w:rsid w:val="005328BD"/>
    <w:rsid w:val="00535BE8"/>
    <w:rsid w:val="00540FD0"/>
    <w:rsid w:val="00544164"/>
    <w:rsid w:val="005445EC"/>
    <w:rsid w:val="005507C0"/>
    <w:rsid w:val="0055267D"/>
    <w:rsid w:val="00555501"/>
    <w:rsid w:val="00556C4D"/>
    <w:rsid w:val="00557800"/>
    <w:rsid w:val="00563118"/>
    <w:rsid w:val="00564253"/>
    <w:rsid w:val="00564873"/>
    <w:rsid w:val="00564D2B"/>
    <w:rsid w:val="005652C2"/>
    <w:rsid w:val="0057014A"/>
    <w:rsid w:val="00571780"/>
    <w:rsid w:val="00574013"/>
    <w:rsid w:val="005748F3"/>
    <w:rsid w:val="0057623F"/>
    <w:rsid w:val="00580F14"/>
    <w:rsid w:val="00581301"/>
    <w:rsid w:val="005825A7"/>
    <w:rsid w:val="00582731"/>
    <w:rsid w:val="00595511"/>
    <w:rsid w:val="005A5243"/>
    <w:rsid w:val="005A6FF4"/>
    <w:rsid w:val="005B0B90"/>
    <w:rsid w:val="005B0EBB"/>
    <w:rsid w:val="005B11B2"/>
    <w:rsid w:val="005B1A90"/>
    <w:rsid w:val="005B314C"/>
    <w:rsid w:val="005B7DBF"/>
    <w:rsid w:val="005C0B4A"/>
    <w:rsid w:val="005C1755"/>
    <w:rsid w:val="005C2B57"/>
    <w:rsid w:val="005C2C2D"/>
    <w:rsid w:val="005C3A00"/>
    <w:rsid w:val="005C551B"/>
    <w:rsid w:val="005C5BC2"/>
    <w:rsid w:val="005C7118"/>
    <w:rsid w:val="005C7444"/>
    <w:rsid w:val="005C7709"/>
    <w:rsid w:val="005D03C9"/>
    <w:rsid w:val="005D4BF6"/>
    <w:rsid w:val="005D66C4"/>
    <w:rsid w:val="005E020E"/>
    <w:rsid w:val="005E0402"/>
    <w:rsid w:val="005E1FC3"/>
    <w:rsid w:val="005E2F3B"/>
    <w:rsid w:val="005E5996"/>
    <w:rsid w:val="005E7FE5"/>
    <w:rsid w:val="005F28A4"/>
    <w:rsid w:val="005F43B4"/>
    <w:rsid w:val="005F6DAD"/>
    <w:rsid w:val="0060079E"/>
    <w:rsid w:val="00604E61"/>
    <w:rsid w:val="006059CF"/>
    <w:rsid w:val="006204D0"/>
    <w:rsid w:val="00624810"/>
    <w:rsid w:val="00625F01"/>
    <w:rsid w:val="006271C0"/>
    <w:rsid w:val="00632F39"/>
    <w:rsid w:val="00634205"/>
    <w:rsid w:val="00640698"/>
    <w:rsid w:val="006409D2"/>
    <w:rsid w:val="0064262F"/>
    <w:rsid w:val="00643609"/>
    <w:rsid w:val="00643E0E"/>
    <w:rsid w:val="0064623E"/>
    <w:rsid w:val="00646D61"/>
    <w:rsid w:val="00647B2B"/>
    <w:rsid w:val="00653B99"/>
    <w:rsid w:val="006629AD"/>
    <w:rsid w:val="00662F23"/>
    <w:rsid w:val="0066767B"/>
    <w:rsid w:val="00675FB2"/>
    <w:rsid w:val="00676EE4"/>
    <w:rsid w:val="00677796"/>
    <w:rsid w:val="00677C67"/>
    <w:rsid w:val="00681A7D"/>
    <w:rsid w:val="00681B68"/>
    <w:rsid w:val="00681E18"/>
    <w:rsid w:val="00690DF8"/>
    <w:rsid w:val="006926FA"/>
    <w:rsid w:val="00694960"/>
    <w:rsid w:val="0069726E"/>
    <w:rsid w:val="006A2D5A"/>
    <w:rsid w:val="006A2DB8"/>
    <w:rsid w:val="006A7081"/>
    <w:rsid w:val="006B0F1A"/>
    <w:rsid w:val="006B15C7"/>
    <w:rsid w:val="006B77E1"/>
    <w:rsid w:val="006C0E90"/>
    <w:rsid w:val="006C2103"/>
    <w:rsid w:val="006C47CA"/>
    <w:rsid w:val="006C6453"/>
    <w:rsid w:val="006D059F"/>
    <w:rsid w:val="006D11C7"/>
    <w:rsid w:val="006D573C"/>
    <w:rsid w:val="006D57D3"/>
    <w:rsid w:val="006D7A39"/>
    <w:rsid w:val="006E0AAE"/>
    <w:rsid w:val="006E2078"/>
    <w:rsid w:val="006E63D6"/>
    <w:rsid w:val="006E6ED0"/>
    <w:rsid w:val="006E7A60"/>
    <w:rsid w:val="006F1617"/>
    <w:rsid w:val="006F1D66"/>
    <w:rsid w:val="006F4896"/>
    <w:rsid w:val="006F53D6"/>
    <w:rsid w:val="006F5454"/>
    <w:rsid w:val="006F5E32"/>
    <w:rsid w:val="006F65FA"/>
    <w:rsid w:val="006F7F15"/>
    <w:rsid w:val="0070449D"/>
    <w:rsid w:val="007054DB"/>
    <w:rsid w:val="00705D5F"/>
    <w:rsid w:val="00705F91"/>
    <w:rsid w:val="00711920"/>
    <w:rsid w:val="00712D2F"/>
    <w:rsid w:val="00713796"/>
    <w:rsid w:val="0071635E"/>
    <w:rsid w:val="00717169"/>
    <w:rsid w:val="00721F39"/>
    <w:rsid w:val="00725A0E"/>
    <w:rsid w:val="00726436"/>
    <w:rsid w:val="00726495"/>
    <w:rsid w:val="00730F20"/>
    <w:rsid w:val="00732DEC"/>
    <w:rsid w:val="00734BFD"/>
    <w:rsid w:val="00740B19"/>
    <w:rsid w:val="00742006"/>
    <w:rsid w:val="00742D66"/>
    <w:rsid w:val="00742FC7"/>
    <w:rsid w:val="007432C3"/>
    <w:rsid w:val="00746687"/>
    <w:rsid w:val="0075229D"/>
    <w:rsid w:val="00752F0E"/>
    <w:rsid w:val="0075332E"/>
    <w:rsid w:val="00757012"/>
    <w:rsid w:val="007629CE"/>
    <w:rsid w:val="00762CF6"/>
    <w:rsid w:val="00774641"/>
    <w:rsid w:val="00776DBB"/>
    <w:rsid w:val="007870B9"/>
    <w:rsid w:val="00790CD7"/>
    <w:rsid w:val="00792CC5"/>
    <w:rsid w:val="007A045B"/>
    <w:rsid w:val="007A26AA"/>
    <w:rsid w:val="007A3379"/>
    <w:rsid w:val="007A346D"/>
    <w:rsid w:val="007A4017"/>
    <w:rsid w:val="007A4C2C"/>
    <w:rsid w:val="007B0663"/>
    <w:rsid w:val="007B1AAB"/>
    <w:rsid w:val="007B1E3F"/>
    <w:rsid w:val="007B2213"/>
    <w:rsid w:val="007B22D7"/>
    <w:rsid w:val="007B724A"/>
    <w:rsid w:val="007C25C4"/>
    <w:rsid w:val="007C33BF"/>
    <w:rsid w:val="007C3A35"/>
    <w:rsid w:val="007C3D26"/>
    <w:rsid w:val="007C6450"/>
    <w:rsid w:val="007D0342"/>
    <w:rsid w:val="007D5564"/>
    <w:rsid w:val="007D5C89"/>
    <w:rsid w:val="007E1D48"/>
    <w:rsid w:val="007E3B5B"/>
    <w:rsid w:val="007E58C4"/>
    <w:rsid w:val="007F168B"/>
    <w:rsid w:val="007F3FD0"/>
    <w:rsid w:val="007F7891"/>
    <w:rsid w:val="00805C91"/>
    <w:rsid w:val="00807D60"/>
    <w:rsid w:val="00810C86"/>
    <w:rsid w:val="0081170B"/>
    <w:rsid w:val="00813A30"/>
    <w:rsid w:val="00817062"/>
    <w:rsid w:val="00817A3F"/>
    <w:rsid w:val="0082050C"/>
    <w:rsid w:val="00820825"/>
    <w:rsid w:val="00823457"/>
    <w:rsid w:val="00831DCC"/>
    <w:rsid w:val="00840F9C"/>
    <w:rsid w:val="008448DE"/>
    <w:rsid w:val="00846D8D"/>
    <w:rsid w:val="00847511"/>
    <w:rsid w:val="00852E88"/>
    <w:rsid w:val="008556E7"/>
    <w:rsid w:val="008574F6"/>
    <w:rsid w:val="00872C6B"/>
    <w:rsid w:val="00873618"/>
    <w:rsid w:val="00875D8D"/>
    <w:rsid w:val="0087658A"/>
    <w:rsid w:val="00877FD3"/>
    <w:rsid w:val="0088048F"/>
    <w:rsid w:val="00882C83"/>
    <w:rsid w:val="00882E66"/>
    <w:rsid w:val="00885A17"/>
    <w:rsid w:val="00887565"/>
    <w:rsid w:val="00890C28"/>
    <w:rsid w:val="00896C23"/>
    <w:rsid w:val="008A25E4"/>
    <w:rsid w:val="008A2C43"/>
    <w:rsid w:val="008A67C8"/>
    <w:rsid w:val="008A72A3"/>
    <w:rsid w:val="008A76D4"/>
    <w:rsid w:val="008A7D1A"/>
    <w:rsid w:val="008B13DC"/>
    <w:rsid w:val="008B145C"/>
    <w:rsid w:val="008B1E7F"/>
    <w:rsid w:val="008B2901"/>
    <w:rsid w:val="008B5DE5"/>
    <w:rsid w:val="008B601C"/>
    <w:rsid w:val="008C14D9"/>
    <w:rsid w:val="008C75C3"/>
    <w:rsid w:val="008D00A6"/>
    <w:rsid w:val="008D2243"/>
    <w:rsid w:val="008D275D"/>
    <w:rsid w:val="008D29AE"/>
    <w:rsid w:val="008D76F6"/>
    <w:rsid w:val="008E0367"/>
    <w:rsid w:val="008E1619"/>
    <w:rsid w:val="008E28D6"/>
    <w:rsid w:val="008E3D00"/>
    <w:rsid w:val="008E6F54"/>
    <w:rsid w:val="008F3247"/>
    <w:rsid w:val="008F3A6E"/>
    <w:rsid w:val="00900FDF"/>
    <w:rsid w:val="00905C4F"/>
    <w:rsid w:val="009127F7"/>
    <w:rsid w:val="00912A77"/>
    <w:rsid w:val="009130A5"/>
    <w:rsid w:val="009144C6"/>
    <w:rsid w:val="00914CC8"/>
    <w:rsid w:val="00915ACA"/>
    <w:rsid w:val="009161CF"/>
    <w:rsid w:val="0092137F"/>
    <w:rsid w:val="00923AE5"/>
    <w:rsid w:val="00924D85"/>
    <w:rsid w:val="00926024"/>
    <w:rsid w:val="00935D9D"/>
    <w:rsid w:val="009365F4"/>
    <w:rsid w:val="009369CB"/>
    <w:rsid w:val="009415F3"/>
    <w:rsid w:val="00942627"/>
    <w:rsid w:val="00946D51"/>
    <w:rsid w:val="009506FB"/>
    <w:rsid w:val="00953889"/>
    <w:rsid w:val="00955DF1"/>
    <w:rsid w:val="00955FD8"/>
    <w:rsid w:val="0096032C"/>
    <w:rsid w:val="00960D83"/>
    <w:rsid w:val="00961C69"/>
    <w:rsid w:val="00963C29"/>
    <w:rsid w:val="009657DA"/>
    <w:rsid w:val="00967F75"/>
    <w:rsid w:val="00971B4B"/>
    <w:rsid w:val="00973DF6"/>
    <w:rsid w:val="00973E7D"/>
    <w:rsid w:val="00975BDE"/>
    <w:rsid w:val="0098655E"/>
    <w:rsid w:val="009904F7"/>
    <w:rsid w:val="00990B5B"/>
    <w:rsid w:val="0099434F"/>
    <w:rsid w:val="00995226"/>
    <w:rsid w:val="00996BC5"/>
    <w:rsid w:val="009A081C"/>
    <w:rsid w:val="009A1CBA"/>
    <w:rsid w:val="009A2A1A"/>
    <w:rsid w:val="009A2F5F"/>
    <w:rsid w:val="009A5499"/>
    <w:rsid w:val="009A5AB1"/>
    <w:rsid w:val="009A5F65"/>
    <w:rsid w:val="009A62A7"/>
    <w:rsid w:val="009B0D37"/>
    <w:rsid w:val="009B3FFD"/>
    <w:rsid w:val="009B7769"/>
    <w:rsid w:val="009C1182"/>
    <w:rsid w:val="009C1EC9"/>
    <w:rsid w:val="009C2B40"/>
    <w:rsid w:val="009C3A63"/>
    <w:rsid w:val="009C502A"/>
    <w:rsid w:val="009C63C9"/>
    <w:rsid w:val="009C7850"/>
    <w:rsid w:val="009D015D"/>
    <w:rsid w:val="009D1BAD"/>
    <w:rsid w:val="009D37E0"/>
    <w:rsid w:val="009E0F0F"/>
    <w:rsid w:val="009E2C7B"/>
    <w:rsid w:val="009E43CD"/>
    <w:rsid w:val="009E703F"/>
    <w:rsid w:val="009E7456"/>
    <w:rsid w:val="009F0EE1"/>
    <w:rsid w:val="009F22B4"/>
    <w:rsid w:val="009F279B"/>
    <w:rsid w:val="009F3C9A"/>
    <w:rsid w:val="009F7102"/>
    <w:rsid w:val="00A00AEF"/>
    <w:rsid w:val="00A025D6"/>
    <w:rsid w:val="00A03E78"/>
    <w:rsid w:val="00A06139"/>
    <w:rsid w:val="00A07B36"/>
    <w:rsid w:val="00A101A3"/>
    <w:rsid w:val="00A123E9"/>
    <w:rsid w:val="00A12A7B"/>
    <w:rsid w:val="00A134E9"/>
    <w:rsid w:val="00A14BD1"/>
    <w:rsid w:val="00A14E2F"/>
    <w:rsid w:val="00A175BB"/>
    <w:rsid w:val="00A1769C"/>
    <w:rsid w:val="00A20122"/>
    <w:rsid w:val="00A201B2"/>
    <w:rsid w:val="00A20A4D"/>
    <w:rsid w:val="00A216AC"/>
    <w:rsid w:val="00A25D82"/>
    <w:rsid w:val="00A26035"/>
    <w:rsid w:val="00A2765B"/>
    <w:rsid w:val="00A27A05"/>
    <w:rsid w:val="00A30D4A"/>
    <w:rsid w:val="00A317AC"/>
    <w:rsid w:val="00A31AAA"/>
    <w:rsid w:val="00A35207"/>
    <w:rsid w:val="00A40923"/>
    <w:rsid w:val="00A43D63"/>
    <w:rsid w:val="00A44AAE"/>
    <w:rsid w:val="00A50D5C"/>
    <w:rsid w:val="00A541D4"/>
    <w:rsid w:val="00A566F5"/>
    <w:rsid w:val="00A57CD7"/>
    <w:rsid w:val="00A61156"/>
    <w:rsid w:val="00A63FD9"/>
    <w:rsid w:val="00A64A79"/>
    <w:rsid w:val="00A65363"/>
    <w:rsid w:val="00A66903"/>
    <w:rsid w:val="00A67C20"/>
    <w:rsid w:val="00A7203D"/>
    <w:rsid w:val="00A72641"/>
    <w:rsid w:val="00A758DD"/>
    <w:rsid w:val="00A76F7F"/>
    <w:rsid w:val="00A77D7D"/>
    <w:rsid w:val="00A81445"/>
    <w:rsid w:val="00A8231A"/>
    <w:rsid w:val="00A83846"/>
    <w:rsid w:val="00A83D4F"/>
    <w:rsid w:val="00A84BE8"/>
    <w:rsid w:val="00A85554"/>
    <w:rsid w:val="00A90D0C"/>
    <w:rsid w:val="00A9105E"/>
    <w:rsid w:val="00A91AB3"/>
    <w:rsid w:val="00A9275F"/>
    <w:rsid w:val="00A93194"/>
    <w:rsid w:val="00A9430B"/>
    <w:rsid w:val="00A952E9"/>
    <w:rsid w:val="00A97D59"/>
    <w:rsid w:val="00AB0AC3"/>
    <w:rsid w:val="00AB20CE"/>
    <w:rsid w:val="00AB430A"/>
    <w:rsid w:val="00AB70D0"/>
    <w:rsid w:val="00AB78E9"/>
    <w:rsid w:val="00AC0F1C"/>
    <w:rsid w:val="00AC7861"/>
    <w:rsid w:val="00AD1406"/>
    <w:rsid w:val="00AD2CF4"/>
    <w:rsid w:val="00AD7E95"/>
    <w:rsid w:val="00AE17FD"/>
    <w:rsid w:val="00AE3BAB"/>
    <w:rsid w:val="00AE511A"/>
    <w:rsid w:val="00AF29A6"/>
    <w:rsid w:val="00AF4B53"/>
    <w:rsid w:val="00B0290F"/>
    <w:rsid w:val="00B0499F"/>
    <w:rsid w:val="00B04E4C"/>
    <w:rsid w:val="00B05A4A"/>
    <w:rsid w:val="00B114BA"/>
    <w:rsid w:val="00B20144"/>
    <w:rsid w:val="00B243E6"/>
    <w:rsid w:val="00B260CC"/>
    <w:rsid w:val="00B26E48"/>
    <w:rsid w:val="00B277D1"/>
    <w:rsid w:val="00B27972"/>
    <w:rsid w:val="00B338AE"/>
    <w:rsid w:val="00B414F9"/>
    <w:rsid w:val="00B47D55"/>
    <w:rsid w:val="00B51236"/>
    <w:rsid w:val="00B5167D"/>
    <w:rsid w:val="00B574E8"/>
    <w:rsid w:val="00B60175"/>
    <w:rsid w:val="00B61B02"/>
    <w:rsid w:val="00B6392F"/>
    <w:rsid w:val="00B66D38"/>
    <w:rsid w:val="00B704AD"/>
    <w:rsid w:val="00B70991"/>
    <w:rsid w:val="00B71A86"/>
    <w:rsid w:val="00B758B2"/>
    <w:rsid w:val="00B76DBA"/>
    <w:rsid w:val="00B80C8D"/>
    <w:rsid w:val="00B81AB2"/>
    <w:rsid w:val="00B82FC9"/>
    <w:rsid w:val="00B87A01"/>
    <w:rsid w:val="00B87D8B"/>
    <w:rsid w:val="00B90D4F"/>
    <w:rsid w:val="00BA00C4"/>
    <w:rsid w:val="00BA4147"/>
    <w:rsid w:val="00BA4C8D"/>
    <w:rsid w:val="00BA5A0A"/>
    <w:rsid w:val="00BA7BE3"/>
    <w:rsid w:val="00BB121B"/>
    <w:rsid w:val="00BB192F"/>
    <w:rsid w:val="00BB4B95"/>
    <w:rsid w:val="00BB62CA"/>
    <w:rsid w:val="00BC0156"/>
    <w:rsid w:val="00BC0930"/>
    <w:rsid w:val="00BC16FC"/>
    <w:rsid w:val="00BC4C93"/>
    <w:rsid w:val="00BC7FF6"/>
    <w:rsid w:val="00BD1DB5"/>
    <w:rsid w:val="00BD33E1"/>
    <w:rsid w:val="00BD36AB"/>
    <w:rsid w:val="00BD6BB2"/>
    <w:rsid w:val="00BD6BBC"/>
    <w:rsid w:val="00BD7A75"/>
    <w:rsid w:val="00BE1094"/>
    <w:rsid w:val="00BE134B"/>
    <w:rsid w:val="00BE2602"/>
    <w:rsid w:val="00BE342B"/>
    <w:rsid w:val="00BF02AE"/>
    <w:rsid w:val="00BF0799"/>
    <w:rsid w:val="00BF1D4D"/>
    <w:rsid w:val="00BF3CBF"/>
    <w:rsid w:val="00BF418B"/>
    <w:rsid w:val="00BF4BAA"/>
    <w:rsid w:val="00BF65AE"/>
    <w:rsid w:val="00BF6F7E"/>
    <w:rsid w:val="00C00E56"/>
    <w:rsid w:val="00C02E34"/>
    <w:rsid w:val="00C03926"/>
    <w:rsid w:val="00C04D78"/>
    <w:rsid w:val="00C05038"/>
    <w:rsid w:val="00C057EE"/>
    <w:rsid w:val="00C061C5"/>
    <w:rsid w:val="00C0707E"/>
    <w:rsid w:val="00C1018E"/>
    <w:rsid w:val="00C113A4"/>
    <w:rsid w:val="00C1257C"/>
    <w:rsid w:val="00C15554"/>
    <w:rsid w:val="00C16449"/>
    <w:rsid w:val="00C20AE0"/>
    <w:rsid w:val="00C21746"/>
    <w:rsid w:val="00C2193C"/>
    <w:rsid w:val="00C21961"/>
    <w:rsid w:val="00C3049C"/>
    <w:rsid w:val="00C30E4D"/>
    <w:rsid w:val="00C31BEB"/>
    <w:rsid w:val="00C35A9C"/>
    <w:rsid w:val="00C404A2"/>
    <w:rsid w:val="00C40DA3"/>
    <w:rsid w:val="00C40EE7"/>
    <w:rsid w:val="00C415EA"/>
    <w:rsid w:val="00C41835"/>
    <w:rsid w:val="00C431F7"/>
    <w:rsid w:val="00C43900"/>
    <w:rsid w:val="00C44C7F"/>
    <w:rsid w:val="00C46E57"/>
    <w:rsid w:val="00C47A54"/>
    <w:rsid w:val="00C5104E"/>
    <w:rsid w:val="00C513ED"/>
    <w:rsid w:val="00C5329E"/>
    <w:rsid w:val="00C542BD"/>
    <w:rsid w:val="00C60A31"/>
    <w:rsid w:val="00C62E1A"/>
    <w:rsid w:val="00C631BA"/>
    <w:rsid w:val="00C63706"/>
    <w:rsid w:val="00C64AD8"/>
    <w:rsid w:val="00C64DFB"/>
    <w:rsid w:val="00C66DAB"/>
    <w:rsid w:val="00C72052"/>
    <w:rsid w:val="00C726D8"/>
    <w:rsid w:val="00C7342B"/>
    <w:rsid w:val="00C73BC3"/>
    <w:rsid w:val="00C74450"/>
    <w:rsid w:val="00C74508"/>
    <w:rsid w:val="00C75735"/>
    <w:rsid w:val="00C77BC9"/>
    <w:rsid w:val="00C77F9E"/>
    <w:rsid w:val="00C80980"/>
    <w:rsid w:val="00C82E05"/>
    <w:rsid w:val="00C8365C"/>
    <w:rsid w:val="00C842E0"/>
    <w:rsid w:val="00C850F3"/>
    <w:rsid w:val="00C86B8E"/>
    <w:rsid w:val="00C86EEB"/>
    <w:rsid w:val="00C86F4E"/>
    <w:rsid w:val="00C91E2B"/>
    <w:rsid w:val="00C92C0C"/>
    <w:rsid w:val="00C942C4"/>
    <w:rsid w:val="00C94BCB"/>
    <w:rsid w:val="00C956FB"/>
    <w:rsid w:val="00CA0C40"/>
    <w:rsid w:val="00CA22D3"/>
    <w:rsid w:val="00CA466E"/>
    <w:rsid w:val="00CB04D4"/>
    <w:rsid w:val="00CB1547"/>
    <w:rsid w:val="00CB2CCF"/>
    <w:rsid w:val="00CB2E31"/>
    <w:rsid w:val="00CB52DD"/>
    <w:rsid w:val="00CB56DD"/>
    <w:rsid w:val="00CB5913"/>
    <w:rsid w:val="00CB67F8"/>
    <w:rsid w:val="00CC1241"/>
    <w:rsid w:val="00CC75A3"/>
    <w:rsid w:val="00CD23C1"/>
    <w:rsid w:val="00CD3056"/>
    <w:rsid w:val="00CD49A9"/>
    <w:rsid w:val="00CD4D8B"/>
    <w:rsid w:val="00CD5DBA"/>
    <w:rsid w:val="00CD7BEA"/>
    <w:rsid w:val="00CE323C"/>
    <w:rsid w:val="00CE386E"/>
    <w:rsid w:val="00CE39AC"/>
    <w:rsid w:val="00CE5B54"/>
    <w:rsid w:val="00CF1D56"/>
    <w:rsid w:val="00CF44C2"/>
    <w:rsid w:val="00CF57EC"/>
    <w:rsid w:val="00CF5AFE"/>
    <w:rsid w:val="00CF5D5E"/>
    <w:rsid w:val="00CF6AEF"/>
    <w:rsid w:val="00CF74D9"/>
    <w:rsid w:val="00D009E1"/>
    <w:rsid w:val="00D01009"/>
    <w:rsid w:val="00D02A51"/>
    <w:rsid w:val="00D06AD7"/>
    <w:rsid w:val="00D121D0"/>
    <w:rsid w:val="00D14CCE"/>
    <w:rsid w:val="00D161D8"/>
    <w:rsid w:val="00D20F3C"/>
    <w:rsid w:val="00D21022"/>
    <w:rsid w:val="00D2310E"/>
    <w:rsid w:val="00D240E0"/>
    <w:rsid w:val="00D27B03"/>
    <w:rsid w:val="00D3121B"/>
    <w:rsid w:val="00D33DE4"/>
    <w:rsid w:val="00D40915"/>
    <w:rsid w:val="00D41D6D"/>
    <w:rsid w:val="00D429C5"/>
    <w:rsid w:val="00D43016"/>
    <w:rsid w:val="00D43F3E"/>
    <w:rsid w:val="00D46BB6"/>
    <w:rsid w:val="00D5321F"/>
    <w:rsid w:val="00D536A6"/>
    <w:rsid w:val="00D540B1"/>
    <w:rsid w:val="00D54A5C"/>
    <w:rsid w:val="00D56C51"/>
    <w:rsid w:val="00D6012D"/>
    <w:rsid w:val="00D60747"/>
    <w:rsid w:val="00D62ED3"/>
    <w:rsid w:val="00D64B45"/>
    <w:rsid w:val="00D71543"/>
    <w:rsid w:val="00D71EED"/>
    <w:rsid w:val="00D72F06"/>
    <w:rsid w:val="00D73BC6"/>
    <w:rsid w:val="00D7417F"/>
    <w:rsid w:val="00D753A7"/>
    <w:rsid w:val="00D80AC7"/>
    <w:rsid w:val="00D834E3"/>
    <w:rsid w:val="00D85B82"/>
    <w:rsid w:val="00D90722"/>
    <w:rsid w:val="00D907F4"/>
    <w:rsid w:val="00D94292"/>
    <w:rsid w:val="00D94B4F"/>
    <w:rsid w:val="00DA15A4"/>
    <w:rsid w:val="00DA4F54"/>
    <w:rsid w:val="00DA5D2D"/>
    <w:rsid w:val="00DA62FC"/>
    <w:rsid w:val="00DB0870"/>
    <w:rsid w:val="00DB1ACF"/>
    <w:rsid w:val="00DC34EB"/>
    <w:rsid w:val="00DC464C"/>
    <w:rsid w:val="00DC4D59"/>
    <w:rsid w:val="00DC5154"/>
    <w:rsid w:val="00DD636B"/>
    <w:rsid w:val="00DD642D"/>
    <w:rsid w:val="00DD6E24"/>
    <w:rsid w:val="00DD7D6D"/>
    <w:rsid w:val="00DE07A3"/>
    <w:rsid w:val="00DE2288"/>
    <w:rsid w:val="00DF17D4"/>
    <w:rsid w:val="00DF2819"/>
    <w:rsid w:val="00E034F3"/>
    <w:rsid w:val="00E03E72"/>
    <w:rsid w:val="00E04723"/>
    <w:rsid w:val="00E077C8"/>
    <w:rsid w:val="00E115EE"/>
    <w:rsid w:val="00E14900"/>
    <w:rsid w:val="00E15D32"/>
    <w:rsid w:val="00E16D36"/>
    <w:rsid w:val="00E21BD1"/>
    <w:rsid w:val="00E224D3"/>
    <w:rsid w:val="00E2398B"/>
    <w:rsid w:val="00E240F1"/>
    <w:rsid w:val="00E255DC"/>
    <w:rsid w:val="00E34642"/>
    <w:rsid w:val="00E3569A"/>
    <w:rsid w:val="00E36525"/>
    <w:rsid w:val="00E40ADC"/>
    <w:rsid w:val="00E40C0B"/>
    <w:rsid w:val="00E425B4"/>
    <w:rsid w:val="00E4260D"/>
    <w:rsid w:val="00E436B4"/>
    <w:rsid w:val="00E4594E"/>
    <w:rsid w:val="00E46391"/>
    <w:rsid w:val="00E470E1"/>
    <w:rsid w:val="00E50D76"/>
    <w:rsid w:val="00E51664"/>
    <w:rsid w:val="00E52ABF"/>
    <w:rsid w:val="00E53BC1"/>
    <w:rsid w:val="00E5492C"/>
    <w:rsid w:val="00E57BFF"/>
    <w:rsid w:val="00E64742"/>
    <w:rsid w:val="00E65734"/>
    <w:rsid w:val="00E65AB6"/>
    <w:rsid w:val="00E6699C"/>
    <w:rsid w:val="00E729D3"/>
    <w:rsid w:val="00E73D5D"/>
    <w:rsid w:val="00E75127"/>
    <w:rsid w:val="00E752C5"/>
    <w:rsid w:val="00E75306"/>
    <w:rsid w:val="00E75B95"/>
    <w:rsid w:val="00E774F4"/>
    <w:rsid w:val="00E80205"/>
    <w:rsid w:val="00E82A28"/>
    <w:rsid w:val="00E8584A"/>
    <w:rsid w:val="00E91DCA"/>
    <w:rsid w:val="00E958CC"/>
    <w:rsid w:val="00E9611A"/>
    <w:rsid w:val="00E976B6"/>
    <w:rsid w:val="00EA015F"/>
    <w:rsid w:val="00EA619B"/>
    <w:rsid w:val="00EB1904"/>
    <w:rsid w:val="00EB2528"/>
    <w:rsid w:val="00EB4179"/>
    <w:rsid w:val="00EB5D28"/>
    <w:rsid w:val="00EB61FB"/>
    <w:rsid w:val="00EB6761"/>
    <w:rsid w:val="00EC0193"/>
    <w:rsid w:val="00EC1108"/>
    <w:rsid w:val="00EC236D"/>
    <w:rsid w:val="00EC70EE"/>
    <w:rsid w:val="00ED1BB0"/>
    <w:rsid w:val="00ED2966"/>
    <w:rsid w:val="00ED2D00"/>
    <w:rsid w:val="00ED3D4E"/>
    <w:rsid w:val="00ED4481"/>
    <w:rsid w:val="00ED4D9B"/>
    <w:rsid w:val="00ED63A9"/>
    <w:rsid w:val="00ED6CFA"/>
    <w:rsid w:val="00EE2450"/>
    <w:rsid w:val="00EE485F"/>
    <w:rsid w:val="00EE4AAD"/>
    <w:rsid w:val="00EF038C"/>
    <w:rsid w:val="00EF130C"/>
    <w:rsid w:val="00EF2DB4"/>
    <w:rsid w:val="00EF469A"/>
    <w:rsid w:val="00EF4A7D"/>
    <w:rsid w:val="00EF5AA9"/>
    <w:rsid w:val="00EF6FB6"/>
    <w:rsid w:val="00F02E74"/>
    <w:rsid w:val="00F03402"/>
    <w:rsid w:val="00F041BD"/>
    <w:rsid w:val="00F07FAB"/>
    <w:rsid w:val="00F119E5"/>
    <w:rsid w:val="00F12E72"/>
    <w:rsid w:val="00F13599"/>
    <w:rsid w:val="00F136C9"/>
    <w:rsid w:val="00F14A60"/>
    <w:rsid w:val="00F2009E"/>
    <w:rsid w:val="00F2208F"/>
    <w:rsid w:val="00F22956"/>
    <w:rsid w:val="00F262EB"/>
    <w:rsid w:val="00F2670B"/>
    <w:rsid w:val="00F26E0E"/>
    <w:rsid w:val="00F27097"/>
    <w:rsid w:val="00F27701"/>
    <w:rsid w:val="00F27ADC"/>
    <w:rsid w:val="00F27B9B"/>
    <w:rsid w:val="00F30D04"/>
    <w:rsid w:val="00F310F9"/>
    <w:rsid w:val="00F31B3A"/>
    <w:rsid w:val="00F33DE8"/>
    <w:rsid w:val="00F35017"/>
    <w:rsid w:val="00F36F58"/>
    <w:rsid w:val="00F376A9"/>
    <w:rsid w:val="00F37FD4"/>
    <w:rsid w:val="00F401F0"/>
    <w:rsid w:val="00F42819"/>
    <w:rsid w:val="00F42D51"/>
    <w:rsid w:val="00F43599"/>
    <w:rsid w:val="00F43A4F"/>
    <w:rsid w:val="00F473D7"/>
    <w:rsid w:val="00F51933"/>
    <w:rsid w:val="00F52151"/>
    <w:rsid w:val="00F53863"/>
    <w:rsid w:val="00F5764F"/>
    <w:rsid w:val="00F61D17"/>
    <w:rsid w:val="00F639FB"/>
    <w:rsid w:val="00F67D7C"/>
    <w:rsid w:val="00F70597"/>
    <w:rsid w:val="00F727AD"/>
    <w:rsid w:val="00F7329B"/>
    <w:rsid w:val="00F7343C"/>
    <w:rsid w:val="00F7345A"/>
    <w:rsid w:val="00F734C1"/>
    <w:rsid w:val="00F8283C"/>
    <w:rsid w:val="00F82DB6"/>
    <w:rsid w:val="00F8395B"/>
    <w:rsid w:val="00F83D22"/>
    <w:rsid w:val="00F93011"/>
    <w:rsid w:val="00F93815"/>
    <w:rsid w:val="00F9591C"/>
    <w:rsid w:val="00FA08D6"/>
    <w:rsid w:val="00FA29A9"/>
    <w:rsid w:val="00FA41DC"/>
    <w:rsid w:val="00FA4CC9"/>
    <w:rsid w:val="00FA6C92"/>
    <w:rsid w:val="00FA7C23"/>
    <w:rsid w:val="00FB1D7B"/>
    <w:rsid w:val="00FB323D"/>
    <w:rsid w:val="00FB37D1"/>
    <w:rsid w:val="00FC13BC"/>
    <w:rsid w:val="00FD12A2"/>
    <w:rsid w:val="00FD3A7A"/>
    <w:rsid w:val="00FD53A6"/>
    <w:rsid w:val="00FD6038"/>
    <w:rsid w:val="00FD6AB0"/>
    <w:rsid w:val="00FD6FF0"/>
    <w:rsid w:val="00FE0684"/>
    <w:rsid w:val="00FE124F"/>
    <w:rsid w:val="00FE1D10"/>
    <w:rsid w:val="00FE3A82"/>
    <w:rsid w:val="00FE6552"/>
    <w:rsid w:val="00FE68FF"/>
    <w:rsid w:val="00FE6B06"/>
    <w:rsid w:val="00FE6CA1"/>
    <w:rsid w:val="00FE6D13"/>
    <w:rsid w:val="00FE7359"/>
    <w:rsid w:val="00FF06B5"/>
    <w:rsid w:val="00FF43A7"/>
    <w:rsid w:val="00FF48ED"/>
    <w:rsid w:val="00FF4DD0"/>
    <w:rsid w:val="00FF7053"/>
    <w:rsid w:val="00FF7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97"/>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A77D7D"/>
    <w:rPr>
      <w:sz w:val="24"/>
    </w:rPr>
  </w:style>
  <w:style w:type="paragraph" w:styleId="FootnoteText">
    <w:name w:val="footnote text"/>
    <w:basedOn w:val="Normal"/>
    <w:link w:val="FootnoteTextChar"/>
    <w:uiPriority w:val="99"/>
    <w:rsid w:val="00A77D7D"/>
    <w:pPr>
      <w:widowControl w:val="0"/>
      <w:ind w:firstLine="720"/>
    </w:pPr>
    <w:rPr>
      <w:rFonts w:ascii="Calibri" w:eastAsia="Calibri" w:hAnsi="Calibri"/>
    </w:rPr>
  </w:style>
  <w:style w:type="character" w:customStyle="1" w:styleId="FootnoteTextChar1">
    <w:name w:val="Footnote Text Char1"/>
    <w:uiPriority w:val="99"/>
    <w:semiHidden/>
    <w:rsid w:val="00A77D7D"/>
    <w:rPr>
      <w:rFonts w:ascii="Times New Roman" w:eastAsia="Times New Roman" w:hAnsi="Times New Roman"/>
    </w:rPr>
  </w:style>
  <w:style w:type="character" w:styleId="FootnoteReference">
    <w:name w:val="footnote reference"/>
    <w:uiPriority w:val="99"/>
    <w:semiHidden/>
    <w:rsid w:val="00A77D7D"/>
    <w:rPr>
      <w:vertAlign w:val="superscript"/>
    </w:rPr>
  </w:style>
  <w:style w:type="paragraph" w:customStyle="1" w:styleId="WPTitle">
    <w:name w:val="WP_Title"/>
    <w:basedOn w:val="Normal"/>
    <w:uiPriority w:val="99"/>
    <w:rsid w:val="00290C14"/>
    <w:pPr>
      <w:widowControl w:val="0"/>
      <w:jc w:val="center"/>
    </w:pPr>
    <w:rPr>
      <w:b/>
      <w:sz w:val="20"/>
    </w:rPr>
  </w:style>
  <w:style w:type="paragraph" w:styleId="Header">
    <w:name w:val="header"/>
    <w:basedOn w:val="Normal"/>
    <w:link w:val="HeaderChar"/>
    <w:uiPriority w:val="99"/>
    <w:unhideWhenUsed/>
    <w:rsid w:val="0092137F"/>
    <w:pPr>
      <w:tabs>
        <w:tab w:val="center" w:pos="4680"/>
        <w:tab w:val="right" w:pos="9360"/>
      </w:tabs>
    </w:pPr>
  </w:style>
  <w:style w:type="character" w:customStyle="1" w:styleId="HeaderChar">
    <w:name w:val="Header Char"/>
    <w:link w:val="Header"/>
    <w:uiPriority w:val="99"/>
    <w:rsid w:val="0092137F"/>
    <w:rPr>
      <w:rFonts w:ascii="Times New Roman" w:eastAsia="Times New Roman" w:hAnsi="Times New Roman"/>
      <w:sz w:val="24"/>
    </w:rPr>
  </w:style>
  <w:style w:type="paragraph" w:styleId="Footer">
    <w:name w:val="footer"/>
    <w:basedOn w:val="Normal"/>
    <w:link w:val="FooterChar"/>
    <w:uiPriority w:val="99"/>
    <w:unhideWhenUsed/>
    <w:rsid w:val="0092137F"/>
    <w:pPr>
      <w:tabs>
        <w:tab w:val="center" w:pos="4680"/>
        <w:tab w:val="right" w:pos="9360"/>
      </w:tabs>
    </w:pPr>
  </w:style>
  <w:style w:type="character" w:customStyle="1" w:styleId="FooterChar">
    <w:name w:val="Footer Char"/>
    <w:link w:val="Footer"/>
    <w:uiPriority w:val="99"/>
    <w:rsid w:val="0092137F"/>
    <w:rPr>
      <w:rFonts w:ascii="Times New Roman" w:eastAsia="Times New Roman" w:hAnsi="Times New Roman"/>
      <w:sz w:val="24"/>
    </w:rPr>
  </w:style>
  <w:style w:type="paragraph" w:styleId="BalloonText">
    <w:name w:val="Balloon Text"/>
    <w:basedOn w:val="Normal"/>
    <w:link w:val="BalloonTextChar"/>
    <w:uiPriority w:val="99"/>
    <w:semiHidden/>
    <w:unhideWhenUsed/>
    <w:rsid w:val="00180677"/>
    <w:rPr>
      <w:rFonts w:ascii="Tahoma" w:hAnsi="Tahoma" w:cs="Tahoma"/>
      <w:sz w:val="16"/>
      <w:szCs w:val="16"/>
    </w:rPr>
  </w:style>
  <w:style w:type="character" w:customStyle="1" w:styleId="BalloonTextChar">
    <w:name w:val="Balloon Text Char"/>
    <w:link w:val="BalloonText"/>
    <w:uiPriority w:val="99"/>
    <w:semiHidden/>
    <w:rsid w:val="00180677"/>
    <w:rPr>
      <w:rFonts w:ascii="Tahoma" w:eastAsia="Times New Roman" w:hAnsi="Tahoma" w:cs="Tahoma"/>
      <w:sz w:val="16"/>
      <w:szCs w:val="16"/>
    </w:rPr>
  </w:style>
  <w:style w:type="paragraph" w:customStyle="1" w:styleId="ColorfulList-Accent11">
    <w:name w:val="Colorful List - Accent 11"/>
    <w:basedOn w:val="Normal"/>
    <w:uiPriority w:val="34"/>
    <w:qFormat/>
    <w:rsid w:val="009A2F5F"/>
    <w:pPr>
      <w:widowControl w:val="0"/>
      <w:autoSpaceDE w:val="0"/>
      <w:autoSpaceDN w:val="0"/>
      <w:adjustRightInd w:val="0"/>
      <w:ind w:left="720"/>
      <w:contextualSpacing/>
    </w:pPr>
    <w:rPr>
      <w:szCs w:val="24"/>
    </w:rPr>
  </w:style>
  <w:style w:type="character" w:styleId="Hyperlink">
    <w:name w:val="Hyperlink"/>
    <w:uiPriority w:val="99"/>
    <w:unhideWhenUsed/>
    <w:rsid w:val="00DC464C"/>
    <w:rPr>
      <w:color w:val="0000FF"/>
      <w:u w:val="single"/>
    </w:rPr>
  </w:style>
  <w:style w:type="paragraph" w:styleId="DocumentMap">
    <w:name w:val="Document Map"/>
    <w:basedOn w:val="Normal"/>
    <w:link w:val="DocumentMapChar"/>
    <w:uiPriority w:val="99"/>
    <w:semiHidden/>
    <w:unhideWhenUsed/>
    <w:rsid w:val="0040381C"/>
    <w:rPr>
      <w:rFonts w:ascii="Tahoma" w:hAnsi="Tahoma" w:cs="Tahoma"/>
      <w:sz w:val="16"/>
      <w:szCs w:val="16"/>
    </w:rPr>
  </w:style>
  <w:style w:type="character" w:customStyle="1" w:styleId="DocumentMapChar">
    <w:name w:val="Document Map Char"/>
    <w:link w:val="DocumentMap"/>
    <w:uiPriority w:val="99"/>
    <w:semiHidden/>
    <w:rsid w:val="0040381C"/>
    <w:rPr>
      <w:rFonts w:ascii="Tahoma" w:eastAsia="Times New Roman" w:hAnsi="Tahoma" w:cs="Tahoma"/>
      <w:sz w:val="16"/>
      <w:szCs w:val="16"/>
    </w:rPr>
  </w:style>
  <w:style w:type="character" w:customStyle="1" w:styleId="searchterm">
    <w:name w:val="searchterm"/>
    <w:rsid w:val="00107277"/>
  </w:style>
  <w:style w:type="character" w:customStyle="1" w:styleId="starpage">
    <w:name w:val="starpage"/>
    <w:rsid w:val="00217F94"/>
  </w:style>
  <w:style w:type="paragraph" w:styleId="PlainText">
    <w:name w:val="Plain Text"/>
    <w:basedOn w:val="Normal"/>
    <w:link w:val="PlainTextChar"/>
    <w:uiPriority w:val="99"/>
    <w:unhideWhenUsed/>
    <w:rsid w:val="006F7F15"/>
    <w:rPr>
      <w:rFonts w:ascii="Calibri" w:eastAsia="Calibri" w:hAnsi="Calibri"/>
      <w:sz w:val="22"/>
      <w:szCs w:val="21"/>
    </w:rPr>
  </w:style>
  <w:style w:type="character" w:customStyle="1" w:styleId="PlainTextChar">
    <w:name w:val="Plain Text Char"/>
    <w:link w:val="PlainText"/>
    <w:uiPriority w:val="99"/>
    <w:rsid w:val="006F7F15"/>
    <w:rPr>
      <w:sz w:val="22"/>
      <w:szCs w:val="21"/>
    </w:rPr>
  </w:style>
  <w:style w:type="paragraph" w:customStyle="1" w:styleId="QuickA">
    <w:name w:val="Quick A."/>
    <w:uiPriority w:val="99"/>
    <w:rsid w:val="00F734C1"/>
    <w:pPr>
      <w:autoSpaceDE w:val="0"/>
      <w:autoSpaceDN w:val="0"/>
      <w:adjustRightInd w:val="0"/>
      <w:ind w:left="-1440"/>
    </w:pPr>
    <w:rPr>
      <w:rFonts w:ascii="Courier New" w:hAnsi="Courier New" w:cs="Courier New"/>
      <w:sz w:val="24"/>
      <w:szCs w:val="24"/>
    </w:rPr>
  </w:style>
  <w:style w:type="paragraph" w:customStyle="1" w:styleId="Normal--indent">
    <w:name w:val="Normal--indent"/>
    <w:basedOn w:val="Normal"/>
    <w:qFormat/>
    <w:rsid w:val="00564253"/>
    <w:pPr>
      <w:ind w:firstLine="540"/>
    </w:pPr>
    <w:rPr>
      <w:rFonts w:eastAsia="PMingLiU"/>
      <w:szCs w:val="22"/>
    </w:rPr>
  </w:style>
  <w:style w:type="paragraph" w:styleId="Caption">
    <w:name w:val="caption"/>
    <w:basedOn w:val="Normal"/>
    <w:next w:val="Normal"/>
    <w:uiPriority w:val="35"/>
    <w:semiHidden/>
    <w:unhideWhenUsed/>
    <w:qFormat/>
    <w:rsid w:val="00564253"/>
    <w:pPr>
      <w:spacing w:after="200"/>
      <w:jc w:val="both"/>
    </w:pPr>
    <w:rPr>
      <w:b/>
      <w:bCs/>
      <w:color w:val="4F81BD"/>
      <w:sz w:val="18"/>
      <w:szCs w:val="18"/>
    </w:rPr>
  </w:style>
  <w:style w:type="character" w:styleId="CommentReference">
    <w:name w:val="annotation reference"/>
    <w:basedOn w:val="DefaultParagraphFont"/>
    <w:uiPriority w:val="99"/>
    <w:semiHidden/>
    <w:unhideWhenUsed/>
    <w:rsid w:val="0031726E"/>
    <w:rPr>
      <w:sz w:val="16"/>
      <w:szCs w:val="16"/>
    </w:rPr>
  </w:style>
  <w:style w:type="paragraph" w:styleId="CommentText">
    <w:name w:val="annotation text"/>
    <w:basedOn w:val="Normal"/>
    <w:link w:val="CommentTextChar"/>
    <w:uiPriority w:val="99"/>
    <w:semiHidden/>
    <w:unhideWhenUsed/>
    <w:rsid w:val="0031726E"/>
    <w:rPr>
      <w:sz w:val="20"/>
    </w:rPr>
  </w:style>
  <w:style w:type="character" w:customStyle="1" w:styleId="CommentTextChar">
    <w:name w:val="Comment Text Char"/>
    <w:basedOn w:val="DefaultParagraphFont"/>
    <w:link w:val="CommentText"/>
    <w:uiPriority w:val="99"/>
    <w:semiHidden/>
    <w:rsid w:val="003172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1726E"/>
    <w:rPr>
      <w:b/>
      <w:bCs/>
    </w:rPr>
  </w:style>
  <w:style w:type="character" w:customStyle="1" w:styleId="CommentSubjectChar">
    <w:name w:val="Comment Subject Char"/>
    <w:basedOn w:val="CommentTextChar"/>
    <w:link w:val="CommentSubject"/>
    <w:uiPriority w:val="99"/>
    <w:semiHidden/>
    <w:rsid w:val="0031726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97"/>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rsid w:val="00A77D7D"/>
    <w:rPr>
      <w:sz w:val="24"/>
    </w:rPr>
  </w:style>
  <w:style w:type="paragraph" w:styleId="FootnoteText">
    <w:name w:val="footnote text"/>
    <w:basedOn w:val="Normal"/>
    <w:link w:val="FootnoteTextChar"/>
    <w:uiPriority w:val="99"/>
    <w:rsid w:val="00A77D7D"/>
    <w:pPr>
      <w:widowControl w:val="0"/>
      <w:ind w:firstLine="720"/>
    </w:pPr>
    <w:rPr>
      <w:rFonts w:ascii="Calibri" w:eastAsia="Calibri" w:hAnsi="Calibri"/>
    </w:rPr>
  </w:style>
  <w:style w:type="character" w:customStyle="1" w:styleId="FootnoteTextChar1">
    <w:name w:val="Footnote Text Char1"/>
    <w:uiPriority w:val="99"/>
    <w:semiHidden/>
    <w:rsid w:val="00A77D7D"/>
    <w:rPr>
      <w:rFonts w:ascii="Times New Roman" w:eastAsia="Times New Roman" w:hAnsi="Times New Roman"/>
    </w:rPr>
  </w:style>
  <w:style w:type="character" w:styleId="FootnoteReference">
    <w:name w:val="footnote reference"/>
    <w:uiPriority w:val="99"/>
    <w:semiHidden/>
    <w:rsid w:val="00A77D7D"/>
    <w:rPr>
      <w:vertAlign w:val="superscript"/>
    </w:rPr>
  </w:style>
  <w:style w:type="paragraph" w:customStyle="1" w:styleId="WPTitle">
    <w:name w:val="WP_Title"/>
    <w:basedOn w:val="Normal"/>
    <w:uiPriority w:val="99"/>
    <w:rsid w:val="00290C14"/>
    <w:pPr>
      <w:widowControl w:val="0"/>
      <w:jc w:val="center"/>
    </w:pPr>
    <w:rPr>
      <w:b/>
      <w:sz w:val="20"/>
    </w:rPr>
  </w:style>
  <w:style w:type="paragraph" w:styleId="Header">
    <w:name w:val="header"/>
    <w:basedOn w:val="Normal"/>
    <w:link w:val="HeaderChar"/>
    <w:uiPriority w:val="99"/>
    <w:unhideWhenUsed/>
    <w:rsid w:val="0092137F"/>
    <w:pPr>
      <w:tabs>
        <w:tab w:val="center" w:pos="4680"/>
        <w:tab w:val="right" w:pos="9360"/>
      </w:tabs>
    </w:pPr>
  </w:style>
  <w:style w:type="character" w:customStyle="1" w:styleId="HeaderChar">
    <w:name w:val="Header Char"/>
    <w:link w:val="Header"/>
    <w:uiPriority w:val="99"/>
    <w:rsid w:val="0092137F"/>
    <w:rPr>
      <w:rFonts w:ascii="Times New Roman" w:eastAsia="Times New Roman" w:hAnsi="Times New Roman"/>
      <w:sz w:val="24"/>
    </w:rPr>
  </w:style>
  <w:style w:type="paragraph" w:styleId="Footer">
    <w:name w:val="footer"/>
    <w:basedOn w:val="Normal"/>
    <w:link w:val="FooterChar"/>
    <w:uiPriority w:val="99"/>
    <w:unhideWhenUsed/>
    <w:rsid w:val="0092137F"/>
    <w:pPr>
      <w:tabs>
        <w:tab w:val="center" w:pos="4680"/>
        <w:tab w:val="right" w:pos="9360"/>
      </w:tabs>
    </w:pPr>
  </w:style>
  <w:style w:type="character" w:customStyle="1" w:styleId="FooterChar">
    <w:name w:val="Footer Char"/>
    <w:link w:val="Footer"/>
    <w:uiPriority w:val="99"/>
    <w:rsid w:val="0092137F"/>
    <w:rPr>
      <w:rFonts w:ascii="Times New Roman" w:eastAsia="Times New Roman" w:hAnsi="Times New Roman"/>
      <w:sz w:val="24"/>
    </w:rPr>
  </w:style>
  <w:style w:type="paragraph" w:styleId="BalloonText">
    <w:name w:val="Balloon Text"/>
    <w:basedOn w:val="Normal"/>
    <w:link w:val="BalloonTextChar"/>
    <w:uiPriority w:val="99"/>
    <w:semiHidden/>
    <w:unhideWhenUsed/>
    <w:rsid w:val="00180677"/>
    <w:rPr>
      <w:rFonts w:ascii="Tahoma" w:hAnsi="Tahoma" w:cs="Tahoma"/>
      <w:sz w:val="16"/>
      <w:szCs w:val="16"/>
    </w:rPr>
  </w:style>
  <w:style w:type="character" w:customStyle="1" w:styleId="BalloonTextChar">
    <w:name w:val="Balloon Text Char"/>
    <w:link w:val="BalloonText"/>
    <w:uiPriority w:val="99"/>
    <w:semiHidden/>
    <w:rsid w:val="00180677"/>
    <w:rPr>
      <w:rFonts w:ascii="Tahoma" w:eastAsia="Times New Roman" w:hAnsi="Tahoma" w:cs="Tahoma"/>
      <w:sz w:val="16"/>
      <w:szCs w:val="16"/>
    </w:rPr>
  </w:style>
  <w:style w:type="paragraph" w:customStyle="1" w:styleId="ColorfulList-Accent11">
    <w:name w:val="Colorful List - Accent 11"/>
    <w:basedOn w:val="Normal"/>
    <w:uiPriority w:val="34"/>
    <w:qFormat/>
    <w:rsid w:val="009A2F5F"/>
    <w:pPr>
      <w:widowControl w:val="0"/>
      <w:autoSpaceDE w:val="0"/>
      <w:autoSpaceDN w:val="0"/>
      <w:adjustRightInd w:val="0"/>
      <w:ind w:left="720"/>
      <w:contextualSpacing/>
    </w:pPr>
    <w:rPr>
      <w:szCs w:val="24"/>
    </w:rPr>
  </w:style>
  <w:style w:type="character" w:styleId="Hyperlink">
    <w:name w:val="Hyperlink"/>
    <w:uiPriority w:val="99"/>
    <w:unhideWhenUsed/>
    <w:rsid w:val="00DC464C"/>
    <w:rPr>
      <w:color w:val="0000FF"/>
      <w:u w:val="single"/>
    </w:rPr>
  </w:style>
  <w:style w:type="paragraph" w:styleId="DocumentMap">
    <w:name w:val="Document Map"/>
    <w:basedOn w:val="Normal"/>
    <w:link w:val="DocumentMapChar"/>
    <w:uiPriority w:val="99"/>
    <w:semiHidden/>
    <w:unhideWhenUsed/>
    <w:rsid w:val="0040381C"/>
    <w:rPr>
      <w:rFonts w:ascii="Tahoma" w:hAnsi="Tahoma" w:cs="Tahoma"/>
      <w:sz w:val="16"/>
      <w:szCs w:val="16"/>
    </w:rPr>
  </w:style>
  <w:style w:type="character" w:customStyle="1" w:styleId="DocumentMapChar">
    <w:name w:val="Document Map Char"/>
    <w:link w:val="DocumentMap"/>
    <w:uiPriority w:val="99"/>
    <w:semiHidden/>
    <w:rsid w:val="0040381C"/>
    <w:rPr>
      <w:rFonts w:ascii="Tahoma" w:eastAsia="Times New Roman" w:hAnsi="Tahoma" w:cs="Tahoma"/>
      <w:sz w:val="16"/>
      <w:szCs w:val="16"/>
    </w:rPr>
  </w:style>
  <w:style w:type="character" w:customStyle="1" w:styleId="searchterm">
    <w:name w:val="searchterm"/>
    <w:rsid w:val="00107277"/>
  </w:style>
  <w:style w:type="character" w:customStyle="1" w:styleId="starpage">
    <w:name w:val="starpage"/>
    <w:rsid w:val="00217F94"/>
  </w:style>
  <w:style w:type="paragraph" w:styleId="PlainText">
    <w:name w:val="Plain Text"/>
    <w:basedOn w:val="Normal"/>
    <w:link w:val="PlainTextChar"/>
    <w:uiPriority w:val="99"/>
    <w:unhideWhenUsed/>
    <w:rsid w:val="006F7F15"/>
    <w:rPr>
      <w:rFonts w:ascii="Calibri" w:eastAsia="Calibri" w:hAnsi="Calibri"/>
      <w:sz w:val="22"/>
      <w:szCs w:val="21"/>
    </w:rPr>
  </w:style>
  <w:style w:type="character" w:customStyle="1" w:styleId="PlainTextChar">
    <w:name w:val="Plain Text Char"/>
    <w:link w:val="PlainText"/>
    <w:uiPriority w:val="99"/>
    <w:rsid w:val="006F7F15"/>
    <w:rPr>
      <w:sz w:val="22"/>
      <w:szCs w:val="21"/>
    </w:rPr>
  </w:style>
  <w:style w:type="paragraph" w:customStyle="1" w:styleId="QuickA">
    <w:name w:val="Quick A."/>
    <w:uiPriority w:val="99"/>
    <w:rsid w:val="00F734C1"/>
    <w:pPr>
      <w:autoSpaceDE w:val="0"/>
      <w:autoSpaceDN w:val="0"/>
      <w:adjustRightInd w:val="0"/>
      <w:ind w:left="-1440"/>
    </w:pPr>
    <w:rPr>
      <w:rFonts w:ascii="Courier New" w:hAnsi="Courier New" w:cs="Courier New"/>
      <w:sz w:val="24"/>
      <w:szCs w:val="24"/>
    </w:rPr>
  </w:style>
  <w:style w:type="paragraph" w:customStyle="1" w:styleId="Normal--indent">
    <w:name w:val="Normal--indent"/>
    <w:basedOn w:val="Normal"/>
    <w:qFormat/>
    <w:rsid w:val="00564253"/>
    <w:pPr>
      <w:ind w:firstLine="540"/>
    </w:pPr>
    <w:rPr>
      <w:rFonts w:eastAsia="PMingLiU"/>
      <w:szCs w:val="22"/>
    </w:rPr>
  </w:style>
  <w:style w:type="paragraph" w:styleId="Caption">
    <w:name w:val="caption"/>
    <w:basedOn w:val="Normal"/>
    <w:next w:val="Normal"/>
    <w:uiPriority w:val="35"/>
    <w:semiHidden/>
    <w:unhideWhenUsed/>
    <w:qFormat/>
    <w:rsid w:val="00564253"/>
    <w:pPr>
      <w:spacing w:after="200"/>
      <w:jc w:val="both"/>
    </w:pPr>
    <w:rPr>
      <w:b/>
      <w:bCs/>
      <w:color w:val="4F81BD"/>
      <w:sz w:val="18"/>
      <w:szCs w:val="18"/>
    </w:rPr>
  </w:style>
  <w:style w:type="character" w:styleId="CommentReference">
    <w:name w:val="annotation reference"/>
    <w:basedOn w:val="DefaultParagraphFont"/>
    <w:uiPriority w:val="99"/>
    <w:semiHidden/>
    <w:unhideWhenUsed/>
    <w:rsid w:val="0031726E"/>
    <w:rPr>
      <w:sz w:val="16"/>
      <w:szCs w:val="16"/>
    </w:rPr>
  </w:style>
  <w:style w:type="paragraph" w:styleId="CommentText">
    <w:name w:val="annotation text"/>
    <w:basedOn w:val="Normal"/>
    <w:link w:val="CommentTextChar"/>
    <w:uiPriority w:val="99"/>
    <w:semiHidden/>
    <w:unhideWhenUsed/>
    <w:rsid w:val="0031726E"/>
    <w:rPr>
      <w:sz w:val="20"/>
    </w:rPr>
  </w:style>
  <w:style w:type="character" w:customStyle="1" w:styleId="CommentTextChar">
    <w:name w:val="Comment Text Char"/>
    <w:basedOn w:val="DefaultParagraphFont"/>
    <w:link w:val="CommentText"/>
    <w:uiPriority w:val="99"/>
    <w:semiHidden/>
    <w:rsid w:val="003172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1726E"/>
    <w:rPr>
      <w:b/>
      <w:bCs/>
    </w:rPr>
  </w:style>
  <w:style w:type="character" w:customStyle="1" w:styleId="CommentSubjectChar">
    <w:name w:val="Comment Subject Char"/>
    <w:basedOn w:val="CommentTextChar"/>
    <w:link w:val="CommentSubject"/>
    <w:uiPriority w:val="99"/>
    <w:semiHidden/>
    <w:rsid w:val="0031726E"/>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00165879">
      <w:bodyDiv w:val="1"/>
      <w:marLeft w:val="0"/>
      <w:marRight w:val="0"/>
      <w:marTop w:val="0"/>
      <w:marBottom w:val="0"/>
      <w:divBdr>
        <w:top w:val="none" w:sz="0" w:space="0" w:color="auto"/>
        <w:left w:val="none" w:sz="0" w:space="0" w:color="auto"/>
        <w:bottom w:val="none" w:sz="0" w:space="0" w:color="auto"/>
        <w:right w:val="none" w:sz="0" w:space="0" w:color="auto"/>
      </w:divBdr>
    </w:div>
    <w:div w:id="801115676">
      <w:bodyDiv w:val="1"/>
      <w:marLeft w:val="0"/>
      <w:marRight w:val="0"/>
      <w:marTop w:val="0"/>
      <w:marBottom w:val="0"/>
      <w:divBdr>
        <w:top w:val="none" w:sz="0" w:space="0" w:color="auto"/>
        <w:left w:val="none" w:sz="0" w:space="0" w:color="auto"/>
        <w:bottom w:val="none" w:sz="0" w:space="0" w:color="auto"/>
        <w:right w:val="none" w:sz="0" w:space="0" w:color="auto"/>
      </w:divBdr>
    </w:div>
    <w:div w:id="855659604">
      <w:bodyDiv w:val="1"/>
      <w:marLeft w:val="0"/>
      <w:marRight w:val="0"/>
      <w:marTop w:val="0"/>
      <w:marBottom w:val="0"/>
      <w:divBdr>
        <w:top w:val="none" w:sz="0" w:space="0" w:color="auto"/>
        <w:left w:val="none" w:sz="0" w:space="0" w:color="auto"/>
        <w:bottom w:val="none" w:sz="0" w:space="0" w:color="auto"/>
        <w:right w:val="none" w:sz="0" w:space="0" w:color="auto"/>
      </w:divBdr>
      <w:divsChild>
        <w:div w:id="827289329">
          <w:marLeft w:val="48"/>
          <w:marRight w:val="0"/>
          <w:marTop w:val="0"/>
          <w:marBottom w:val="0"/>
          <w:divBdr>
            <w:top w:val="none" w:sz="0" w:space="0" w:color="auto"/>
            <w:left w:val="none" w:sz="0" w:space="0" w:color="auto"/>
            <w:bottom w:val="none" w:sz="0" w:space="0" w:color="auto"/>
            <w:right w:val="none" w:sz="0" w:space="0" w:color="auto"/>
          </w:divBdr>
        </w:div>
      </w:divsChild>
    </w:div>
    <w:div w:id="1692295887">
      <w:bodyDiv w:val="1"/>
      <w:marLeft w:val="0"/>
      <w:marRight w:val="0"/>
      <w:marTop w:val="0"/>
      <w:marBottom w:val="0"/>
      <w:divBdr>
        <w:top w:val="none" w:sz="0" w:space="0" w:color="auto"/>
        <w:left w:val="none" w:sz="0" w:space="0" w:color="auto"/>
        <w:bottom w:val="none" w:sz="0" w:space="0" w:color="auto"/>
        <w:right w:val="none" w:sz="0" w:space="0" w:color="auto"/>
      </w:divBdr>
      <w:divsChild>
        <w:div w:id="2120098354">
          <w:marLeft w:val="48"/>
          <w:marRight w:val="0"/>
          <w:marTop w:val="0"/>
          <w:marBottom w:val="0"/>
          <w:divBdr>
            <w:top w:val="none" w:sz="0" w:space="0" w:color="auto"/>
            <w:left w:val="none" w:sz="0" w:space="0" w:color="auto"/>
            <w:bottom w:val="none" w:sz="0" w:space="0" w:color="auto"/>
            <w:right w:val="none" w:sz="0" w:space="0" w:color="auto"/>
          </w:divBdr>
          <w:divsChild>
            <w:div w:id="191654082">
              <w:marLeft w:val="0"/>
              <w:marRight w:val="0"/>
              <w:marTop w:val="0"/>
              <w:marBottom w:val="0"/>
              <w:divBdr>
                <w:top w:val="none" w:sz="0" w:space="0" w:color="auto"/>
                <w:left w:val="none" w:sz="0" w:space="0" w:color="auto"/>
                <w:bottom w:val="none" w:sz="0" w:space="0" w:color="auto"/>
                <w:right w:val="none" w:sz="0" w:space="0" w:color="auto"/>
              </w:divBdr>
            </w:div>
            <w:div w:id="10533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6279">
      <w:bodyDiv w:val="1"/>
      <w:marLeft w:val="0"/>
      <w:marRight w:val="0"/>
      <w:marTop w:val="0"/>
      <w:marBottom w:val="0"/>
      <w:divBdr>
        <w:top w:val="none" w:sz="0" w:space="0" w:color="auto"/>
        <w:left w:val="none" w:sz="0" w:space="0" w:color="auto"/>
        <w:bottom w:val="none" w:sz="0" w:space="0" w:color="auto"/>
        <w:right w:val="none" w:sz="0" w:space="0" w:color="auto"/>
      </w:divBdr>
      <w:divsChild>
        <w:div w:id="1336615754">
          <w:marLeft w:val="48"/>
          <w:marRight w:val="0"/>
          <w:marTop w:val="0"/>
          <w:marBottom w:val="0"/>
          <w:divBdr>
            <w:top w:val="none" w:sz="0" w:space="0" w:color="auto"/>
            <w:left w:val="none" w:sz="0" w:space="0" w:color="auto"/>
            <w:bottom w:val="none" w:sz="0" w:space="0" w:color="auto"/>
            <w:right w:val="none" w:sz="0" w:space="0" w:color="auto"/>
          </w:divBdr>
          <w:divsChild>
            <w:div w:id="251400042">
              <w:marLeft w:val="0"/>
              <w:marRight w:val="0"/>
              <w:marTop w:val="0"/>
              <w:marBottom w:val="0"/>
              <w:divBdr>
                <w:top w:val="none" w:sz="0" w:space="0" w:color="auto"/>
                <w:left w:val="none" w:sz="0" w:space="0" w:color="auto"/>
                <w:bottom w:val="none" w:sz="0" w:space="0" w:color="auto"/>
                <w:right w:val="none" w:sz="0" w:space="0" w:color="auto"/>
              </w:divBdr>
            </w:div>
            <w:div w:id="6744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5454">
      <w:bodyDiv w:val="1"/>
      <w:marLeft w:val="0"/>
      <w:marRight w:val="0"/>
      <w:marTop w:val="0"/>
      <w:marBottom w:val="0"/>
      <w:divBdr>
        <w:top w:val="none" w:sz="0" w:space="0" w:color="auto"/>
        <w:left w:val="none" w:sz="0" w:space="0" w:color="auto"/>
        <w:bottom w:val="none" w:sz="0" w:space="0" w:color="auto"/>
        <w:right w:val="none" w:sz="0" w:space="0" w:color="auto"/>
      </w:divBdr>
      <w:divsChild>
        <w:div w:id="2019194324">
          <w:marLeft w:val="48"/>
          <w:marRight w:val="0"/>
          <w:marTop w:val="0"/>
          <w:marBottom w:val="0"/>
          <w:divBdr>
            <w:top w:val="none" w:sz="0" w:space="0" w:color="auto"/>
            <w:left w:val="none" w:sz="0" w:space="0" w:color="auto"/>
            <w:bottom w:val="none" w:sz="0" w:space="0" w:color="auto"/>
            <w:right w:val="none" w:sz="0" w:space="0" w:color="auto"/>
          </w:divBdr>
          <w:divsChild>
            <w:div w:id="6937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70148">
      <w:bodyDiv w:val="1"/>
      <w:marLeft w:val="30"/>
      <w:marRight w:val="30"/>
      <w:marTop w:val="30"/>
      <w:marBottom w:val="30"/>
      <w:divBdr>
        <w:top w:val="none" w:sz="0" w:space="0" w:color="auto"/>
        <w:left w:val="none" w:sz="0" w:space="0" w:color="auto"/>
        <w:bottom w:val="none" w:sz="0" w:space="0" w:color="auto"/>
        <w:right w:val="none" w:sz="0" w:space="0" w:color="auto"/>
      </w:divBdr>
      <w:divsChild>
        <w:div w:id="1083649621">
          <w:marLeft w:val="0"/>
          <w:marRight w:val="0"/>
          <w:marTop w:val="0"/>
          <w:marBottom w:val="0"/>
          <w:divBdr>
            <w:top w:val="none" w:sz="0" w:space="0" w:color="auto"/>
            <w:left w:val="none" w:sz="0" w:space="0" w:color="auto"/>
            <w:bottom w:val="none" w:sz="0" w:space="0" w:color="auto"/>
            <w:right w:val="none" w:sz="0" w:space="0" w:color="auto"/>
          </w:divBdr>
          <w:divsChild>
            <w:div w:id="1871144362">
              <w:marLeft w:val="45"/>
              <w:marRight w:val="45"/>
              <w:marTop w:val="45"/>
              <w:marBottom w:val="45"/>
              <w:divBdr>
                <w:top w:val="none" w:sz="0" w:space="0" w:color="auto"/>
                <w:left w:val="none" w:sz="0" w:space="0" w:color="auto"/>
                <w:bottom w:val="none" w:sz="0" w:space="0" w:color="auto"/>
                <w:right w:val="none" w:sz="0" w:space="0" w:color="auto"/>
              </w:divBdr>
              <w:divsChild>
                <w:div w:id="126898902">
                  <w:marLeft w:val="0"/>
                  <w:marRight w:val="0"/>
                  <w:marTop w:val="0"/>
                  <w:marBottom w:val="0"/>
                  <w:divBdr>
                    <w:top w:val="none" w:sz="0" w:space="0" w:color="auto"/>
                    <w:left w:val="none" w:sz="0" w:space="0" w:color="auto"/>
                    <w:bottom w:val="none" w:sz="0" w:space="0" w:color="auto"/>
                    <w:right w:val="none" w:sz="0" w:space="0" w:color="auto"/>
                  </w:divBdr>
                  <w:divsChild>
                    <w:div w:id="1051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ada.gov/taman2up.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74F5-2511-4FF9-A827-173B760F6D8C}">
  <ds:schemaRefs>
    <ds:schemaRef ds:uri="http://schemas.openxmlformats.org/officeDocument/2006/bibliography"/>
  </ds:schemaRefs>
</ds:datastoreItem>
</file>

<file path=customXml/itemProps2.xml><?xml version="1.0" encoding="utf-8"?>
<ds:datastoreItem xmlns:ds="http://schemas.openxmlformats.org/officeDocument/2006/customXml" ds:itemID="{5D3B6A7D-6262-49D7-A02B-36ED17B9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7688</Words>
  <Characters>43827</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51413</CharactersWithSpaces>
  <SharedDoc>false</SharedDoc>
  <HLinks>
    <vt:vector size="6" baseType="variant">
      <vt:variant>
        <vt:i4>917533</vt:i4>
      </vt:variant>
      <vt:variant>
        <vt:i4>2</vt:i4>
      </vt:variant>
      <vt:variant>
        <vt:i4>0</vt:i4>
      </vt:variant>
      <vt:variant>
        <vt:i4>5</vt:i4>
      </vt:variant>
      <vt:variant>
        <vt:lpwstr>http://www.ada.gov/taman2up.html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2015-03-09T19:14:00Z</dcterms:created>
  <dcterms:modified xsi:type="dcterms:W3CDTF">2015-03-09T19:14:00Z</dcterms:modified>
</cp:coreProperties>
</file>