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C5" w:rsidRPr="00921A32" w:rsidRDefault="00163CC5" w:rsidP="00921A32">
      <w:pPr>
        <w:pStyle w:val="Title"/>
        <w:rPr>
          <w:rStyle w:val="Emphasis"/>
          <w:b/>
        </w:rPr>
      </w:pPr>
      <w:r w:rsidRPr="00921A32">
        <w:rPr>
          <w:rStyle w:val="Emphasis"/>
          <w:b/>
        </w:rPr>
        <w:t>IN THE UNITED STATES DISTRICT COURT</w:t>
      </w:r>
    </w:p>
    <w:p w:rsidR="00163CC5" w:rsidRPr="00921A32" w:rsidRDefault="00163CC5" w:rsidP="00921A32">
      <w:pPr>
        <w:pStyle w:val="Title"/>
        <w:rPr>
          <w:rStyle w:val="Emphasis"/>
          <w:b/>
        </w:rPr>
      </w:pPr>
      <w:r w:rsidRPr="00921A32">
        <w:rPr>
          <w:rStyle w:val="Emphasis"/>
          <w:b/>
        </w:rPr>
        <w:t>FOR THE SOUTHERN DISTRICT OF OHIO</w:t>
      </w:r>
    </w:p>
    <w:p w:rsidR="00163CC5" w:rsidRDefault="00163CC5" w:rsidP="00921A32">
      <w:pPr>
        <w:pStyle w:val="Title"/>
        <w:rPr>
          <w:rStyle w:val="Emphasis"/>
          <w:b/>
        </w:rPr>
      </w:pPr>
      <w:r w:rsidRPr="00921A32">
        <w:rPr>
          <w:rStyle w:val="Emphasis"/>
          <w:b/>
        </w:rPr>
        <w:t xml:space="preserve">Western Division </w:t>
      </w:r>
      <w:r w:rsidR="00773095">
        <w:rPr>
          <w:rStyle w:val="Emphasis"/>
          <w:b/>
        </w:rPr>
        <w:t>–</w:t>
      </w:r>
      <w:r w:rsidRPr="00921A32">
        <w:rPr>
          <w:rStyle w:val="Emphasis"/>
          <w:b/>
        </w:rPr>
        <w:t xml:space="preserve"> Cincinnati</w:t>
      </w:r>
    </w:p>
    <w:p w:rsidR="00773095" w:rsidRPr="00773095" w:rsidRDefault="00773095" w:rsidP="00773095"/>
    <w:tbl>
      <w:tblPr>
        <w:tblW w:w="0" w:type="auto"/>
        <w:tblLook w:val="04A0"/>
      </w:tblPr>
      <w:tblGrid>
        <w:gridCol w:w="5058"/>
        <w:gridCol w:w="720"/>
        <w:gridCol w:w="3798"/>
      </w:tblGrid>
      <w:tr w:rsidR="00163CC5" w:rsidRPr="000B3C5E" w:rsidTr="00163CC5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163CC5" w:rsidRDefault="00163CC5" w:rsidP="00163CC5">
            <w:pPr>
              <w:pStyle w:val="AllCapsleftjustified"/>
            </w:pPr>
          </w:p>
          <w:p w:rsidR="00163CC5" w:rsidRPr="005E25F5" w:rsidRDefault="00163CC5" w:rsidP="00163CC5">
            <w:pPr>
              <w:pStyle w:val="NoSpacing"/>
            </w:pPr>
            <w:r w:rsidRPr="005E25F5">
              <w:t xml:space="preserve">ALEEHA </w:t>
            </w:r>
            <w:r>
              <w:t>DUDLEY</w:t>
            </w:r>
            <w:r w:rsidRPr="005E25F5">
              <w:t>,</w:t>
            </w:r>
          </w:p>
          <w:p w:rsidR="00163CC5" w:rsidRPr="005E25F5" w:rsidRDefault="00163CC5" w:rsidP="00163CC5">
            <w:pPr>
              <w:pStyle w:val="NoSpacing"/>
            </w:pPr>
          </w:p>
          <w:p w:rsidR="00163CC5" w:rsidRPr="005E25F5" w:rsidRDefault="00163CC5" w:rsidP="00163CC5">
            <w:pPr>
              <w:pStyle w:val="NoSpacing"/>
            </w:pPr>
            <w:r w:rsidRPr="005E25F5">
              <w:tab/>
              <w:t>Plaintiff,</w:t>
            </w:r>
          </w:p>
          <w:p w:rsidR="00163CC5" w:rsidRPr="005E25F5" w:rsidRDefault="00163CC5" w:rsidP="00163CC5">
            <w:pPr>
              <w:pStyle w:val="NoSpacing"/>
            </w:pPr>
          </w:p>
          <w:p w:rsidR="00163CC5" w:rsidRPr="005E25F5" w:rsidRDefault="00163CC5" w:rsidP="00163CC5">
            <w:pPr>
              <w:pStyle w:val="NoSpacing"/>
            </w:pPr>
            <w:r w:rsidRPr="005E25F5">
              <w:tab/>
            </w:r>
            <w:r w:rsidRPr="005E25F5">
              <w:tab/>
              <w:t>v.</w:t>
            </w:r>
          </w:p>
          <w:p w:rsidR="00163CC5" w:rsidRPr="005E25F5" w:rsidRDefault="00163CC5" w:rsidP="00163CC5">
            <w:pPr>
              <w:pStyle w:val="NoSpacing"/>
            </w:pPr>
          </w:p>
          <w:p w:rsidR="00163CC5" w:rsidRPr="005E25F5" w:rsidRDefault="00163CC5" w:rsidP="00163CC5">
            <w:pPr>
              <w:pStyle w:val="NoSpacing"/>
            </w:pPr>
            <w:r>
              <w:t>MIAMI UNIVERSITY</w:t>
            </w:r>
            <w:r w:rsidRPr="005E25F5">
              <w:t xml:space="preserve"> and DR. DAVID C. HODGE, in his official capacity as President of Miami University,</w:t>
            </w:r>
          </w:p>
          <w:p w:rsidR="00163CC5" w:rsidRPr="005E25F5" w:rsidRDefault="00163CC5" w:rsidP="00163CC5">
            <w:pPr>
              <w:pStyle w:val="NoSpacing"/>
            </w:pPr>
          </w:p>
          <w:p w:rsidR="00163CC5" w:rsidRPr="005E25F5" w:rsidRDefault="00163CC5" w:rsidP="00163CC5">
            <w:pPr>
              <w:pStyle w:val="NoSpacing"/>
            </w:pPr>
            <w:r w:rsidRPr="005E25F5">
              <w:tab/>
              <w:t>Defendants.</w:t>
            </w:r>
          </w:p>
          <w:p w:rsidR="00163CC5" w:rsidRPr="000B3C5E" w:rsidRDefault="00163CC5" w:rsidP="00163CC5"/>
        </w:tc>
        <w:tc>
          <w:tcPr>
            <w:tcW w:w="720" w:type="dxa"/>
          </w:tcPr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Pr="000B3C5E" w:rsidRDefault="00163CC5" w:rsidP="00163CC5">
            <w:r w:rsidRPr="000B3C5E">
              <w:t>)</w:t>
            </w:r>
          </w:p>
          <w:p w:rsidR="00163CC5" w:rsidRDefault="00163CC5" w:rsidP="00163CC5">
            <w:r w:rsidRPr="000B3C5E">
              <w:t>)</w:t>
            </w:r>
          </w:p>
          <w:p w:rsidR="00163CC5" w:rsidRDefault="00163CC5" w:rsidP="00163CC5">
            <w:r>
              <w:t>)</w:t>
            </w:r>
          </w:p>
          <w:p w:rsidR="00163CC5" w:rsidRDefault="00163CC5" w:rsidP="00163CC5">
            <w:r>
              <w:t>)</w:t>
            </w:r>
          </w:p>
          <w:p w:rsidR="00163CC5" w:rsidRPr="000B3C5E" w:rsidRDefault="00163CC5" w:rsidP="00163CC5">
            <w:r>
              <w:t>)</w:t>
            </w:r>
          </w:p>
        </w:tc>
        <w:tc>
          <w:tcPr>
            <w:tcW w:w="3798" w:type="dxa"/>
            <w:vAlign w:val="center"/>
          </w:tcPr>
          <w:p w:rsidR="00163CC5" w:rsidRDefault="00163CC5" w:rsidP="00163CC5">
            <w:pPr>
              <w:pStyle w:val="NoSpacing"/>
            </w:pPr>
            <w:r>
              <w:t>Case N</w:t>
            </w:r>
            <w:r w:rsidR="00C749E2">
              <w:t>umber</w:t>
            </w:r>
            <w:r w:rsidRPr="004B388B">
              <w:t>: 1:14-cv-</w:t>
            </w:r>
            <w:r w:rsidR="00C749E2">
              <w:t>0</w:t>
            </w:r>
            <w:r w:rsidRPr="004B388B">
              <w:t>38</w:t>
            </w:r>
          </w:p>
          <w:p w:rsidR="00163CC5" w:rsidRDefault="00163CC5" w:rsidP="00163CC5">
            <w:pPr>
              <w:pStyle w:val="NoSpacing"/>
            </w:pPr>
          </w:p>
          <w:p w:rsidR="00163CC5" w:rsidRDefault="00163CC5" w:rsidP="00163CC5">
            <w:pPr>
              <w:pStyle w:val="NoSpacing"/>
            </w:pPr>
            <w:r w:rsidRPr="004B388B">
              <w:t>C</w:t>
            </w:r>
            <w:r>
              <w:t>hief J</w:t>
            </w:r>
            <w:r w:rsidRPr="004B388B">
              <w:t xml:space="preserve">udge </w:t>
            </w:r>
            <w:r>
              <w:t>Susan J</w:t>
            </w:r>
            <w:r w:rsidRPr="004B388B">
              <w:t>. Dlott</w:t>
            </w:r>
          </w:p>
          <w:p w:rsidR="00C749E2" w:rsidRDefault="00C749E2" w:rsidP="00163CC5">
            <w:pPr>
              <w:pStyle w:val="NoSpacing"/>
            </w:pPr>
          </w:p>
          <w:p w:rsidR="00C749E2" w:rsidRPr="000B3C5E" w:rsidRDefault="00C749E2" w:rsidP="00C749E2">
            <w:pPr>
              <w:pStyle w:val="NoSpacing"/>
            </w:pPr>
            <w:r>
              <w:t xml:space="preserve">Magistrate Judge Stephanie K. Bowman  </w:t>
            </w:r>
          </w:p>
        </w:tc>
      </w:tr>
    </w:tbl>
    <w:p w:rsidR="00163CC5" w:rsidRPr="004B388B" w:rsidRDefault="00163CC5" w:rsidP="00163CC5"/>
    <w:p w:rsidR="00163CC5" w:rsidRPr="0006434A" w:rsidRDefault="00163CC5" w:rsidP="00921A32">
      <w:pPr>
        <w:pStyle w:val="Title"/>
      </w:pPr>
      <w:r w:rsidRPr="0006434A">
        <w:t>PLAINTIFF-INTERVENOR UNITED STATES’</w:t>
      </w:r>
    </w:p>
    <w:p w:rsidR="00163CC5" w:rsidRPr="0006434A" w:rsidRDefault="00163CC5" w:rsidP="00921A32">
      <w:pPr>
        <w:pStyle w:val="Title"/>
      </w:pPr>
      <w:r w:rsidRPr="0006434A">
        <w:t xml:space="preserve">MOTION </w:t>
      </w:r>
      <w:r w:rsidR="00C32E80">
        <w:t>T</w:t>
      </w:r>
      <w:r w:rsidRPr="0006434A">
        <w:t>O INTERVE</w:t>
      </w:r>
      <w:r w:rsidR="00C32E80">
        <w:t>NE</w:t>
      </w:r>
    </w:p>
    <w:p w:rsidR="00163CC5" w:rsidRPr="004B388B" w:rsidRDefault="00163CC5" w:rsidP="00163CC5">
      <w:pPr>
        <w:widowControl w:val="0"/>
      </w:pPr>
    </w:p>
    <w:p w:rsidR="00163CC5" w:rsidRDefault="00163CC5" w:rsidP="00163CC5">
      <w:pPr>
        <w:spacing w:line="480" w:lineRule="auto"/>
        <w:ind w:firstLine="720"/>
      </w:pPr>
      <w:r>
        <w:t>T</w:t>
      </w:r>
      <w:r w:rsidRPr="0034551A">
        <w:t xml:space="preserve">he United States of America respectfully moves </w:t>
      </w:r>
      <w:r>
        <w:t xml:space="preserve">pursuant to Federal Rule of Civil Procedure 24 </w:t>
      </w:r>
      <w:r w:rsidRPr="0034551A">
        <w:t xml:space="preserve">to intervene as </w:t>
      </w:r>
      <w:r>
        <w:t xml:space="preserve">a plaintiff in this action.  Intervention </w:t>
      </w:r>
      <w:r w:rsidR="003D622A">
        <w:t>is</w:t>
      </w:r>
      <w:r>
        <w:t xml:space="preserve"> </w:t>
      </w:r>
      <w:r w:rsidR="008D6061">
        <w:t xml:space="preserve">warranted </w:t>
      </w:r>
      <w:r>
        <w:t xml:space="preserve">as of right because the United States’ </w:t>
      </w:r>
      <w:r w:rsidRPr="00C439BA">
        <w:t xml:space="preserve">interest in </w:t>
      </w:r>
      <w:r>
        <w:t>enforcing Title II of the</w:t>
      </w:r>
      <w:r w:rsidRPr="00C439BA">
        <w:t xml:space="preserve"> </w:t>
      </w:r>
      <w:r>
        <w:t>Americans with Disabilities Act (“ADA”),</w:t>
      </w:r>
      <w:r w:rsidRPr="00104ECB">
        <w:t xml:space="preserve"> </w:t>
      </w:r>
      <w:r>
        <w:t xml:space="preserve">42 U.S.C. § 12131 </w:t>
      </w:r>
      <w:r>
        <w:rPr>
          <w:i/>
        </w:rPr>
        <w:t>et seq.</w:t>
      </w:r>
      <w:r>
        <w:t>, cannot be</w:t>
      </w:r>
      <w:r w:rsidRPr="00C439BA">
        <w:t xml:space="preserve"> </w:t>
      </w:r>
      <w:r>
        <w:t xml:space="preserve">fully </w:t>
      </w:r>
      <w:r w:rsidRPr="00C439BA">
        <w:t>represented or pr</w:t>
      </w:r>
      <w:r>
        <w:t xml:space="preserve">otected by plaintiff Aleeha Dudley, and this interest </w:t>
      </w:r>
      <w:r w:rsidRPr="00C439BA">
        <w:t xml:space="preserve">will be impaired if </w:t>
      </w:r>
      <w:r>
        <w:t>the United States is not permitted to intervene</w:t>
      </w:r>
      <w:r w:rsidRPr="00C439BA">
        <w:t>.</w:t>
      </w:r>
      <w:r>
        <w:t xml:space="preserve">  </w:t>
      </w:r>
      <w:r>
        <w:rPr>
          <w:i/>
        </w:rPr>
        <w:t xml:space="preserve">See </w:t>
      </w:r>
      <w:r>
        <w:t xml:space="preserve">Fed. R. Civ. P. </w:t>
      </w:r>
      <w:r w:rsidRPr="00C439BA">
        <w:t>24(a)(2)</w:t>
      </w:r>
      <w:r>
        <w:t xml:space="preserve">.  </w:t>
      </w:r>
      <w:r w:rsidR="00C32E80" w:rsidRPr="00C32E80">
        <w:t>In the a</w:t>
      </w:r>
      <w:r w:rsidR="00A87E42" w:rsidRPr="00A87E42">
        <w:t xml:space="preserve">lternative, the United States should be granted leave to intervene because: (1) </w:t>
      </w:r>
      <w:r w:rsidR="008D6061">
        <w:t>the United States’</w:t>
      </w:r>
      <w:r w:rsidR="008D6061" w:rsidRPr="00A87E42">
        <w:t xml:space="preserve"> </w:t>
      </w:r>
      <w:r w:rsidR="00A87E42" w:rsidRPr="00A87E42">
        <w:t xml:space="preserve">claims against Miami University share </w:t>
      </w:r>
      <w:r w:rsidR="00C70C72">
        <w:t xml:space="preserve">with this action </w:t>
      </w:r>
      <w:r w:rsidR="00A87E42" w:rsidRPr="00A87E42">
        <w:t xml:space="preserve">common questions of law and fact; and (2) </w:t>
      </w:r>
      <w:r w:rsidR="00C70C72">
        <w:t xml:space="preserve">this action involves </w:t>
      </w:r>
      <w:r w:rsidR="00A87E42" w:rsidRPr="00A87E42">
        <w:t>the interpretation of the ADA</w:t>
      </w:r>
      <w:r w:rsidR="00C70C72">
        <w:t>,</w:t>
      </w:r>
      <w:r w:rsidR="00A87E42" w:rsidRPr="00A87E42">
        <w:t xml:space="preserve"> </w:t>
      </w:r>
      <w:r w:rsidR="00C70C72">
        <w:t>a statute that</w:t>
      </w:r>
      <w:r w:rsidR="00C70C72" w:rsidRPr="00A87E42">
        <w:t xml:space="preserve"> </w:t>
      </w:r>
      <w:r w:rsidR="00A87E42" w:rsidRPr="00A87E42">
        <w:t xml:space="preserve">Congress has entrusted to the Attorney General </w:t>
      </w:r>
      <w:r w:rsidR="00C70C72">
        <w:t>to administer</w:t>
      </w:r>
      <w:r w:rsidR="00A87E42" w:rsidRPr="00A87E42">
        <w:t xml:space="preserve">.  </w:t>
      </w:r>
      <w:r w:rsidR="00A87E42" w:rsidRPr="00A87E42">
        <w:rPr>
          <w:i/>
        </w:rPr>
        <w:t>See</w:t>
      </w:r>
      <w:r w:rsidR="00A87E42" w:rsidRPr="00A87E42">
        <w:t xml:space="preserve"> Fed. R. Civ. P. 24(b)(1), (2).</w:t>
      </w:r>
    </w:p>
    <w:p w:rsidR="00163CC5" w:rsidRDefault="00816D6C" w:rsidP="00163CC5">
      <w:pPr>
        <w:spacing w:after="240" w:line="480" w:lineRule="auto"/>
        <w:ind w:firstLine="720"/>
      </w:pPr>
      <w:r>
        <w:t xml:space="preserve">Before filing this Motion, counsel </w:t>
      </w:r>
      <w:r w:rsidR="00163CC5">
        <w:t xml:space="preserve">for the United States conferred with counsel for all parties.  Counsel for Ms. Dudley </w:t>
      </w:r>
      <w:r>
        <w:t>have represented that they consent to the</w:t>
      </w:r>
      <w:r w:rsidR="00163CC5">
        <w:t xml:space="preserve"> </w:t>
      </w:r>
      <w:r>
        <w:t>United States’ intervention.  Counsel</w:t>
      </w:r>
      <w:r w:rsidR="00163CC5">
        <w:t xml:space="preserve"> for defendants </w:t>
      </w:r>
      <w:r>
        <w:t>have represented that they do not consent</w:t>
      </w:r>
      <w:r w:rsidR="00163CC5">
        <w:t xml:space="preserve">.  </w:t>
      </w:r>
    </w:p>
    <w:p w:rsidR="00163CC5" w:rsidRDefault="00163CC5" w:rsidP="00163CC5">
      <w:pPr>
        <w:spacing w:after="240" w:line="480" w:lineRule="auto"/>
        <w:ind w:firstLine="720"/>
      </w:pPr>
      <w:r w:rsidRPr="003437E3">
        <w:lastRenderedPageBreak/>
        <w:t xml:space="preserve">For the reasons </w:t>
      </w:r>
      <w:r>
        <w:t>discussed</w:t>
      </w:r>
      <w:r w:rsidRPr="003437E3">
        <w:t xml:space="preserve"> </w:t>
      </w:r>
      <w:r>
        <w:t xml:space="preserve">herein and </w:t>
      </w:r>
      <w:r w:rsidRPr="003437E3">
        <w:t xml:space="preserve">in the </w:t>
      </w:r>
      <w:r>
        <w:t>accompanying</w:t>
      </w:r>
      <w:r w:rsidRPr="003437E3">
        <w:t xml:space="preserve"> </w:t>
      </w:r>
      <w:r w:rsidR="009406E5">
        <w:t>M</w:t>
      </w:r>
      <w:r>
        <w:t xml:space="preserve">emorandum of </w:t>
      </w:r>
      <w:r w:rsidR="009406E5">
        <w:t>L</w:t>
      </w:r>
      <w:r>
        <w:t>aw</w:t>
      </w:r>
      <w:r w:rsidRPr="003437E3">
        <w:t xml:space="preserve">, the United States respectfully requests that </w:t>
      </w:r>
      <w:r>
        <w:t>the</w:t>
      </w:r>
      <w:r w:rsidRPr="003437E3">
        <w:t xml:space="preserve"> Court grant </w:t>
      </w:r>
      <w:r w:rsidR="008D6061">
        <w:t xml:space="preserve">the United States’ </w:t>
      </w:r>
      <w:r w:rsidR="009406E5">
        <w:t>M</w:t>
      </w:r>
      <w:r>
        <w:t>otion</w:t>
      </w:r>
      <w:r w:rsidRPr="003437E3">
        <w:t xml:space="preserve"> </w:t>
      </w:r>
      <w:r w:rsidR="00FC11DE">
        <w:t xml:space="preserve">to </w:t>
      </w:r>
      <w:proofErr w:type="gramStart"/>
      <w:r w:rsidR="00FC11DE">
        <w:t>Intervene</w:t>
      </w:r>
      <w:proofErr w:type="gramEnd"/>
      <w:r w:rsidRPr="003437E3">
        <w:t xml:space="preserve"> in this matter</w:t>
      </w:r>
      <w:r w:rsidRPr="0034551A">
        <w:t>.</w:t>
      </w:r>
      <w:r>
        <w:t xml:space="preserve">  </w:t>
      </w:r>
      <w:r w:rsidR="00F36772">
        <w:t>The United States attache</w:t>
      </w:r>
      <w:r w:rsidR="008D6061">
        <w:t xml:space="preserve">s </w:t>
      </w:r>
      <w:r w:rsidR="00BB1685">
        <w:t>a</w:t>
      </w:r>
      <w:r w:rsidR="00F36772">
        <w:t xml:space="preserve"> </w:t>
      </w:r>
      <w:r w:rsidR="00C749E2">
        <w:t xml:space="preserve">proposed </w:t>
      </w:r>
      <w:r>
        <w:t>Complaint in Intervention</w:t>
      </w:r>
      <w:r w:rsidR="00F36772">
        <w:t xml:space="preserve"> and</w:t>
      </w:r>
      <w:r w:rsidR="006F349D">
        <w:t xml:space="preserve"> a</w:t>
      </w:r>
      <w:r w:rsidR="00F36772">
        <w:t xml:space="preserve"> proposed order</w:t>
      </w:r>
      <w:r>
        <w:t>.</w:t>
      </w:r>
    </w:p>
    <w:p w:rsidR="00F36772" w:rsidRDefault="00F36772" w:rsidP="00163CC5">
      <w:pPr>
        <w:spacing w:after="240" w:line="480" w:lineRule="auto"/>
        <w:ind w:firstLine="720"/>
      </w:pPr>
    </w:p>
    <w:p w:rsidR="00F36772" w:rsidRDefault="00F36772" w:rsidP="00163CC5">
      <w:pPr>
        <w:spacing w:after="240" w:line="480" w:lineRule="auto"/>
        <w:ind w:firstLine="720"/>
        <w:rPr>
          <w:rStyle w:val="Emphasis"/>
          <w:b w:val="0"/>
        </w:rPr>
        <w:sectPr w:rsidR="00F36772" w:rsidSect="002753FA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E79E1" w:rsidRPr="00921A32" w:rsidRDefault="004B388B" w:rsidP="00921A32">
      <w:pPr>
        <w:pStyle w:val="Title"/>
      </w:pPr>
      <w:r w:rsidRPr="00921A32">
        <w:lastRenderedPageBreak/>
        <w:t xml:space="preserve">MEMORANDUM </w:t>
      </w:r>
      <w:r w:rsidR="006D00C2" w:rsidRPr="00921A32">
        <w:t xml:space="preserve">OF LAW </w:t>
      </w:r>
      <w:r w:rsidRPr="00921A32">
        <w:t>IN SUPPORT OF</w:t>
      </w:r>
    </w:p>
    <w:p w:rsidR="004B388B" w:rsidRPr="00921A32" w:rsidRDefault="008D6061" w:rsidP="00921A32">
      <w:pPr>
        <w:pStyle w:val="Title"/>
      </w:pPr>
      <w:r w:rsidRPr="00921A32">
        <w:t>THE UNITED STATES’</w:t>
      </w:r>
      <w:r w:rsidR="00BE79E1" w:rsidRPr="00921A32">
        <w:t xml:space="preserve"> </w:t>
      </w:r>
      <w:r w:rsidR="004B388B" w:rsidRPr="00921A32">
        <w:t xml:space="preserve">MOTION </w:t>
      </w:r>
      <w:r w:rsidR="00C32E80" w:rsidRPr="00921A32">
        <w:t>T</w:t>
      </w:r>
      <w:r w:rsidR="004B388B" w:rsidRPr="00921A32">
        <w:t>O INTERVE</w:t>
      </w:r>
      <w:r w:rsidR="00C32E80" w:rsidRPr="00921A32">
        <w:t>NE</w:t>
      </w:r>
    </w:p>
    <w:p w:rsidR="004B388B" w:rsidRPr="004B388B" w:rsidRDefault="004B388B" w:rsidP="004B388B">
      <w:pPr>
        <w:widowControl w:val="0"/>
      </w:pPr>
    </w:p>
    <w:p w:rsidR="004C5DDE" w:rsidRPr="00DE2A4C" w:rsidRDefault="004C5DDE" w:rsidP="00C7188C">
      <w:pPr>
        <w:spacing w:line="480" w:lineRule="auto"/>
        <w:ind w:firstLine="720"/>
      </w:pPr>
      <w:r>
        <w:t xml:space="preserve">The United States respectfully submits this </w:t>
      </w:r>
      <w:r w:rsidR="0017200E">
        <w:t>M</w:t>
      </w:r>
      <w:r>
        <w:t xml:space="preserve">emorandum of </w:t>
      </w:r>
      <w:r w:rsidR="0017200E">
        <w:t>L</w:t>
      </w:r>
      <w:r>
        <w:t xml:space="preserve">aw in support of its </w:t>
      </w:r>
      <w:r w:rsidR="0034762A">
        <w:t xml:space="preserve">Motion </w:t>
      </w:r>
      <w:r w:rsidR="00C32E80">
        <w:t>t</w:t>
      </w:r>
      <w:r w:rsidR="0034762A">
        <w:t>o Interven</w:t>
      </w:r>
      <w:r w:rsidR="00C32E80">
        <w:t>e</w:t>
      </w:r>
      <w:r w:rsidR="00DE2A4C">
        <w:t xml:space="preserve"> </w:t>
      </w:r>
      <w:r>
        <w:t>in this action</w:t>
      </w:r>
      <w:r w:rsidR="002E30BC">
        <w:t xml:space="preserve"> </w:t>
      </w:r>
      <w:r w:rsidR="00DE2A4C">
        <w:t xml:space="preserve">filed </w:t>
      </w:r>
      <w:r w:rsidR="00E33DE9">
        <w:t xml:space="preserve">by plaintiff Aleeha Dudley </w:t>
      </w:r>
      <w:r>
        <w:t>against defendant</w:t>
      </w:r>
      <w:r w:rsidR="00A7034E">
        <w:t>s</w:t>
      </w:r>
      <w:r>
        <w:t xml:space="preserve"> Miami University </w:t>
      </w:r>
      <w:r w:rsidR="00A7034E">
        <w:t xml:space="preserve">and </w:t>
      </w:r>
      <w:r w:rsidR="00484AD9">
        <w:t xml:space="preserve">Dr. </w:t>
      </w:r>
      <w:r w:rsidR="00A7034E">
        <w:t>David C. Hodge</w:t>
      </w:r>
      <w:r w:rsidR="008D6061">
        <w:t>.</w:t>
      </w:r>
      <w:r w:rsidR="00DE2A4C">
        <w:t xml:space="preserve">  The United States moves</w:t>
      </w:r>
      <w:r w:rsidR="005D3957">
        <w:t xml:space="preserve"> pursuant to Federal Rule of Civil Procedure 24</w:t>
      </w:r>
      <w:r w:rsidR="00DE2A4C">
        <w:t xml:space="preserve"> to intervene as of right, </w:t>
      </w:r>
      <w:r w:rsidR="00DE2A4C" w:rsidRPr="001B05F2">
        <w:t>or alternatively, by permission</w:t>
      </w:r>
      <w:r w:rsidR="00FC11DE">
        <w:t>,</w:t>
      </w:r>
      <w:r w:rsidR="008D6061">
        <w:t xml:space="preserve"> to assert claims </w:t>
      </w:r>
      <w:r w:rsidR="00FC11DE">
        <w:t xml:space="preserve">against Miami University </w:t>
      </w:r>
      <w:r w:rsidR="008D6061">
        <w:t xml:space="preserve">under Title II of the Americans with Disabilities Act (“ADA”), 42 U.S.C. § 12131 </w:t>
      </w:r>
      <w:r w:rsidR="000F42DB" w:rsidRPr="000F42DB">
        <w:rPr>
          <w:i/>
        </w:rPr>
        <w:t>et seq</w:t>
      </w:r>
      <w:r w:rsidR="00DE2A4C" w:rsidRPr="001B05F2">
        <w:t>.</w:t>
      </w:r>
    </w:p>
    <w:p w:rsidR="00332F9B" w:rsidRPr="005E25F5" w:rsidRDefault="0022699A" w:rsidP="00921A32">
      <w:pPr>
        <w:pStyle w:val="Heading1"/>
      </w:pPr>
      <w:r w:rsidRPr="005E25F5">
        <w:t xml:space="preserve">PRELIMINARY </w:t>
      </w:r>
      <w:r w:rsidRPr="007430D0">
        <w:t>STATEMENT</w:t>
      </w:r>
    </w:p>
    <w:p w:rsidR="00107BD9" w:rsidRDefault="00E33DE9" w:rsidP="00E33DE9">
      <w:pPr>
        <w:spacing w:line="480" w:lineRule="auto"/>
        <w:ind w:firstLine="720"/>
      </w:pPr>
      <w:r>
        <w:t>Ms.</w:t>
      </w:r>
      <w:r w:rsidR="0048131C">
        <w:t xml:space="preserve"> Dudley</w:t>
      </w:r>
      <w:r w:rsidR="00A50D1A">
        <w:t xml:space="preserve">, </w:t>
      </w:r>
      <w:r w:rsidR="00BF3F7A">
        <w:t xml:space="preserve">a former student of </w:t>
      </w:r>
      <w:r w:rsidR="00C77EC0">
        <w:t>Miami University</w:t>
      </w:r>
      <w:r w:rsidR="00BF3F7A">
        <w:t xml:space="preserve"> who </w:t>
      </w:r>
      <w:r w:rsidR="000170A9">
        <w:t xml:space="preserve">is blind, </w:t>
      </w:r>
      <w:r w:rsidR="0048131C">
        <w:t xml:space="preserve">alleges that </w:t>
      </w:r>
      <w:r w:rsidR="00C77EC0">
        <w:t xml:space="preserve">Miami University </w:t>
      </w:r>
      <w:r w:rsidR="007957BF">
        <w:t xml:space="preserve">denied her an equal opportunity to </w:t>
      </w:r>
      <w:r w:rsidR="0017200E">
        <w:t xml:space="preserve">participate in and </w:t>
      </w:r>
      <w:r w:rsidR="007957BF">
        <w:t xml:space="preserve">benefit from </w:t>
      </w:r>
      <w:r w:rsidR="006F48D6">
        <w:t>its</w:t>
      </w:r>
      <w:r w:rsidR="007957BF">
        <w:t xml:space="preserve"> </w:t>
      </w:r>
      <w:r w:rsidR="00C339E1">
        <w:t xml:space="preserve">services, </w:t>
      </w:r>
      <w:r w:rsidR="007957BF">
        <w:t>programs</w:t>
      </w:r>
      <w:r w:rsidR="00C339E1">
        <w:t>,</w:t>
      </w:r>
      <w:r w:rsidR="007957BF">
        <w:t xml:space="preserve"> and activities by failing</w:t>
      </w:r>
      <w:r w:rsidR="005B74F3">
        <w:t xml:space="preserve"> </w:t>
      </w:r>
      <w:r w:rsidR="00DA667D">
        <w:t>to provide her with timely</w:t>
      </w:r>
      <w:r w:rsidR="00AA6108">
        <w:t xml:space="preserve"> and adequate</w:t>
      </w:r>
      <w:r w:rsidR="00DA667D">
        <w:t xml:space="preserve"> </w:t>
      </w:r>
      <w:r w:rsidR="004D3C7A">
        <w:t xml:space="preserve">access to </w:t>
      </w:r>
      <w:r w:rsidR="00DA667D">
        <w:t xml:space="preserve">course assignments, handouts, textbooks, </w:t>
      </w:r>
      <w:r w:rsidR="00746F4A">
        <w:t xml:space="preserve">websites, </w:t>
      </w:r>
      <w:r w:rsidR="00DA667D">
        <w:t>and other curricular and co-curricular materials</w:t>
      </w:r>
      <w:r w:rsidR="00AA6108">
        <w:t xml:space="preserve"> </w:t>
      </w:r>
      <w:r w:rsidR="00C7188C">
        <w:t>appropriate to</w:t>
      </w:r>
      <w:r w:rsidR="0003554C">
        <w:t xml:space="preserve"> her </w:t>
      </w:r>
      <w:r w:rsidR="00AA6108" w:rsidRPr="00E261DF">
        <w:t>vision disability</w:t>
      </w:r>
      <w:r w:rsidR="00852FA7" w:rsidRPr="00E261DF">
        <w:t>.</w:t>
      </w:r>
      <w:r w:rsidR="00403F71" w:rsidRPr="00E261DF">
        <w:t xml:space="preserve">  </w:t>
      </w:r>
      <w:r w:rsidR="00376EC0" w:rsidRPr="00E261DF">
        <w:t>P</w:t>
      </w:r>
      <w:r w:rsidR="00746F4A" w:rsidRPr="00E261DF">
        <w:t>ursuant to its authority under the regulation implementing Title</w:t>
      </w:r>
      <w:r w:rsidR="00746F4A">
        <w:t xml:space="preserve"> II of the ADA, </w:t>
      </w:r>
      <w:r w:rsidR="00C17291">
        <w:t>2</w:t>
      </w:r>
      <w:r w:rsidR="0003554C">
        <w:t>8</w:t>
      </w:r>
      <w:r w:rsidR="00C17291">
        <w:t xml:space="preserve"> C.F.R</w:t>
      </w:r>
      <w:r w:rsidR="00746F4A">
        <w:t>. pt. 35,</w:t>
      </w:r>
      <w:r w:rsidR="0038214D">
        <w:t xml:space="preserve"> </w:t>
      </w:r>
      <w:r w:rsidR="00376EC0">
        <w:t xml:space="preserve">the United States Department of Justice (“Department”) </w:t>
      </w:r>
      <w:r w:rsidR="00275322" w:rsidRPr="001B05F2">
        <w:t>in</w:t>
      </w:r>
      <w:r w:rsidR="004253B0" w:rsidRPr="001B05F2">
        <w:t>vestigated</w:t>
      </w:r>
      <w:r w:rsidR="00C01B84" w:rsidRPr="001B05F2">
        <w:t xml:space="preserve"> </w:t>
      </w:r>
      <w:r w:rsidR="00C77EC0">
        <w:t>Miami University</w:t>
      </w:r>
      <w:r w:rsidR="00107BD9" w:rsidRPr="001B05F2">
        <w:t>’s compliance with Title II of the ADA</w:t>
      </w:r>
      <w:r w:rsidR="001B05F2">
        <w:t xml:space="preserve"> and</w:t>
      </w:r>
      <w:r w:rsidR="009A7E4A">
        <w:t xml:space="preserve"> </w:t>
      </w:r>
      <w:r w:rsidR="00B95993">
        <w:t>found</w:t>
      </w:r>
      <w:r w:rsidR="00800380">
        <w:t xml:space="preserve"> </w:t>
      </w:r>
      <w:r w:rsidR="00894AA8">
        <w:t xml:space="preserve">that </w:t>
      </w:r>
      <w:r w:rsidR="00C77EC0">
        <w:t>Miami University</w:t>
      </w:r>
      <w:r w:rsidR="00894AA8">
        <w:t xml:space="preserve"> has </w:t>
      </w:r>
      <w:r w:rsidR="00200937">
        <w:t>used</w:t>
      </w:r>
      <w:r w:rsidR="00107BD9">
        <w:t xml:space="preserve"> technologies </w:t>
      </w:r>
      <w:r w:rsidR="00200937">
        <w:t xml:space="preserve">that are inaccessible to </w:t>
      </w:r>
      <w:r w:rsidR="00F16EE1">
        <w:t>individuals</w:t>
      </w:r>
      <w:r w:rsidR="00107BD9">
        <w:t xml:space="preserve"> with hearing, learning</w:t>
      </w:r>
      <w:r w:rsidR="00274957">
        <w:t xml:space="preserve">, </w:t>
      </w:r>
      <w:r w:rsidR="00570F7E">
        <w:t xml:space="preserve">vision, </w:t>
      </w:r>
      <w:r w:rsidR="00274957">
        <w:t xml:space="preserve">and other </w:t>
      </w:r>
      <w:r w:rsidR="00107BD9">
        <w:t>disabilities</w:t>
      </w:r>
      <w:r w:rsidR="00746F4A">
        <w:t xml:space="preserve">, and has </w:t>
      </w:r>
      <w:r w:rsidR="00C17291">
        <w:t>failed to use other means</w:t>
      </w:r>
      <w:r w:rsidR="00746F4A">
        <w:t xml:space="preserve"> to </w:t>
      </w:r>
      <w:r w:rsidR="00C17291">
        <w:t xml:space="preserve">provide </w:t>
      </w:r>
      <w:r w:rsidR="00C45953">
        <w:t>these individuals</w:t>
      </w:r>
      <w:r w:rsidR="00C17291">
        <w:t xml:space="preserve"> with equally effective access to </w:t>
      </w:r>
      <w:r w:rsidR="00C77EC0">
        <w:t>Miami University</w:t>
      </w:r>
      <w:r w:rsidR="001B05F2">
        <w:t>’s</w:t>
      </w:r>
      <w:r w:rsidR="00C17291">
        <w:t xml:space="preserve"> educational and co-curricular benefits</w:t>
      </w:r>
      <w:r w:rsidR="00746F4A">
        <w:t>.</w:t>
      </w:r>
      <w:r w:rsidR="00B64F6A">
        <w:t xml:space="preserve"> </w:t>
      </w:r>
    </w:p>
    <w:p w:rsidR="00BD5987" w:rsidRDefault="004253B0" w:rsidP="00926263">
      <w:pPr>
        <w:spacing w:line="480" w:lineRule="auto"/>
        <w:ind w:firstLine="720"/>
      </w:pPr>
      <w:r>
        <w:t xml:space="preserve">The Department is </w:t>
      </w:r>
      <w:r w:rsidR="00E22D0B">
        <w:t xml:space="preserve">charged </w:t>
      </w:r>
      <w:r w:rsidR="000B0A83">
        <w:t xml:space="preserve">by Congress </w:t>
      </w:r>
      <w:r>
        <w:t xml:space="preserve">to </w:t>
      </w:r>
      <w:r w:rsidR="00E22D0B">
        <w:t>enforc</w:t>
      </w:r>
      <w:r>
        <w:t>e</w:t>
      </w:r>
      <w:r w:rsidR="00E22D0B">
        <w:t xml:space="preserve"> the ADA</w:t>
      </w:r>
      <w:r w:rsidR="00103897">
        <w:t xml:space="preserve"> and its </w:t>
      </w:r>
      <w:r w:rsidR="00E22D0B">
        <w:t>implementing regulation</w:t>
      </w:r>
      <w:r>
        <w:t xml:space="preserve">, and </w:t>
      </w:r>
      <w:r w:rsidR="007C5D68">
        <w:t xml:space="preserve">has a substantial interest in </w:t>
      </w:r>
      <w:r w:rsidR="00521CF0">
        <w:t>ending disability discrimination</w:t>
      </w:r>
      <w:r>
        <w:t xml:space="preserve">, remedying past discrimination, preventing future discrimination, </w:t>
      </w:r>
      <w:r w:rsidR="00521CF0">
        <w:t xml:space="preserve">and </w:t>
      </w:r>
      <w:r w:rsidR="002E5650">
        <w:t xml:space="preserve">ensuring that the proper interpretation and application of Title II of the ADA </w:t>
      </w:r>
      <w:r>
        <w:t>is</w:t>
      </w:r>
      <w:r w:rsidR="002E5650">
        <w:t xml:space="preserve"> presented in this lawsuit</w:t>
      </w:r>
      <w:r w:rsidR="000B0A83">
        <w:t xml:space="preserve">.  </w:t>
      </w:r>
      <w:r w:rsidR="00DD67EA" w:rsidRPr="001B05F2">
        <w:t>B</w:t>
      </w:r>
      <w:r w:rsidR="002847CC" w:rsidRPr="001B05F2">
        <w:t xml:space="preserve">ecause </w:t>
      </w:r>
      <w:r w:rsidR="003F266A" w:rsidRPr="001B05F2">
        <w:t xml:space="preserve">the </w:t>
      </w:r>
      <w:r w:rsidR="00120783" w:rsidRPr="001B05F2">
        <w:t>Department’s</w:t>
      </w:r>
      <w:r w:rsidR="007471A3" w:rsidRPr="001B05F2">
        <w:t xml:space="preserve"> investigation has </w:t>
      </w:r>
      <w:r w:rsidR="00DE2A4C" w:rsidRPr="001B05F2">
        <w:t xml:space="preserve">identified </w:t>
      </w:r>
      <w:r w:rsidR="005C2629" w:rsidRPr="001B05F2">
        <w:t>violations of the ADA</w:t>
      </w:r>
      <w:r w:rsidR="00854551" w:rsidRPr="001B05F2">
        <w:t xml:space="preserve"> that</w:t>
      </w:r>
      <w:r w:rsidR="00F738EB" w:rsidRPr="001B05F2">
        <w:t xml:space="preserve"> affect</w:t>
      </w:r>
      <w:r w:rsidR="005C2629" w:rsidRPr="001B05F2">
        <w:t xml:space="preserve"> not just individuals</w:t>
      </w:r>
      <w:r w:rsidR="00221618" w:rsidRPr="001B05F2">
        <w:t xml:space="preserve"> who</w:t>
      </w:r>
      <w:r w:rsidR="002847CC" w:rsidRPr="001B05F2">
        <w:t xml:space="preserve"> are blind</w:t>
      </w:r>
      <w:r w:rsidR="00217D6F" w:rsidRPr="001B05F2">
        <w:t>,</w:t>
      </w:r>
      <w:r w:rsidR="005C2629" w:rsidRPr="001B05F2">
        <w:t xml:space="preserve"> </w:t>
      </w:r>
      <w:r w:rsidR="00221618" w:rsidRPr="001B05F2">
        <w:lastRenderedPageBreak/>
        <w:t>but individuals with other disabilities</w:t>
      </w:r>
      <w:r w:rsidR="000C1D69" w:rsidRPr="001B05F2">
        <w:t xml:space="preserve">—including </w:t>
      </w:r>
      <w:r w:rsidR="00BF2F6F" w:rsidRPr="001B05F2">
        <w:t>learning</w:t>
      </w:r>
      <w:r w:rsidR="00B95993" w:rsidRPr="001B05F2">
        <w:t xml:space="preserve"> and</w:t>
      </w:r>
      <w:r w:rsidR="00BF2F6F" w:rsidRPr="001B05F2">
        <w:t xml:space="preserve"> </w:t>
      </w:r>
      <w:r w:rsidR="00221618" w:rsidRPr="001B05F2">
        <w:t>hearing disabilities</w:t>
      </w:r>
      <w:r w:rsidR="000C1D69" w:rsidRPr="001B05F2">
        <w:t>—</w:t>
      </w:r>
      <w:r w:rsidR="00926263" w:rsidRPr="001B05F2">
        <w:t xml:space="preserve">the United States </w:t>
      </w:r>
      <w:r w:rsidR="00726399" w:rsidRPr="001B05F2">
        <w:t>has a</w:t>
      </w:r>
      <w:r w:rsidR="00DF1A77" w:rsidRPr="001B05F2">
        <w:t xml:space="preserve">n </w:t>
      </w:r>
      <w:r w:rsidR="00851B3B" w:rsidRPr="001B05F2">
        <w:t xml:space="preserve">interest in </w:t>
      </w:r>
      <w:r w:rsidR="007471A3" w:rsidRPr="001B05F2">
        <w:t xml:space="preserve">comprehensively </w:t>
      </w:r>
      <w:r w:rsidR="00B95993" w:rsidRPr="001B05F2">
        <w:t>resolving</w:t>
      </w:r>
      <w:r w:rsidR="00DC4E66" w:rsidRPr="001B05F2">
        <w:t xml:space="preserve"> </w:t>
      </w:r>
      <w:r w:rsidR="00C77EC0">
        <w:t>Miami University</w:t>
      </w:r>
      <w:r w:rsidR="00DC4E66" w:rsidRPr="001B05F2">
        <w:t xml:space="preserve">’s failure to provide individuals </w:t>
      </w:r>
      <w:r w:rsidR="00463989" w:rsidRPr="001B05F2">
        <w:t>with</w:t>
      </w:r>
      <w:r w:rsidR="00B95993" w:rsidRPr="001B05F2">
        <w:t xml:space="preserve"> various</w:t>
      </w:r>
      <w:r w:rsidR="00DC4E66" w:rsidRPr="001B05F2">
        <w:t xml:space="preserve"> disabilities</w:t>
      </w:r>
      <w:r w:rsidR="00701D57" w:rsidRPr="001B05F2">
        <w:t xml:space="preserve"> equal access to its curricular and co-curricular offerings</w:t>
      </w:r>
      <w:r w:rsidR="00DC4E66" w:rsidRPr="001B05F2">
        <w:t>.</w:t>
      </w:r>
      <w:r w:rsidR="00926263">
        <w:t xml:space="preserve">  </w:t>
      </w:r>
      <w:r w:rsidR="00273A1E">
        <w:t>This interest</w:t>
      </w:r>
      <w:r w:rsidR="0006616D">
        <w:t xml:space="preserve">, and the United States’ </w:t>
      </w:r>
      <w:r w:rsidR="005F4DF5">
        <w:t>broader</w:t>
      </w:r>
      <w:r w:rsidR="0006616D">
        <w:t xml:space="preserve"> interest in </w:t>
      </w:r>
      <w:r w:rsidR="00B95993">
        <w:t xml:space="preserve">ensuring </w:t>
      </w:r>
      <w:r w:rsidR="00E261DF">
        <w:t xml:space="preserve">the </w:t>
      </w:r>
      <w:r w:rsidR="00B95993">
        <w:t xml:space="preserve">proper application and interpretation of </w:t>
      </w:r>
      <w:r w:rsidR="00005ECA">
        <w:t>the Department’s</w:t>
      </w:r>
      <w:r w:rsidR="00DE2A4C">
        <w:t xml:space="preserve"> </w:t>
      </w:r>
      <w:r w:rsidR="00B95993">
        <w:t>regulation implementing Title II of the ADA, 28 C.F.R. pt. 35</w:t>
      </w:r>
      <w:r w:rsidR="00B12CE0">
        <w:t xml:space="preserve">, </w:t>
      </w:r>
      <w:r w:rsidR="00FB783D">
        <w:t>cannot be</w:t>
      </w:r>
      <w:r w:rsidR="00A8252F">
        <w:t xml:space="preserve"> represented by </w:t>
      </w:r>
      <w:r>
        <w:t>the present parties to this lawsuit</w:t>
      </w:r>
      <w:r w:rsidR="0045547B">
        <w:t xml:space="preserve">.  They do not </w:t>
      </w:r>
      <w:r w:rsidR="00B95993">
        <w:t>speak</w:t>
      </w:r>
      <w:r w:rsidR="00B112B9">
        <w:t xml:space="preserve"> for the United States nor </w:t>
      </w:r>
      <w:r w:rsidR="00B12CE0">
        <w:t xml:space="preserve">represent </w:t>
      </w:r>
      <w:r w:rsidR="00A8252F">
        <w:t xml:space="preserve">the interests of individuals </w:t>
      </w:r>
      <w:r w:rsidR="0005504A">
        <w:t>who have</w:t>
      </w:r>
      <w:r w:rsidR="00DC6E20">
        <w:t xml:space="preserve"> </w:t>
      </w:r>
      <w:r w:rsidR="005055C1">
        <w:t>disabilities</w:t>
      </w:r>
      <w:r w:rsidR="000C652E">
        <w:t xml:space="preserve"> </w:t>
      </w:r>
      <w:r w:rsidR="00225CB6">
        <w:t>other than</w:t>
      </w:r>
      <w:r w:rsidR="000C652E">
        <w:t xml:space="preserve"> </w:t>
      </w:r>
      <w:r w:rsidR="00421ACA">
        <w:t>vision</w:t>
      </w:r>
      <w:r w:rsidR="000C652E">
        <w:t xml:space="preserve"> </w:t>
      </w:r>
      <w:r w:rsidR="00225CB6">
        <w:t>disabilities</w:t>
      </w:r>
      <w:r w:rsidR="00A8252F">
        <w:t>.</w:t>
      </w:r>
      <w:r w:rsidR="00864DA7">
        <w:rPr>
          <w:rStyle w:val="FootnoteReference"/>
        </w:rPr>
        <w:footnoteReference w:id="1"/>
      </w:r>
    </w:p>
    <w:p w:rsidR="00973EFC" w:rsidRPr="00973EFC" w:rsidRDefault="00AE2B37" w:rsidP="00921A32">
      <w:pPr>
        <w:pStyle w:val="Heading1"/>
      </w:pPr>
      <w:r>
        <w:t>FACTUAL BACKGROUND</w:t>
      </w:r>
    </w:p>
    <w:p w:rsidR="00181BC4" w:rsidRDefault="00952682" w:rsidP="00973EFC">
      <w:pPr>
        <w:spacing w:line="480" w:lineRule="auto"/>
        <w:ind w:firstLine="720"/>
      </w:pPr>
      <w:r>
        <w:t>On April 7, 2014</w:t>
      </w:r>
      <w:r w:rsidR="00052EBD">
        <w:t>, t</w:t>
      </w:r>
      <w:r w:rsidR="00E76F59">
        <w:t xml:space="preserve">he Department </w:t>
      </w:r>
      <w:r>
        <w:t xml:space="preserve">notified </w:t>
      </w:r>
      <w:r w:rsidR="00C77EC0">
        <w:t>Miami University</w:t>
      </w:r>
      <w:r>
        <w:t xml:space="preserve"> that it had initiated</w:t>
      </w:r>
      <w:r w:rsidR="00E76F59">
        <w:t xml:space="preserve"> </w:t>
      </w:r>
      <w:r w:rsidR="007F4A4A">
        <w:t>an investigation</w:t>
      </w:r>
      <w:r w:rsidR="00E76F59">
        <w:t xml:space="preserve"> </w:t>
      </w:r>
      <w:r w:rsidR="007F4A4A">
        <w:t>to review Miami University’s compliance with Title II</w:t>
      </w:r>
      <w:r w:rsidR="007F4A4A" w:rsidDel="007F4A4A">
        <w:t xml:space="preserve"> </w:t>
      </w:r>
      <w:r w:rsidR="00181BC4">
        <w:t xml:space="preserve">and its implementing regulation.  </w:t>
      </w:r>
      <w:r w:rsidR="00C2009D">
        <w:t xml:space="preserve">28 C.F.R. § 35.172.  During </w:t>
      </w:r>
      <w:r w:rsidR="0045547B">
        <w:t>its</w:t>
      </w:r>
      <w:r w:rsidR="00C2009D">
        <w:t xml:space="preserve"> compliance review, t</w:t>
      </w:r>
      <w:r w:rsidR="00181BC4">
        <w:t xml:space="preserve">he Department </w:t>
      </w:r>
      <w:r w:rsidR="00C2009D">
        <w:t>investigated</w:t>
      </w:r>
      <w:r w:rsidR="00181BC4">
        <w:t xml:space="preserve"> </w:t>
      </w:r>
      <w:r w:rsidR="00C77EC0">
        <w:t>Miami University</w:t>
      </w:r>
      <w:r w:rsidR="00181BC4">
        <w:t xml:space="preserve">’s </w:t>
      </w:r>
      <w:r w:rsidR="008651AD">
        <w:t xml:space="preserve">use of </w:t>
      </w:r>
      <w:r w:rsidR="00B43E43">
        <w:t>various web-based and digital technologies</w:t>
      </w:r>
      <w:r w:rsidR="00181BC4">
        <w:t xml:space="preserve"> to determine whether individuals with disabilities </w:t>
      </w:r>
      <w:r w:rsidR="0045547B">
        <w:t xml:space="preserve">could </w:t>
      </w:r>
      <w:r w:rsidR="00181BC4">
        <w:t xml:space="preserve">equally participate in and benefit from </w:t>
      </w:r>
      <w:r w:rsidR="00C77EC0">
        <w:t>Miami University</w:t>
      </w:r>
      <w:r w:rsidR="00181BC4">
        <w:t>’s curricular and co-curricular servi</w:t>
      </w:r>
      <w:r w:rsidR="00C2009D">
        <w:t>ces, programs, and activities.</w:t>
      </w:r>
    </w:p>
    <w:p w:rsidR="00952682" w:rsidRDefault="00FE57E3" w:rsidP="001C2E68">
      <w:pPr>
        <w:spacing w:line="480" w:lineRule="auto"/>
        <w:ind w:firstLine="720"/>
      </w:pPr>
      <w:r>
        <w:t xml:space="preserve">On June 25, 2014, the Department notified the parties </w:t>
      </w:r>
      <w:r w:rsidR="007F4A4A">
        <w:t>of its finding</w:t>
      </w:r>
      <w:r w:rsidR="0045547B">
        <w:t xml:space="preserve"> </w:t>
      </w:r>
      <w:r w:rsidR="00A32A49">
        <w:t xml:space="preserve">that </w:t>
      </w:r>
      <w:r w:rsidR="00C77EC0">
        <w:t>Miami University</w:t>
      </w:r>
      <w:r w:rsidR="00A32A49">
        <w:t xml:space="preserve"> had violated</w:t>
      </w:r>
      <w:r>
        <w:t xml:space="preserve"> </w:t>
      </w:r>
      <w:r w:rsidR="00B43E43">
        <w:t>Title II of the ADA and its implementing regulation, 28 C.F.R. pt. 35</w:t>
      </w:r>
      <w:r w:rsidR="00AE3F5C">
        <w:t>.</w:t>
      </w:r>
      <w:r w:rsidR="00CF0AB5">
        <w:t xml:space="preserve">  </w:t>
      </w:r>
      <w:r w:rsidR="00075441">
        <w:t>Based on its investigation, the Department</w:t>
      </w:r>
      <w:r w:rsidR="002367A3">
        <w:t xml:space="preserve"> </w:t>
      </w:r>
      <w:r w:rsidR="00695E9E">
        <w:t>found</w:t>
      </w:r>
      <w:r w:rsidR="008A3262">
        <w:t xml:space="preserve"> that</w:t>
      </w:r>
      <w:r w:rsidR="000D6DC3">
        <w:t xml:space="preserve"> </w:t>
      </w:r>
      <w:r w:rsidR="00C77EC0">
        <w:t>Miami University</w:t>
      </w:r>
      <w:r w:rsidR="00952682">
        <w:t xml:space="preserve"> has:</w:t>
      </w:r>
    </w:p>
    <w:p w:rsidR="00952682" w:rsidRDefault="007262BC" w:rsidP="00FF117D">
      <w:pPr>
        <w:numPr>
          <w:ilvl w:val="0"/>
          <w:numId w:val="8"/>
        </w:numPr>
        <w:spacing w:after="240"/>
      </w:pPr>
      <w:r>
        <w:lastRenderedPageBreak/>
        <w:t>Used technologies that are inaccessible to</w:t>
      </w:r>
      <w:r w:rsidR="00E27918">
        <w:t xml:space="preserve"> individuals with disabilities</w:t>
      </w:r>
      <w:r w:rsidR="00127FB8">
        <w:t xml:space="preserve">, including </w:t>
      </w:r>
      <w:r w:rsidR="00960FB3">
        <w:t xml:space="preserve">those with </w:t>
      </w:r>
      <w:r w:rsidR="00127FB8">
        <w:t xml:space="preserve">learning, hearing, </w:t>
      </w:r>
      <w:r w:rsidR="00A32A49">
        <w:t>and vision</w:t>
      </w:r>
      <w:r w:rsidR="00127FB8">
        <w:t xml:space="preserve"> disabilities</w:t>
      </w:r>
      <w:r w:rsidR="00E27918">
        <w:t xml:space="preserve">.  </w:t>
      </w:r>
      <w:r w:rsidR="00C77EC0">
        <w:t>Miami University</w:t>
      </w:r>
      <w:r w:rsidR="006F2B87">
        <w:t>’s use of such technologies</w:t>
      </w:r>
      <w:r w:rsidR="00E27918">
        <w:t xml:space="preserve"> </w:t>
      </w:r>
      <w:r w:rsidR="00740070">
        <w:t xml:space="preserve">has </w:t>
      </w:r>
      <w:r w:rsidR="0091764E">
        <w:t>denied</w:t>
      </w:r>
      <w:r>
        <w:t xml:space="preserve"> </w:t>
      </w:r>
      <w:r w:rsidR="0091764E">
        <w:t xml:space="preserve">individuals </w:t>
      </w:r>
      <w:r w:rsidR="00FF117D">
        <w:t>with disabilities</w:t>
      </w:r>
      <w:r w:rsidR="00BC10BD">
        <w:t xml:space="preserve"> </w:t>
      </w:r>
      <w:r w:rsidR="00FF117D">
        <w:t xml:space="preserve">the opportunity to </w:t>
      </w:r>
      <w:r w:rsidR="007B40A5">
        <w:t xml:space="preserve">equally </w:t>
      </w:r>
      <w:r w:rsidR="00FF117D">
        <w:t xml:space="preserve">participate </w:t>
      </w:r>
      <w:r w:rsidR="005724E4">
        <w:t xml:space="preserve">in </w:t>
      </w:r>
      <w:r w:rsidR="00FF117D">
        <w:t xml:space="preserve">and benefit from </w:t>
      </w:r>
      <w:r w:rsidR="00C77EC0">
        <w:t>Miami University</w:t>
      </w:r>
      <w:r w:rsidR="00FF117D">
        <w:t>’s curricular and co-curricular services, programs, and activities</w:t>
      </w:r>
      <w:r w:rsidR="000D6DC3">
        <w:t xml:space="preserve">.  </w:t>
      </w:r>
      <w:r w:rsidR="00952682" w:rsidRPr="00FF117D">
        <w:rPr>
          <w:i/>
        </w:rPr>
        <w:t xml:space="preserve">See </w:t>
      </w:r>
      <w:r w:rsidR="000D6DC3">
        <w:t xml:space="preserve">42 U.S.C. § 12132; 28 C.F.R. § 35.130.  </w:t>
      </w:r>
    </w:p>
    <w:p w:rsidR="00692EC1" w:rsidRDefault="00263B38" w:rsidP="00FF117D">
      <w:pPr>
        <w:numPr>
          <w:ilvl w:val="0"/>
          <w:numId w:val="8"/>
        </w:numPr>
        <w:spacing w:after="240"/>
      </w:pPr>
      <w:r>
        <w:t xml:space="preserve">Failed to </w:t>
      </w:r>
      <w:r w:rsidRPr="00263B38">
        <w:t>ensure</w:t>
      </w:r>
      <w:r w:rsidR="00E27DFA">
        <w:t>, through the provision of appropriate auxiliary aids and services,</w:t>
      </w:r>
      <w:r w:rsidRPr="00263B38">
        <w:t xml:space="preserve"> that communications with </w:t>
      </w:r>
      <w:r w:rsidR="006F2B87">
        <w:t>individuals</w:t>
      </w:r>
      <w:r w:rsidRPr="00263B38">
        <w:t xml:space="preserve"> with disabilities are as effective as communications with others</w:t>
      </w:r>
      <w:r w:rsidR="00692EC1">
        <w:t xml:space="preserve">.  </w:t>
      </w:r>
      <w:r w:rsidR="00692EC1">
        <w:rPr>
          <w:i/>
        </w:rPr>
        <w:t xml:space="preserve">See </w:t>
      </w:r>
      <w:r w:rsidR="00692EC1">
        <w:t>28 C.F.R. § 35.160.</w:t>
      </w:r>
    </w:p>
    <w:p w:rsidR="000D6DC3" w:rsidRDefault="00A055D5" w:rsidP="00FF117D">
      <w:pPr>
        <w:numPr>
          <w:ilvl w:val="0"/>
          <w:numId w:val="8"/>
        </w:numPr>
        <w:spacing w:after="240"/>
      </w:pPr>
      <w:r>
        <w:t xml:space="preserve">Failed to </w:t>
      </w:r>
      <w:r w:rsidR="000D6DC3">
        <w:t xml:space="preserve">reasonably modify its policies, practices, and procedures </w:t>
      </w:r>
      <w:r w:rsidR="00973EFC">
        <w:t xml:space="preserve">where necessary </w:t>
      </w:r>
      <w:r w:rsidR="00872D86">
        <w:t xml:space="preserve">to </w:t>
      </w:r>
      <w:r w:rsidR="00973EFC">
        <w:t xml:space="preserve">avoid discrimination on the basis of disability. </w:t>
      </w:r>
      <w:r w:rsidR="00FF117D">
        <w:rPr>
          <w:i/>
        </w:rPr>
        <w:t xml:space="preserve"> </w:t>
      </w:r>
      <w:r w:rsidR="006F349D">
        <w:t>28 C.F.R. §</w:t>
      </w:r>
      <w:r>
        <w:t xml:space="preserve"> 35.130(b</w:t>
      </w:r>
      <w:proofErr w:type="gramStart"/>
      <w:r>
        <w:t>)(</w:t>
      </w:r>
      <w:proofErr w:type="gramEnd"/>
      <w:r>
        <w:t>7)</w:t>
      </w:r>
      <w:r w:rsidR="000D6DC3">
        <w:t>.</w:t>
      </w:r>
    </w:p>
    <w:p w:rsidR="00973EFC" w:rsidRDefault="0082456F" w:rsidP="00CF0AB5">
      <w:pPr>
        <w:spacing w:line="480" w:lineRule="auto"/>
      </w:pPr>
      <w:r>
        <w:t>T</w:t>
      </w:r>
      <w:r w:rsidR="00740070">
        <w:t>he Department</w:t>
      </w:r>
      <w:r w:rsidR="006F2B87">
        <w:t xml:space="preserve"> also</w:t>
      </w:r>
      <w:r w:rsidR="00740070">
        <w:t xml:space="preserve"> notified the parties </w:t>
      </w:r>
      <w:r w:rsidR="0045547B">
        <w:t xml:space="preserve">that it </w:t>
      </w:r>
      <w:r w:rsidR="00385D53">
        <w:t>inten</w:t>
      </w:r>
      <w:r w:rsidR="0045547B">
        <w:t>ded</w:t>
      </w:r>
      <w:r w:rsidR="00FE57E3">
        <w:t xml:space="preserve"> to </w:t>
      </w:r>
      <w:r w:rsidR="0045547B">
        <w:t xml:space="preserve">seek </w:t>
      </w:r>
      <w:r w:rsidR="00BE79E1">
        <w:t xml:space="preserve">to intervene </w:t>
      </w:r>
      <w:r w:rsidR="00FE57E3">
        <w:t xml:space="preserve">in this </w:t>
      </w:r>
      <w:r w:rsidR="00FA48A9">
        <w:t>action</w:t>
      </w:r>
      <w:r w:rsidR="00AC5068">
        <w:t xml:space="preserve">.  </w:t>
      </w:r>
      <w:r w:rsidR="00BC10BD">
        <w:t>But b</w:t>
      </w:r>
      <w:r w:rsidR="00AC5068">
        <w:t xml:space="preserve">efore seeking </w:t>
      </w:r>
      <w:r w:rsidR="0027089C">
        <w:t>to intervene</w:t>
      </w:r>
      <w:r w:rsidR="00AC5068">
        <w:t xml:space="preserve">, </w:t>
      </w:r>
      <w:r w:rsidR="00BC10BD">
        <w:t xml:space="preserve">the Department </w:t>
      </w:r>
      <w:r w:rsidR="00E8466F">
        <w:t xml:space="preserve">first </w:t>
      </w:r>
      <w:r w:rsidR="00BC10BD">
        <w:t>en</w:t>
      </w:r>
      <w:r w:rsidR="0045547B">
        <w:t xml:space="preserve">gaged in </w:t>
      </w:r>
      <w:r w:rsidR="00E8466F">
        <w:t>the parties’</w:t>
      </w:r>
      <w:r w:rsidR="00973EFC">
        <w:t xml:space="preserve"> efforts </w:t>
      </w:r>
      <w:r w:rsidR="0045547B">
        <w:t xml:space="preserve">to mutually </w:t>
      </w:r>
      <w:r w:rsidR="00973EFC">
        <w:t>resol</w:t>
      </w:r>
      <w:r w:rsidR="0045547B">
        <w:t>ve the action</w:t>
      </w:r>
      <w:r w:rsidR="00233743">
        <w:t xml:space="preserve">.  </w:t>
      </w:r>
      <w:r w:rsidR="006F5633">
        <w:t>(</w:t>
      </w:r>
      <w:r w:rsidR="00B819E5" w:rsidRPr="002A1EF3">
        <w:rPr>
          <w:i/>
        </w:rPr>
        <w:t>See</w:t>
      </w:r>
      <w:r w:rsidR="00B819E5">
        <w:t xml:space="preserve"> Order of Apr. 23, 2014 at 1, Doc. 22</w:t>
      </w:r>
      <w:r w:rsidR="006F2B87">
        <w:t xml:space="preserve"> at PageID 214</w:t>
      </w:r>
      <w:r w:rsidR="00B819E5">
        <w:t xml:space="preserve"> (</w:t>
      </w:r>
      <w:r w:rsidR="006F5633">
        <w:t>tolling</w:t>
      </w:r>
      <w:r w:rsidR="00B819E5">
        <w:t xml:space="preserve"> </w:t>
      </w:r>
      <w:r w:rsidR="006F5633">
        <w:t xml:space="preserve">deadlines for </w:t>
      </w:r>
      <w:r w:rsidR="00B819E5">
        <w:t>all responsive pleadings to permit efforts at extrajudicial resolution)</w:t>
      </w:r>
      <w:r w:rsidR="00FC101C">
        <w:t>.</w:t>
      </w:r>
      <w:r w:rsidR="007F4A4A">
        <w:t>)</w:t>
      </w:r>
      <w:r w:rsidR="00C75976">
        <w:t xml:space="preserve">  </w:t>
      </w:r>
      <w:r w:rsidR="00233743">
        <w:t xml:space="preserve">Since </w:t>
      </w:r>
      <w:r w:rsidR="00B003F3">
        <w:t>th</w:t>
      </w:r>
      <w:r w:rsidR="0045547B">
        <w:t>at time</w:t>
      </w:r>
      <w:r w:rsidR="00233743">
        <w:t xml:space="preserve">, </w:t>
      </w:r>
      <w:r w:rsidR="004F5D8D">
        <w:t xml:space="preserve">the </w:t>
      </w:r>
      <w:r w:rsidR="0096336C">
        <w:t>Department</w:t>
      </w:r>
      <w:r w:rsidR="004F5D8D">
        <w:t xml:space="preserve"> has</w:t>
      </w:r>
      <w:r w:rsidR="00D4298E">
        <w:t xml:space="preserve"> participated in</w:t>
      </w:r>
      <w:r w:rsidR="004F5D8D">
        <w:t xml:space="preserve"> </w:t>
      </w:r>
      <w:r w:rsidR="0045547B">
        <w:t xml:space="preserve">resolution </w:t>
      </w:r>
      <w:r w:rsidR="009B4EE8">
        <w:t>discussions</w:t>
      </w:r>
      <w:r w:rsidR="0091764E">
        <w:t xml:space="preserve"> with the parties</w:t>
      </w:r>
      <w:r w:rsidR="004F5D8D">
        <w:t>.</w:t>
      </w:r>
      <w:r w:rsidR="000E4CDE">
        <w:t xml:space="preserve">  </w:t>
      </w:r>
      <w:r w:rsidR="006F2B87">
        <w:t>However, t</w:t>
      </w:r>
      <w:r w:rsidR="000C1D69">
        <w:t>o</w:t>
      </w:r>
      <w:r w:rsidR="00825833">
        <w:t xml:space="preserve"> preserve </w:t>
      </w:r>
      <w:r w:rsidR="007F4A4A">
        <w:t xml:space="preserve">the United States’ </w:t>
      </w:r>
      <w:r w:rsidR="00825833">
        <w:t xml:space="preserve">rights </w:t>
      </w:r>
      <w:r w:rsidR="00D57EDA">
        <w:t xml:space="preserve">and </w:t>
      </w:r>
      <w:r w:rsidR="007F4A4A">
        <w:t xml:space="preserve">to </w:t>
      </w:r>
      <w:r w:rsidR="00D4298E">
        <w:t>avoid</w:t>
      </w:r>
      <w:r w:rsidR="00D57EDA">
        <w:t xml:space="preserve"> prejudice </w:t>
      </w:r>
      <w:r w:rsidR="00D4298E">
        <w:t xml:space="preserve">to </w:t>
      </w:r>
      <w:r w:rsidR="008D6061">
        <w:t xml:space="preserve">the United States </w:t>
      </w:r>
      <w:r w:rsidR="0045547B">
        <w:t xml:space="preserve">and </w:t>
      </w:r>
      <w:r w:rsidR="00D57EDA">
        <w:t>the parties,</w:t>
      </w:r>
      <w:r w:rsidR="00233743">
        <w:t xml:space="preserve"> t</w:t>
      </w:r>
      <w:r w:rsidR="00973EFC">
        <w:t xml:space="preserve">he United States </w:t>
      </w:r>
      <w:r w:rsidR="00BC10BD">
        <w:t xml:space="preserve">now </w:t>
      </w:r>
      <w:r w:rsidR="0045547B">
        <w:t>s</w:t>
      </w:r>
      <w:r w:rsidR="00D4298E">
        <w:t>eeks</w:t>
      </w:r>
      <w:r w:rsidR="00D57EDA">
        <w:t xml:space="preserve"> to </w:t>
      </w:r>
      <w:r w:rsidR="0045547B">
        <w:t>intervene</w:t>
      </w:r>
      <w:r w:rsidR="00BC10BD">
        <w:t xml:space="preserve"> in this action</w:t>
      </w:r>
      <w:r w:rsidR="00973EFC">
        <w:t>.</w:t>
      </w:r>
    </w:p>
    <w:p w:rsidR="00020FB1" w:rsidRPr="00921A32" w:rsidRDefault="00332F9B" w:rsidP="00921A32">
      <w:pPr>
        <w:pStyle w:val="Heading1"/>
      </w:pPr>
      <w:r w:rsidRPr="00921A32">
        <w:t>ARGUMENT</w:t>
      </w:r>
    </w:p>
    <w:p w:rsidR="00020FB1" w:rsidRPr="00921A32" w:rsidRDefault="00E1138E" w:rsidP="00921A32">
      <w:pPr>
        <w:pStyle w:val="Heading2"/>
      </w:pPr>
      <w:r w:rsidRPr="00921A32">
        <w:t xml:space="preserve">The United States </w:t>
      </w:r>
      <w:r w:rsidR="00DF3B67" w:rsidRPr="00921A32">
        <w:t>Should Be Permitted</w:t>
      </w:r>
      <w:r w:rsidRPr="00921A32">
        <w:t xml:space="preserve"> to Intervene as of Right.</w:t>
      </w:r>
    </w:p>
    <w:p w:rsidR="00BD5987" w:rsidRDefault="00496887" w:rsidP="00BE79E1">
      <w:pPr>
        <w:keepNext/>
        <w:spacing w:line="480" w:lineRule="auto"/>
        <w:ind w:firstLine="720"/>
      </w:pPr>
      <w:r>
        <w:t>Federal Rule of Civil Procedure 24(a</w:t>
      </w:r>
      <w:proofErr w:type="gramStart"/>
      <w:r>
        <w:t>)(</w:t>
      </w:r>
      <w:proofErr w:type="gramEnd"/>
      <w:r>
        <w:t>2)</w:t>
      </w:r>
      <w:r w:rsidR="0061437A">
        <w:t xml:space="preserve"> provides that </w:t>
      </w:r>
      <w:r w:rsidR="00DD3E7D">
        <w:t xml:space="preserve">a court must </w:t>
      </w:r>
      <w:r>
        <w:t xml:space="preserve">permit intervention </w:t>
      </w:r>
      <w:r w:rsidR="004F63BA">
        <w:t xml:space="preserve">on timely application </w:t>
      </w:r>
      <w:r>
        <w:t xml:space="preserve">by </w:t>
      </w:r>
      <w:r w:rsidR="006A1F4A">
        <w:t>anyone</w:t>
      </w:r>
      <w:r>
        <w:t>: (1) who “</w:t>
      </w:r>
      <w:r w:rsidR="004F63BA">
        <w:t>claim</w:t>
      </w:r>
      <w:r w:rsidR="006A1F4A">
        <w:t>s</w:t>
      </w:r>
      <w:r>
        <w:t xml:space="preserve"> an interest relating to the </w:t>
      </w:r>
      <w:r w:rsidR="00BE701D">
        <w:t>property or</w:t>
      </w:r>
      <w:r>
        <w:t xml:space="preserve"> transaction that is the subject of the action,” and (2) whose interest may be “impair[ed] or impede[d]”</w:t>
      </w:r>
      <w:r w:rsidR="004F63BA">
        <w:t xml:space="preserve"> by disposition of the action, “unless existing parties adequately represent that interest.”  Fed. R. Civ. P. 24(a)(2).  </w:t>
      </w:r>
      <w:r w:rsidR="00EE0D2C">
        <w:t>T</w:t>
      </w:r>
      <w:r w:rsidR="008E3B39">
        <w:t>his</w:t>
      </w:r>
      <w:r w:rsidR="00EE0D2C">
        <w:t xml:space="preserve"> Rule is “broadly construed in favor of potential </w:t>
      </w:r>
      <w:proofErr w:type="spellStart"/>
      <w:r w:rsidR="00EE0D2C">
        <w:t>intervenors</w:t>
      </w:r>
      <w:proofErr w:type="spellEnd"/>
      <w:r w:rsidR="00EE0D2C">
        <w:t xml:space="preserve">,” </w:t>
      </w:r>
      <w:r w:rsidR="00F66D35">
        <w:t xml:space="preserve">who </w:t>
      </w:r>
      <w:r w:rsidR="00021308">
        <w:t xml:space="preserve">must be permitted </w:t>
      </w:r>
      <w:r w:rsidR="00C628A3">
        <w:t xml:space="preserve">to intervene </w:t>
      </w:r>
      <w:r w:rsidR="00021308">
        <w:t>if</w:t>
      </w:r>
      <w:r w:rsidR="00EE0D2C">
        <w:t>:</w:t>
      </w:r>
      <w:r w:rsidR="00BE79E1">
        <w:t xml:space="preserve"> “</w:t>
      </w:r>
      <w:r w:rsidR="0056407B">
        <w:t xml:space="preserve">1) the application was timely filed; 2) the applicant possesses a substantial legal interest in the case; 3) the applicant’s ability to protect its interest will be impaired without intervention; and 4) the existing parties will not adequately </w:t>
      </w:r>
      <w:r w:rsidR="0056407B">
        <w:lastRenderedPageBreak/>
        <w:t>represent the applicant’s interest.</w:t>
      </w:r>
      <w:r w:rsidR="00BE79E1">
        <w:t>”</w:t>
      </w:r>
      <w:r w:rsidR="00BE79E1">
        <w:rPr>
          <w:i/>
        </w:rPr>
        <w:t xml:space="preserve">  </w:t>
      </w:r>
      <w:r w:rsidR="003511BA">
        <w:rPr>
          <w:i/>
        </w:rPr>
        <w:t>Ohio State Conference of NAACP</w:t>
      </w:r>
      <w:r w:rsidR="003511BA" w:rsidRPr="003511BA">
        <w:rPr>
          <w:i/>
        </w:rPr>
        <w:t xml:space="preserve"> v. Husted</w:t>
      </w:r>
      <w:r w:rsidR="0056407B">
        <w:t xml:space="preserve">, </w:t>
      </w:r>
      <w:r w:rsidR="003511BA">
        <w:t>588 F. App’x</w:t>
      </w:r>
      <w:r w:rsidR="003511BA" w:rsidRPr="003511BA">
        <w:t xml:space="preserve"> 488</w:t>
      </w:r>
      <w:r w:rsidR="003511BA">
        <w:t>, 490</w:t>
      </w:r>
      <w:r w:rsidR="0056407B">
        <w:t xml:space="preserve"> (</w:t>
      </w:r>
      <w:r w:rsidR="003511BA">
        <w:t>6th Cir. 2014</w:t>
      </w:r>
      <w:r w:rsidR="00F2796F">
        <w:t>)</w:t>
      </w:r>
      <w:r w:rsidR="003511BA">
        <w:t xml:space="preserve"> (</w:t>
      </w:r>
      <w:r w:rsidR="00AE3E99">
        <w:t>citation omitted</w:t>
      </w:r>
      <w:r w:rsidR="005A3D27">
        <w:t>)</w:t>
      </w:r>
      <w:r w:rsidR="00F2796F">
        <w:t xml:space="preserve">; </w:t>
      </w:r>
      <w:r w:rsidR="00B01A89">
        <w:rPr>
          <w:i/>
        </w:rPr>
        <w:t xml:space="preserve">see </w:t>
      </w:r>
      <w:r w:rsidR="00B01A89">
        <w:rPr>
          <w:i/>
          <w:iCs/>
        </w:rPr>
        <w:t>Grutter v. Bollinger</w:t>
      </w:r>
      <w:r w:rsidR="00B01A89">
        <w:rPr>
          <w:iCs/>
        </w:rPr>
        <w:t>, 188 F.3d 394, 397-98 (6th Cir. 1999) (same)</w:t>
      </w:r>
      <w:r w:rsidR="008E3B39">
        <w:rPr>
          <w:iCs/>
        </w:rPr>
        <w:t>.</w:t>
      </w:r>
      <w:r w:rsidR="00610D53">
        <w:rPr>
          <w:iCs/>
        </w:rPr>
        <w:t xml:space="preserve">  The United States meets each of the</w:t>
      </w:r>
      <w:r w:rsidR="00AB2BDE">
        <w:rPr>
          <w:iCs/>
        </w:rPr>
        <w:t>se</w:t>
      </w:r>
      <w:r w:rsidR="00610D53">
        <w:rPr>
          <w:iCs/>
        </w:rPr>
        <w:t xml:space="preserve"> </w:t>
      </w:r>
      <w:r w:rsidR="006F349D">
        <w:rPr>
          <w:iCs/>
        </w:rPr>
        <w:t>requirements</w:t>
      </w:r>
      <w:r w:rsidR="00610D53">
        <w:rPr>
          <w:iCs/>
        </w:rPr>
        <w:t xml:space="preserve"> for intervention as of right.</w:t>
      </w:r>
    </w:p>
    <w:p w:rsidR="00814898" w:rsidRPr="00921A32" w:rsidRDefault="00814898" w:rsidP="00921A32">
      <w:pPr>
        <w:pStyle w:val="Heading3"/>
      </w:pPr>
      <w:r w:rsidRPr="00921A32">
        <w:t>The United States’ Motion is Timely.</w:t>
      </w:r>
    </w:p>
    <w:p w:rsidR="005B0EF0" w:rsidRDefault="00B736A1" w:rsidP="0082571E">
      <w:pPr>
        <w:spacing w:line="480" w:lineRule="auto"/>
        <w:ind w:firstLine="720"/>
      </w:pPr>
      <w:r>
        <w:t xml:space="preserve">The timeliness of an application for intervention </w:t>
      </w:r>
      <w:r w:rsidR="002B58E0">
        <w:t xml:space="preserve">is evaluated “in the context of all relevant circumstances,” </w:t>
      </w:r>
      <w:r w:rsidR="002A4716">
        <w:t>including</w:t>
      </w:r>
      <w:r w:rsidR="005B0EF0">
        <w:t>:</w:t>
      </w:r>
    </w:p>
    <w:p w:rsidR="005B0EF0" w:rsidRDefault="005B0EF0" w:rsidP="005B0EF0">
      <w:pPr>
        <w:spacing w:after="240"/>
        <w:ind w:left="720" w:right="720"/>
        <w:jc w:val="both"/>
      </w:pPr>
      <w:r w:rsidRPr="002B58E0">
        <w:t xml:space="preserve">(1) the point to which the suit has progressed; (2) the purpose for which intervention is sought; (3) the length of time preceding the application during which the proposed intervenors knew or should have known of their interest in the case; (4) the prejudice to the original parties </w:t>
      </w:r>
      <w:r w:rsidR="005104B6">
        <w:t>due to the proposed intervenors’</w:t>
      </w:r>
      <w:r w:rsidRPr="002B58E0">
        <w:t xml:space="preserve"> failure to promptly intervene after they knew or reasonably should have known of their interest in the case; and (5) the existence of unusual circumstances militating against or in favor of intervention</w:t>
      </w:r>
      <w:r>
        <w:t>.</w:t>
      </w:r>
    </w:p>
    <w:p w:rsidR="001935B3" w:rsidRDefault="00A43279" w:rsidP="005B0EF0">
      <w:pPr>
        <w:spacing w:line="480" w:lineRule="auto"/>
      </w:pPr>
      <w:r w:rsidRPr="00580220">
        <w:rPr>
          <w:i/>
        </w:rPr>
        <w:t xml:space="preserve">Jansen v. City of </w:t>
      </w:r>
      <w:r w:rsidR="00726CF1">
        <w:rPr>
          <w:i/>
        </w:rPr>
        <w:t>Cincinnati</w:t>
      </w:r>
      <w:r w:rsidRPr="00814898">
        <w:t>, 904 F.2d 336, 340 (6th Cir. 1990)</w:t>
      </w:r>
      <w:r w:rsidR="00D7759C">
        <w:t xml:space="preserve">; </w:t>
      </w:r>
      <w:r w:rsidR="00D7759C">
        <w:rPr>
          <w:i/>
        </w:rPr>
        <w:t xml:space="preserve">see United States v. City of </w:t>
      </w:r>
      <w:r w:rsidR="00D7759C" w:rsidRPr="00171D32">
        <w:rPr>
          <w:i/>
        </w:rPr>
        <w:t>Detroit</w:t>
      </w:r>
      <w:r w:rsidR="00D7759C">
        <w:t>, 712 F.3d 925, 930-31 (6th Cir. 2013) (same)</w:t>
      </w:r>
      <w:r>
        <w:t>.</w:t>
      </w:r>
      <w:r w:rsidR="000C4DA3">
        <w:t xml:space="preserve">  </w:t>
      </w:r>
    </w:p>
    <w:p w:rsidR="002A1A85" w:rsidRDefault="00FC5C40" w:rsidP="006066ED">
      <w:pPr>
        <w:spacing w:line="480" w:lineRule="auto"/>
        <w:ind w:firstLine="720"/>
      </w:pPr>
      <w:r>
        <w:t>H</w:t>
      </w:r>
      <w:r w:rsidR="00214427">
        <w:t xml:space="preserve">ere, </w:t>
      </w:r>
      <w:r w:rsidR="003A4204">
        <w:t xml:space="preserve">the </w:t>
      </w:r>
      <w:r w:rsidR="0080550B">
        <w:t>case</w:t>
      </w:r>
      <w:r w:rsidR="003A4204">
        <w:t xml:space="preserve"> is still at </w:t>
      </w:r>
      <w:r w:rsidR="0084668D">
        <w:t>the earliest</w:t>
      </w:r>
      <w:r w:rsidR="003A4204">
        <w:t xml:space="preserve"> </w:t>
      </w:r>
      <w:r w:rsidR="007E6D5A">
        <w:t>stage</w:t>
      </w:r>
      <w:r w:rsidR="00CA2433">
        <w:t xml:space="preserve">.  </w:t>
      </w:r>
      <w:r w:rsidR="00C77EC0">
        <w:t>Miami University</w:t>
      </w:r>
      <w:r w:rsidR="008A647C">
        <w:t xml:space="preserve"> and Dr. Hodge have neither answered nor moved to </w:t>
      </w:r>
      <w:r w:rsidR="00BC10BD">
        <w:t>dismiss Ms. Dudley’s Complaint, as t</w:t>
      </w:r>
      <w:r w:rsidR="008A647C">
        <w:t>he Court has tolled all deadlines for responsive pleadings to permit the parties to “</w:t>
      </w:r>
      <w:r w:rsidR="008A647C" w:rsidRPr="007A3CD3">
        <w:t xml:space="preserve">focus their efforts </w:t>
      </w:r>
      <w:r w:rsidR="008A647C">
        <w:t>on resolution and not briefing.”  (</w:t>
      </w:r>
      <w:r w:rsidR="008A647C">
        <w:rPr>
          <w:i/>
        </w:rPr>
        <w:t>See</w:t>
      </w:r>
      <w:r w:rsidR="008A647C">
        <w:t xml:space="preserve"> Order of</w:t>
      </w:r>
      <w:r w:rsidR="008A647C">
        <w:rPr>
          <w:i/>
        </w:rPr>
        <w:t xml:space="preserve"> </w:t>
      </w:r>
      <w:r w:rsidR="008A647C">
        <w:t>Apr. 23, 2014 at 1, Doc. 22, PageID 214.)  N</w:t>
      </w:r>
      <w:r w:rsidR="00D14094">
        <w:t xml:space="preserve">o scheduling order </w:t>
      </w:r>
      <w:r w:rsidR="00BC10BD">
        <w:t xml:space="preserve">has been entered.  </w:t>
      </w:r>
      <w:r w:rsidR="008E1B77">
        <w:t>N</w:t>
      </w:r>
      <w:r w:rsidR="008A647C">
        <w:t>o</w:t>
      </w:r>
      <w:r w:rsidR="00A4525D">
        <w:t xml:space="preserve"> factual or legal issues</w:t>
      </w:r>
      <w:r w:rsidR="008A647C">
        <w:t xml:space="preserve"> have been litigated</w:t>
      </w:r>
      <w:r w:rsidR="00A4525D">
        <w:t xml:space="preserve">.  </w:t>
      </w:r>
      <w:r w:rsidR="008E1B77">
        <w:t>And t</w:t>
      </w:r>
      <w:r w:rsidR="00D06701">
        <w:t xml:space="preserve">he parties </w:t>
      </w:r>
      <w:r w:rsidR="008A647C">
        <w:t>will</w:t>
      </w:r>
      <w:r w:rsidR="00D14094">
        <w:t xml:space="preserve"> not </w:t>
      </w:r>
      <w:r w:rsidR="008A647C">
        <w:t xml:space="preserve">be </w:t>
      </w:r>
      <w:r w:rsidR="00D06701">
        <w:t>prejudice</w:t>
      </w:r>
      <w:r w:rsidR="00D14094">
        <w:t>d</w:t>
      </w:r>
      <w:r w:rsidR="00D06701">
        <w:t xml:space="preserve"> </w:t>
      </w:r>
      <w:r w:rsidR="00D14094">
        <w:t xml:space="preserve">by the </w:t>
      </w:r>
      <w:r w:rsidR="008A647C">
        <w:t>United States’ intervention</w:t>
      </w:r>
      <w:r w:rsidR="008E1B77">
        <w:t>:</w:t>
      </w:r>
      <w:r w:rsidR="00D14094">
        <w:t xml:space="preserve">  T</w:t>
      </w:r>
      <w:r w:rsidR="00755589">
        <w:t>he</w:t>
      </w:r>
      <w:r w:rsidR="00CB2F98">
        <w:t xml:space="preserve"> </w:t>
      </w:r>
      <w:r w:rsidR="009D67AA">
        <w:t>Department</w:t>
      </w:r>
      <w:r w:rsidR="00CB2F98">
        <w:t xml:space="preserve"> </w:t>
      </w:r>
      <w:r w:rsidR="00590379">
        <w:t>notified them in June 2014 of its intent to seek intervention, and has</w:t>
      </w:r>
      <w:r w:rsidR="00AB54A7">
        <w:t xml:space="preserve"> </w:t>
      </w:r>
      <w:r w:rsidR="00E16CC0">
        <w:t>engaged</w:t>
      </w:r>
      <w:r w:rsidR="00CB2F98">
        <w:t xml:space="preserve"> </w:t>
      </w:r>
      <w:r w:rsidR="00D14094">
        <w:t xml:space="preserve">in resolution </w:t>
      </w:r>
      <w:r w:rsidR="00CB2F98">
        <w:t xml:space="preserve">discussions </w:t>
      </w:r>
      <w:r w:rsidR="00755589">
        <w:t xml:space="preserve">with them </w:t>
      </w:r>
      <w:r w:rsidR="00AB54A7">
        <w:t xml:space="preserve">since </w:t>
      </w:r>
      <w:r w:rsidR="00590379">
        <w:t>that time</w:t>
      </w:r>
      <w:r w:rsidR="00755589">
        <w:t xml:space="preserve">.  </w:t>
      </w:r>
      <w:r w:rsidR="008C5140">
        <w:t>Further</w:t>
      </w:r>
      <w:r w:rsidR="00115C1B">
        <w:t>,</w:t>
      </w:r>
      <w:r w:rsidR="007E3AFB">
        <w:t xml:space="preserve"> t</w:t>
      </w:r>
      <w:r w:rsidR="006066ED">
        <w:t xml:space="preserve">he Department’s </w:t>
      </w:r>
      <w:r w:rsidR="00236947" w:rsidRPr="00236947">
        <w:t xml:space="preserve">extensive experience </w:t>
      </w:r>
      <w:r w:rsidR="00B60B18">
        <w:t xml:space="preserve">and expertise </w:t>
      </w:r>
      <w:r w:rsidR="00236947" w:rsidRPr="00236947">
        <w:t xml:space="preserve">with the </w:t>
      </w:r>
      <w:r w:rsidR="006066ED">
        <w:t>ADA</w:t>
      </w:r>
      <w:r w:rsidR="001C5DBA">
        <w:t xml:space="preserve"> and its</w:t>
      </w:r>
      <w:r w:rsidR="006066ED">
        <w:t xml:space="preserve"> implementing </w:t>
      </w:r>
      <w:r w:rsidR="00236947">
        <w:t>regulation</w:t>
      </w:r>
      <w:r w:rsidR="00236947" w:rsidRPr="00236947">
        <w:t xml:space="preserve"> </w:t>
      </w:r>
      <w:r w:rsidR="00CB4249">
        <w:t xml:space="preserve">will </w:t>
      </w:r>
      <w:r w:rsidR="005E367E" w:rsidRPr="00B01F40">
        <w:t>aid</w:t>
      </w:r>
      <w:r w:rsidR="005E367E">
        <w:t xml:space="preserve"> </w:t>
      </w:r>
      <w:r w:rsidR="00C749E2">
        <w:t xml:space="preserve">in the proper </w:t>
      </w:r>
      <w:r w:rsidR="005E367E">
        <w:t>resolution of this litigation</w:t>
      </w:r>
      <w:r w:rsidR="00B01F40">
        <w:t>, not hamper it</w:t>
      </w:r>
      <w:r w:rsidR="008E1B77">
        <w:t>—</w:t>
      </w:r>
      <w:r w:rsidR="007B40A5">
        <w:t>a circumstance that militates</w:t>
      </w:r>
      <w:r w:rsidR="001C5DBA">
        <w:t xml:space="preserve"> in favor of </w:t>
      </w:r>
      <w:r w:rsidR="008E1B77">
        <w:t xml:space="preserve">the United States’ </w:t>
      </w:r>
      <w:r w:rsidR="001C5DBA">
        <w:t>intervention</w:t>
      </w:r>
      <w:r w:rsidR="00B01F40">
        <w:t>.</w:t>
      </w:r>
    </w:p>
    <w:p w:rsidR="00BE79E1" w:rsidRDefault="00B31FB2" w:rsidP="00921A32">
      <w:pPr>
        <w:pStyle w:val="Heading3"/>
      </w:pPr>
      <w:r>
        <w:br w:type="column"/>
      </w:r>
      <w:r w:rsidR="00D76B13">
        <w:lastRenderedPageBreak/>
        <w:t>The United States H</w:t>
      </w:r>
      <w:r w:rsidR="00236947" w:rsidRPr="00236947">
        <w:t>as a Substantial Legal Int</w:t>
      </w:r>
      <w:r w:rsidR="008664AD">
        <w:t>erest in the Su</w:t>
      </w:r>
      <w:r w:rsidR="005E25F5">
        <w:t xml:space="preserve">bject </w:t>
      </w:r>
      <w:r w:rsidR="008664AD">
        <w:t>Matter of T</w:t>
      </w:r>
      <w:r w:rsidR="00236947" w:rsidRPr="00236947">
        <w:t>his Case.</w:t>
      </w:r>
    </w:p>
    <w:p w:rsidR="00563C90" w:rsidRPr="00EF31B3" w:rsidRDefault="00563C90" w:rsidP="00DF5011">
      <w:pPr>
        <w:autoSpaceDE w:val="0"/>
        <w:autoSpaceDN w:val="0"/>
        <w:adjustRightInd w:val="0"/>
        <w:spacing w:line="480" w:lineRule="auto"/>
        <w:ind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United States Court of Appeals for the Sixth Circuit </w:t>
      </w:r>
      <w:r w:rsidR="00A13ACD">
        <w:rPr>
          <w:rFonts w:ascii="TimesNewRoman" w:hAnsi="TimesNewRoman" w:cs="TimesNewRoman"/>
        </w:rPr>
        <w:t>subscribes to a “</w:t>
      </w:r>
      <w:r>
        <w:rPr>
          <w:rFonts w:ascii="TimesNewRoman" w:hAnsi="TimesNewRoman" w:cs="TimesNewRoman"/>
        </w:rPr>
        <w:t xml:space="preserve">rather expansive notion of the interest sufficient to invoke intervention of right.”  </w:t>
      </w:r>
      <w:r w:rsidR="002D214E" w:rsidRPr="000D62D2">
        <w:rPr>
          <w:rFonts w:ascii="TimesNewRoman" w:hAnsi="TimesNewRoman" w:cs="TimesNewRoman"/>
          <w:i/>
        </w:rPr>
        <w:t>Grutter</w:t>
      </w:r>
      <w:r w:rsidR="002D214E">
        <w:rPr>
          <w:rFonts w:ascii="TimesNewRoman" w:hAnsi="TimesNewRoman" w:cs="TimesNewRoman"/>
        </w:rPr>
        <w:t xml:space="preserve">, 188 F.3d </w:t>
      </w:r>
      <w:r w:rsidR="00790489">
        <w:rPr>
          <w:rFonts w:ascii="TimesNewRoman" w:hAnsi="TimesNewRoman" w:cs="TimesNewRoman"/>
        </w:rPr>
        <w:t>at</w:t>
      </w:r>
      <w:r w:rsidR="002D214E">
        <w:rPr>
          <w:rFonts w:ascii="TimesNewRoman" w:hAnsi="TimesNewRoman" w:cs="TimesNewRoman"/>
        </w:rPr>
        <w:t xml:space="preserve"> 398</w:t>
      </w:r>
      <w:r w:rsidR="00790489">
        <w:rPr>
          <w:rFonts w:ascii="TimesNewRoman" w:hAnsi="TimesNewRoman" w:cs="TimesNewRoman"/>
        </w:rPr>
        <w:t xml:space="preserve"> </w:t>
      </w:r>
      <w:r w:rsidR="002D214E">
        <w:rPr>
          <w:rFonts w:ascii="TimesNewRoman" w:hAnsi="TimesNewRoman" w:cs="TimesNewRoman"/>
        </w:rPr>
        <w:t xml:space="preserve">(citation omitted); </w:t>
      </w:r>
      <w:r w:rsidR="002D214E">
        <w:rPr>
          <w:rFonts w:ascii="TimesNewRoman" w:hAnsi="TimesNewRoman" w:cs="TimesNewRoman"/>
          <w:i/>
        </w:rPr>
        <w:t>s</w:t>
      </w:r>
      <w:r w:rsidR="002D214E" w:rsidRPr="000D62D2">
        <w:rPr>
          <w:rFonts w:ascii="TimesNewRoman" w:hAnsi="TimesNewRoman" w:cs="TimesNewRoman"/>
          <w:i/>
        </w:rPr>
        <w:t>ee also Bradley v. Milliken</w:t>
      </w:r>
      <w:r w:rsidR="002D214E">
        <w:rPr>
          <w:rFonts w:ascii="TimesNewRoman" w:hAnsi="TimesNewRoman" w:cs="TimesNewRoman"/>
        </w:rPr>
        <w:t>, 828 F.2d 1186, 1192 (6th</w:t>
      </w:r>
      <w:r w:rsidR="002D214E">
        <w:rPr>
          <w:rFonts w:ascii="TimesNewRoman" w:hAnsi="TimesNewRoman" w:cs="TimesNewRoman"/>
          <w:sz w:val="14"/>
          <w:szCs w:val="14"/>
        </w:rPr>
        <w:t xml:space="preserve"> </w:t>
      </w:r>
      <w:r w:rsidR="002D214E">
        <w:rPr>
          <w:rFonts w:ascii="TimesNewRoman" w:hAnsi="TimesNewRoman" w:cs="TimesNewRoman"/>
        </w:rPr>
        <w:t xml:space="preserve">Cir. 1987) (“‘[I]nterest’ </w:t>
      </w:r>
      <w:r w:rsidR="00A82564">
        <w:rPr>
          <w:rFonts w:ascii="TimesNewRoman" w:hAnsi="TimesNewRoman" w:cs="TimesNewRoman"/>
        </w:rPr>
        <w:t>is to</w:t>
      </w:r>
      <w:r w:rsidR="002D214E">
        <w:rPr>
          <w:rFonts w:ascii="TimesNewRoman" w:hAnsi="TimesNewRoman" w:cs="TimesNewRoman"/>
        </w:rPr>
        <w:t xml:space="preserve"> be construed liberally.”)</w:t>
      </w:r>
      <w:r w:rsidR="00EF31B3">
        <w:rPr>
          <w:rFonts w:ascii="TimesNewRoman" w:hAnsi="TimesNewRoman" w:cs="TimesNewRoman"/>
        </w:rPr>
        <w:t xml:space="preserve">.  </w:t>
      </w:r>
      <w:r w:rsidR="00C071BA">
        <w:rPr>
          <w:rFonts w:ascii="TimesNewRoman" w:hAnsi="TimesNewRoman" w:cs="TimesNewRoman"/>
        </w:rPr>
        <w:t>No</w:t>
      </w:r>
      <w:r>
        <w:rPr>
          <w:rFonts w:ascii="TimesNewRoman" w:hAnsi="TimesNewRoman" w:cs="TimesNewRoman"/>
        </w:rPr>
        <w:t xml:space="preserve"> specific legal or equitable interest</w:t>
      </w:r>
      <w:r w:rsidR="00C071BA">
        <w:rPr>
          <w:rFonts w:ascii="TimesNewRoman" w:hAnsi="TimesNewRoman" w:cs="TimesNewRoman"/>
        </w:rPr>
        <w:t xml:space="preserve"> is required</w:t>
      </w:r>
      <w:r w:rsidR="00DC7A36">
        <w:rPr>
          <w:rFonts w:ascii="TimesNewRoman" w:hAnsi="TimesNewRoman" w:cs="TimesNewRoman"/>
        </w:rPr>
        <w:t xml:space="preserve">, </w:t>
      </w:r>
      <w:r w:rsidR="00AD3245">
        <w:rPr>
          <w:rFonts w:ascii="TimesNewRoman" w:hAnsi="TimesNewRoman" w:cs="TimesNewRoman"/>
          <w:i/>
        </w:rPr>
        <w:t xml:space="preserve">see </w:t>
      </w:r>
      <w:r w:rsidR="00913AE1">
        <w:rPr>
          <w:rFonts w:ascii="TimesNewRoman" w:hAnsi="TimesNewRoman" w:cs="TimesNewRoman"/>
          <w:i/>
        </w:rPr>
        <w:t>Grutter</w:t>
      </w:r>
      <w:r w:rsidR="00913AE1">
        <w:rPr>
          <w:rFonts w:ascii="TimesNewRoman" w:hAnsi="TimesNewRoman" w:cs="TimesNewRoman"/>
        </w:rPr>
        <w:t xml:space="preserve">, 188 F.3d at 398, </w:t>
      </w:r>
      <w:r w:rsidR="00DC7A36">
        <w:rPr>
          <w:rFonts w:ascii="TimesNewRoman" w:hAnsi="TimesNewRoman" w:cs="TimesNewRoman"/>
        </w:rPr>
        <w:t xml:space="preserve">and even “close cases” </w:t>
      </w:r>
      <w:r>
        <w:rPr>
          <w:rFonts w:ascii="TimesNewRoman" w:hAnsi="TimesNewRoman" w:cs="TimesNewRoman"/>
        </w:rPr>
        <w:t>should be “resolved in favor of recognizi</w:t>
      </w:r>
      <w:r w:rsidR="000A0615">
        <w:rPr>
          <w:rFonts w:ascii="TimesNewRoman" w:hAnsi="TimesNewRoman" w:cs="TimesNewRoman"/>
        </w:rPr>
        <w:t>ng an interest under Rule 24(a),</w:t>
      </w:r>
      <w:r>
        <w:rPr>
          <w:rFonts w:ascii="TimesNewRoman" w:hAnsi="TimesNewRoman" w:cs="TimesNewRoman"/>
        </w:rPr>
        <w:t>”</w:t>
      </w:r>
      <w:r w:rsidR="00EF31B3">
        <w:rPr>
          <w:rFonts w:ascii="TimesNewRoman" w:hAnsi="TimesNewRoman" w:cs="TimesNewRoman"/>
        </w:rPr>
        <w:t xml:space="preserve"> </w:t>
      </w:r>
      <w:r w:rsidR="00DF5011" w:rsidRPr="000D62D2">
        <w:rPr>
          <w:rFonts w:ascii="TimesNewRoman" w:hAnsi="TimesNewRoman" w:cs="TimesNewRoman"/>
          <w:i/>
        </w:rPr>
        <w:t>Mich. State AFL-CIO v. Miller</w:t>
      </w:r>
      <w:r w:rsidR="00DF5011">
        <w:rPr>
          <w:rFonts w:ascii="TimesNewRoman" w:hAnsi="TimesNewRoman" w:cs="TimesNewRoman"/>
        </w:rPr>
        <w:t>, 103 F.3d 1240, 1247 (6th Cir. 1997)</w:t>
      </w:r>
      <w:r w:rsidR="00EF31B3">
        <w:rPr>
          <w:rFonts w:ascii="TimesNewRoman" w:hAnsi="TimesNewRoman" w:cs="TimesNewRoman"/>
        </w:rPr>
        <w:t>.</w:t>
      </w:r>
    </w:p>
    <w:p w:rsidR="00EF510A" w:rsidRDefault="00CE5333" w:rsidP="006743A8">
      <w:pPr>
        <w:autoSpaceDE w:val="0"/>
        <w:autoSpaceDN w:val="0"/>
        <w:adjustRightInd w:val="0"/>
        <w:spacing w:line="480" w:lineRule="auto"/>
        <w:ind w:firstLine="720"/>
      </w:pPr>
      <w:r>
        <w:t>T</w:t>
      </w:r>
      <w:r w:rsidR="00EE7A87">
        <w:t>his</w:t>
      </w:r>
      <w:r w:rsidR="003066C5" w:rsidRPr="003066C5">
        <w:t xml:space="preserve"> litigation</w:t>
      </w:r>
      <w:r w:rsidR="005D4970">
        <w:t xml:space="preserve"> </w:t>
      </w:r>
      <w:r w:rsidR="00321E78">
        <w:t>directly implicates the United States’ interest in enforcing Title II of the ADA</w:t>
      </w:r>
      <w:r w:rsidR="003066C5" w:rsidRPr="003066C5">
        <w:t>.</w:t>
      </w:r>
      <w:r w:rsidR="00993B6E">
        <w:t xml:space="preserve">  </w:t>
      </w:r>
      <w:r w:rsidR="002A4335">
        <w:t>Effectuating</w:t>
      </w:r>
      <w:r w:rsidR="00A81F73">
        <w:t xml:space="preserve"> Congress’ desire to</w:t>
      </w:r>
      <w:r w:rsidR="00665AA9">
        <w:t xml:space="preserve"> “</w:t>
      </w:r>
      <w:r w:rsidR="00665AA9" w:rsidRPr="003066C5">
        <w:t xml:space="preserve">ensure that the Federal Government plays a central role in enforcing the </w:t>
      </w:r>
      <w:r w:rsidR="00665AA9">
        <w:t>. . .</w:t>
      </w:r>
      <w:r w:rsidR="00665AA9" w:rsidRPr="003066C5">
        <w:t xml:space="preserve"> [</w:t>
      </w:r>
      <w:r w:rsidR="00665AA9">
        <w:t>ADA</w:t>
      </w:r>
      <w:r w:rsidR="00665AA9" w:rsidRPr="003066C5">
        <w:t>] on behalf of individuals with disabilities</w:t>
      </w:r>
      <w:r w:rsidR="00107053">
        <w:t>,</w:t>
      </w:r>
      <w:r w:rsidR="00665AA9">
        <w:t>”</w:t>
      </w:r>
      <w:r w:rsidR="00FE456A">
        <w:t xml:space="preserve"> </w:t>
      </w:r>
      <w:r w:rsidR="003F4DCF">
        <w:t>42 U.S.C. § 12101(b)</w:t>
      </w:r>
      <w:r w:rsidR="00107053">
        <w:t xml:space="preserve">(3), </w:t>
      </w:r>
      <w:r w:rsidR="00A81F73">
        <w:t>the ADA</w:t>
      </w:r>
      <w:r w:rsidR="00107053">
        <w:t xml:space="preserve"> </w:t>
      </w:r>
      <w:r w:rsidR="008157EE">
        <w:t>directs</w:t>
      </w:r>
      <w:r w:rsidR="00107053">
        <w:t xml:space="preserve"> </w:t>
      </w:r>
      <w:r w:rsidR="003F4DCF">
        <w:t xml:space="preserve">the Attorney General </w:t>
      </w:r>
      <w:r w:rsidR="00DD1756">
        <w:t xml:space="preserve">of the United States </w:t>
      </w:r>
      <w:r w:rsidR="008157EE">
        <w:t>to promulgate</w:t>
      </w:r>
      <w:r w:rsidR="003F4DCF">
        <w:t xml:space="preserve"> regulations </w:t>
      </w:r>
      <w:r w:rsidR="00C072F0">
        <w:t>implementing</w:t>
      </w:r>
      <w:r w:rsidR="00602432">
        <w:t xml:space="preserve"> Title II</w:t>
      </w:r>
      <w:r w:rsidR="003F4DCF">
        <w:t xml:space="preserve">, </w:t>
      </w:r>
      <w:r w:rsidR="0002598F">
        <w:rPr>
          <w:i/>
        </w:rPr>
        <w:t xml:space="preserve">see </w:t>
      </w:r>
      <w:r w:rsidR="00B142F3">
        <w:rPr>
          <w:i/>
        </w:rPr>
        <w:t>id.</w:t>
      </w:r>
      <w:r w:rsidR="0002598F">
        <w:t xml:space="preserve"> § 12134(a</w:t>
      </w:r>
      <w:r w:rsidR="00613641">
        <w:t>)</w:t>
      </w:r>
      <w:r w:rsidR="0002598F">
        <w:t xml:space="preserve">, </w:t>
      </w:r>
      <w:r w:rsidR="003F4DCF">
        <w:t xml:space="preserve">and </w:t>
      </w:r>
      <w:r w:rsidR="00497FA3">
        <w:t xml:space="preserve">it </w:t>
      </w:r>
      <w:r w:rsidR="003F4DCF">
        <w:t>au</w:t>
      </w:r>
      <w:r w:rsidR="001F5B6F">
        <w:t>thorize</w:t>
      </w:r>
      <w:r w:rsidR="00D01867">
        <w:t>s</w:t>
      </w:r>
      <w:r w:rsidR="003F4DCF">
        <w:t xml:space="preserve"> the Attorney General to commence </w:t>
      </w:r>
      <w:r w:rsidR="00BB72B1">
        <w:t>legal actions to remedy</w:t>
      </w:r>
      <w:r w:rsidR="005D2C98">
        <w:t xml:space="preserve"> </w:t>
      </w:r>
      <w:r w:rsidR="00C14DA7">
        <w:t>violation</w:t>
      </w:r>
      <w:r w:rsidR="0007345E">
        <w:t>s</w:t>
      </w:r>
      <w:r w:rsidR="005D2C98">
        <w:t xml:space="preserve"> of the ADA</w:t>
      </w:r>
      <w:r w:rsidR="0002598F">
        <w:t xml:space="preserve">, </w:t>
      </w:r>
      <w:r w:rsidR="00B142F3">
        <w:rPr>
          <w:i/>
        </w:rPr>
        <w:t>see id.</w:t>
      </w:r>
      <w:r w:rsidR="00190FD1">
        <w:t xml:space="preserve"> § </w:t>
      </w:r>
      <w:r w:rsidR="0002598F" w:rsidRPr="003066C5">
        <w:t>12133</w:t>
      </w:r>
      <w:r w:rsidR="005D2C98">
        <w:t>.</w:t>
      </w:r>
      <w:r w:rsidR="006A1CD8">
        <w:t xml:space="preserve">  </w:t>
      </w:r>
      <w:r w:rsidR="00680190">
        <w:t>Th</w:t>
      </w:r>
      <w:r w:rsidR="00D14094">
        <w:t xml:space="preserve">is </w:t>
      </w:r>
      <w:r w:rsidR="00DF6B51">
        <w:t xml:space="preserve">authority </w:t>
      </w:r>
      <w:r w:rsidR="001E62EB">
        <w:t>warrant</w:t>
      </w:r>
      <w:r w:rsidR="00D14094">
        <w:t>s</w:t>
      </w:r>
      <w:r w:rsidR="000D60A6">
        <w:t xml:space="preserve"> </w:t>
      </w:r>
      <w:r w:rsidR="00D14094">
        <w:t xml:space="preserve">the </w:t>
      </w:r>
      <w:r w:rsidR="00D3436D">
        <w:t xml:space="preserve">United States’ </w:t>
      </w:r>
      <w:r w:rsidR="00680190">
        <w:t xml:space="preserve">intervention </w:t>
      </w:r>
      <w:r w:rsidR="00122DDD">
        <w:t xml:space="preserve">as </w:t>
      </w:r>
      <w:r w:rsidR="00680190">
        <w:t>of right</w:t>
      </w:r>
      <w:r w:rsidR="001E62EB">
        <w:t xml:space="preserve"> </w:t>
      </w:r>
      <w:r w:rsidR="00020BA1">
        <w:t>in this case</w:t>
      </w:r>
      <w:r w:rsidR="000D0665">
        <w:t>.</w:t>
      </w:r>
      <w:r w:rsidR="00642926">
        <w:t xml:space="preserve">  </w:t>
      </w:r>
      <w:r w:rsidR="000D0665">
        <w:rPr>
          <w:i/>
        </w:rPr>
        <w:t>C</w:t>
      </w:r>
      <w:r w:rsidR="0016037E" w:rsidRPr="00E13733">
        <w:rPr>
          <w:i/>
        </w:rPr>
        <w:t>f.</w:t>
      </w:r>
      <w:r w:rsidR="0016037E">
        <w:t xml:space="preserve"> </w:t>
      </w:r>
      <w:r w:rsidR="00462B91">
        <w:rPr>
          <w:i/>
        </w:rPr>
        <w:t xml:space="preserve">Ne. Ohio </w:t>
      </w:r>
      <w:r w:rsidR="00C054DB">
        <w:rPr>
          <w:i/>
        </w:rPr>
        <w:t>Coal.</w:t>
      </w:r>
      <w:r w:rsidR="00462B91">
        <w:rPr>
          <w:i/>
        </w:rPr>
        <w:t xml:space="preserve"> for Homeless &amp; </w:t>
      </w:r>
      <w:r w:rsidR="00C054DB">
        <w:rPr>
          <w:i/>
        </w:rPr>
        <w:t>Serv.</w:t>
      </w:r>
      <w:r w:rsidR="00462B91">
        <w:rPr>
          <w:i/>
        </w:rPr>
        <w:t xml:space="preserve"> </w:t>
      </w:r>
      <w:r w:rsidR="00C054DB">
        <w:rPr>
          <w:i/>
        </w:rPr>
        <w:t xml:space="preserve">Emps. </w:t>
      </w:r>
      <w:r w:rsidR="00462B91">
        <w:rPr>
          <w:i/>
        </w:rPr>
        <w:t>Int’l Union, Local 1199 v. Blackwell</w:t>
      </w:r>
      <w:r w:rsidR="00462B91">
        <w:t>, 467 F.3d 999</w:t>
      </w:r>
      <w:r w:rsidR="00E81FE8">
        <w:t>, 1008</w:t>
      </w:r>
      <w:r w:rsidR="00462B91">
        <w:t xml:space="preserve"> (6th Cir. 2006) (State of Ohio entitled to </w:t>
      </w:r>
      <w:r w:rsidR="002141AE">
        <w:t>intervene</w:t>
      </w:r>
      <w:r w:rsidR="00462B91">
        <w:t xml:space="preserve"> </w:t>
      </w:r>
      <w:r w:rsidR="00D31BE5">
        <w:t xml:space="preserve">as </w:t>
      </w:r>
      <w:r w:rsidR="00E775A2">
        <w:t>of right</w:t>
      </w:r>
      <w:r w:rsidR="00C9781B">
        <w:t xml:space="preserve"> where it </w:t>
      </w:r>
      <w:r w:rsidR="00462B91">
        <w:t xml:space="preserve">had </w:t>
      </w:r>
      <w:r w:rsidR="003A51D4">
        <w:t xml:space="preserve">an </w:t>
      </w:r>
      <w:r w:rsidR="00462B91">
        <w:t>interest in “defending the validity of Ohio laws and ensuring that those laws are enforced”</w:t>
      </w:r>
      <w:r w:rsidR="003F3A64">
        <w:t xml:space="preserve">); </w:t>
      </w:r>
      <w:r w:rsidR="00163280">
        <w:rPr>
          <w:i/>
        </w:rPr>
        <w:t>Gillie v. Law Office of Eric A. Jones, LLC</w:t>
      </w:r>
      <w:r w:rsidR="00163280">
        <w:t xml:space="preserve">, No. </w:t>
      </w:r>
      <w:r w:rsidR="00063A18">
        <w:t>13-cv-212</w:t>
      </w:r>
      <w:r w:rsidR="00163280">
        <w:t xml:space="preserve">, </w:t>
      </w:r>
      <w:r w:rsidR="00163280" w:rsidRPr="00163280">
        <w:t>2013 WL 4499955</w:t>
      </w:r>
      <w:r w:rsidR="00A871D0">
        <w:t>, at *4 (S.D. Ohio Aug. 21, 2013) (Ohio Attorney General asserted substantial legal interest for intervention of right because lawsuit “implicate[d] the construction of the statutes and agreements he administers”</w:t>
      </w:r>
      <w:r w:rsidR="00052C1C">
        <w:t>)</w:t>
      </w:r>
      <w:r w:rsidR="006743A8">
        <w:t xml:space="preserve">; </w:t>
      </w:r>
      <w:r w:rsidR="0016037E" w:rsidRPr="00E13733">
        <w:rPr>
          <w:i/>
          <w:iCs/>
        </w:rPr>
        <w:t>Ceres Gulf v. Cooper</w:t>
      </w:r>
      <w:r w:rsidR="0016037E" w:rsidRPr="00E13733">
        <w:t>, 957 F.2d 1199, 1203-04 (5th Cir. 1992) (</w:t>
      </w:r>
      <w:r w:rsidR="00776B2F">
        <w:t>D</w:t>
      </w:r>
      <w:r w:rsidR="0016037E">
        <w:t>irector of Office Workers’ Compensation Programs</w:t>
      </w:r>
      <w:r w:rsidR="00FD4FAD">
        <w:t>’ interest</w:t>
      </w:r>
      <w:r w:rsidR="0016037E">
        <w:t xml:space="preserve"> in the “</w:t>
      </w:r>
      <w:r w:rsidR="0016037E" w:rsidRPr="00E13733">
        <w:t>consistent application of . . . a statutory scheme he is charged with administering</w:t>
      </w:r>
      <w:r w:rsidR="0016037E">
        <w:t>”</w:t>
      </w:r>
      <w:r w:rsidR="0016037E" w:rsidRPr="00E13733">
        <w:t xml:space="preserve"> was sufficient to su</w:t>
      </w:r>
      <w:r w:rsidR="004E31F1">
        <w:t>pport intervention as of right)</w:t>
      </w:r>
      <w:r w:rsidR="00865562">
        <w:t>.</w:t>
      </w:r>
    </w:p>
    <w:p w:rsidR="00E13733" w:rsidRDefault="00C36DFA" w:rsidP="00DD523A">
      <w:pPr>
        <w:autoSpaceDE w:val="0"/>
        <w:autoSpaceDN w:val="0"/>
        <w:adjustRightInd w:val="0"/>
        <w:spacing w:line="480" w:lineRule="auto"/>
        <w:ind w:firstLine="720"/>
      </w:pPr>
      <w:r>
        <w:lastRenderedPageBreak/>
        <w:t xml:space="preserve">The United States’ interest is particularly </w:t>
      </w:r>
      <w:r w:rsidR="00BD72E0">
        <w:t>strong</w:t>
      </w:r>
      <w:r>
        <w:t xml:space="preserve"> </w:t>
      </w:r>
      <w:r w:rsidR="00C40976">
        <w:t xml:space="preserve">here </w:t>
      </w:r>
      <w:r>
        <w:t xml:space="preserve">because </w:t>
      </w:r>
      <w:r w:rsidR="00C77EC0">
        <w:t>Miami University</w:t>
      </w:r>
      <w:r w:rsidR="00C973C0">
        <w:t xml:space="preserve">’s </w:t>
      </w:r>
      <w:r w:rsidR="00D14094">
        <w:t xml:space="preserve">alleged </w:t>
      </w:r>
      <w:r w:rsidR="00C973C0">
        <w:t xml:space="preserve">conduct </w:t>
      </w:r>
      <w:r w:rsidR="00071898">
        <w:t>go</w:t>
      </w:r>
      <w:r w:rsidR="00C973C0">
        <w:t>es</w:t>
      </w:r>
      <w:r w:rsidR="00087918">
        <w:t xml:space="preserve"> </w:t>
      </w:r>
      <w:r w:rsidR="003066C5" w:rsidRPr="003066C5">
        <w:t>to the</w:t>
      </w:r>
      <w:r w:rsidR="00912B92">
        <w:t xml:space="preserve"> heart of the ADA’s prohibitions </w:t>
      </w:r>
      <w:r w:rsidR="003162E0">
        <w:t>in an area of specific concern to Congress</w:t>
      </w:r>
      <w:r w:rsidR="009C630B">
        <w:t>:</w:t>
      </w:r>
      <w:r w:rsidR="00464CF4">
        <w:t xml:space="preserve"> the ability </w:t>
      </w:r>
      <w:r w:rsidR="003C72E3">
        <w:t xml:space="preserve">of individuals with disabilities </w:t>
      </w:r>
      <w:r w:rsidR="00464CF4">
        <w:t xml:space="preserve">to compete independently and on an equal basis </w:t>
      </w:r>
      <w:r w:rsidR="009C630B">
        <w:t>to pursue</w:t>
      </w:r>
      <w:r w:rsidR="00464CF4">
        <w:t xml:space="preserve"> </w:t>
      </w:r>
      <w:r w:rsidR="009E184F">
        <w:t>an education</w:t>
      </w:r>
      <w:r w:rsidR="000B6E97">
        <w:t xml:space="preserve"> and </w:t>
      </w:r>
      <w:r w:rsidR="00701D57">
        <w:t xml:space="preserve">its </w:t>
      </w:r>
      <w:r w:rsidR="000B6E97">
        <w:t>consequent vocational opportunities</w:t>
      </w:r>
      <w:r w:rsidR="00464CF4">
        <w:t xml:space="preserve">. </w:t>
      </w:r>
      <w:r w:rsidR="003162E0">
        <w:t xml:space="preserve"> </w:t>
      </w:r>
      <w:r w:rsidR="003162E0">
        <w:rPr>
          <w:i/>
        </w:rPr>
        <w:t>See</w:t>
      </w:r>
      <w:r w:rsidR="00464CF4">
        <w:t xml:space="preserve"> </w:t>
      </w:r>
      <w:r w:rsidR="003162E0">
        <w:t xml:space="preserve">42 U.S.C. § 12101(a)(3), (6) </w:t>
      </w:r>
      <w:r w:rsidR="00676B69">
        <w:t>(</w:t>
      </w:r>
      <w:r w:rsidR="000B6E97">
        <w:t xml:space="preserve">finding </w:t>
      </w:r>
      <w:r w:rsidR="00FE077A">
        <w:t xml:space="preserve">that </w:t>
      </w:r>
      <w:r w:rsidR="005C41FF">
        <w:t>“education”</w:t>
      </w:r>
      <w:r w:rsidR="00676B69">
        <w:t xml:space="preserve"> </w:t>
      </w:r>
      <w:r w:rsidR="006E17C0">
        <w:t>is</w:t>
      </w:r>
      <w:r w:rsidR="00676B69">
        <w:t xml:space="preserve"> an</w:t>
      </w:r>
      <w:r w:rsidR="003162E0">
        <w:t xml:space="preserve"> area in which individuals with disabilities</w:t>
      </w:r>
      <w:r w:rsidR="000B6E97">
        <w:t xml:space="preserve"> h</w:t>
      </w:r>
      <w:r w:rsidR="00FE077A">
        <w:t>ave h</w:t>
      </w:r>
      <w:r w:rsidR="000B6E97">
        <w:t>istorically</w:t>
      </w:r>
      <w:r w:rsidR="003162E0">
        <w:t xml:space="preserve"> face</w:t>
      </w:r>
      <w:r w:rsidR="00FE077A">
        <w:t>d</w:t>
      </w:r>
      <w:r w:rsidR="003162E0">
        <w:t xml:space="preserve"> discrimination and are </w:t>
      </w:r>
      <w:r w:rsidR="000B7D4C">
        <w:t>“</w:t>
      </w:r>
      <w:r w:rsidR="003162E0">
        <w:t>severely disadvantaged</w:t>
      </w:r>
      <w:r w:rsidR="000B7D4C">
        <w:t>”</w:t>
      </w:r>
      <w:r w:rsidR="003162E0">
        <w:t>).</w:t>
      </w:r>
      <w:r w:rsidR="00FB2BF2">
        <w:t xml:space="preserve">  </w:t>
      </w:r>
      <w:r w:rsidR="00C77EC0">
        <w:t>Miami University</w:t>
      </w:r>
      <w:r w:rsidR="00843389">
        <w:t xml:space="preserve">’s failure to make its digital- and web-based technologies accessible to </w:t>
      </w:r>
      <w:r w:rsidR="00055664">
        <w:t>individuals</w:t>
      </w:r>
      <w:r w:rsidR="000B6E97">
        <w:t xml:space="preserve"> </w:t>
      </w:r>
      <w:r w:rsidR="00843389">
        <w:t>with disabilities</w:t>
      </w:r>
      <w:r w:rsidR="00B70C6D">
        <w:t xml:space="preserve">, or to otherwise take appropriate steps to ensure effective communication with such individuals, </w:t>
      </w:r>
      <w:r w:rsidR="00DB2DBB">
        <w:t xml:space="preserve">places </w:t>
      </w:r>
      <w:r w:rsidR="008E7D89">
        <w:t>them</w:t>
      </w:r>
      <w:r w:rsidR="00DB2DBB">
        <w:t xml:space="preserve"> at a great disadvantage</w:t>
      </w:r>
      <w:r w:rsidR="00843389">
        <w:t xml:space="preserve">, </w:t>
      </w:r>
      <w:r w:rsidR="00356DC2">
        <w:t>depriving</w:t>
      </w:r>
      <w:r w:rsidR="005C5DE3">
        <w:t xml:space="preserve"> them</w:t>
      </w:r>
      <w:r w:rsidR="00843389">
        <w:t xml:space="preserve"> of equal access to </w:t>
      </w:r>
      <w:r w:rsidR="00C77EC0">
        <w:t>Miami University</w:t>
      </w:r>
      <w:r w:rsidR="00843389">
        <w:t>’s educational content and services.</w:t>
      </w:r>
      <w:r w:rsidR="00467D54">
        <w:t xml:space="preserve">  </w:t>
      </w:r>
      <w:r w:rsidR="00B70C6D">
        <w:t xml:space="preserve">The denial of educational opportunities </w:t>
      </w:r>
      <w:r w:rsidR="005C5DE3">
        <w:t xml:space="preserve">is precisely the type of discrimination </w:t>
      </w:r>
      <w:r w:rsidR="009C0F0C">
        <w:t xml:space="preserve">that </w:t>
      </w:r>
      <w:r w:rsidR="005C5DE3">
        <w:t xml:space="preserve">Congress sought to </w:t>
      </w:r>
      <w:r w:rsidR="0093280D">
        <w:t>end</w:t>
      </w:r>
      <w:r w:rsidR="005C5DE3">
        <w:t xml:space="preserve">, and which the ADA entrusts to the Attorney General to </w:t>
      </w:r>
      <w:r w:rsidR="00CC7659">
        <w:t>redress</w:t>
      </w:r>
      <w:r w:rsidR="005C5DE3">
        <w:t>.</w:t>
      </w:r>
      <w:r w:rsidR="00EE7E3E">
        <w:t xml:space="preserve">  </w:t>
      </w:r>
      <w:r w:rsidR="00467D54">
        <w:rPr>
          <w:i/>
        </w:rPr>
        <w:t xml:space="preserve">See </w:t>
      </w:r>
      <w:r w:rsidR="00467D54">
        <w:t>42</w:t>
      </w:r>
      <w:r w:rsidR="00A34825">
        <w:t> </w:t>
      </w:r>
      <w:r w:rsidR="00467D54">
        <w:t>U.S.C.</w:t>
      </w:r>
      <w:r w:rsidR="00A34825">
        <w:t> </w:t>
      </w:r>
      <w:r w:rsidR="00467D54" w:rsidRPr="00025C6A">
        <w:t>§§</w:t>
      </w:r>
      <w:r w:rsidR="00A34825">
        <w:t> </w:t>
      </w:r>
      <w:r w:rsidR="00467D54" w:rsidRPr="00025C6A">
        <w:t>12101(a</w:t>
      </w:r>
      <w:proofErr w:type="gramStart"/>
      <w:r w:rsidR="00467D54" w:rsidRPr="00025C6A">
        <w:t>)(</w:t>
      </w:r>
      <w:proofErr w:type="gramEnd"/>
      <w:r w:rsidR="00467D54" w:rsidRPr="00025C6A">
        <w:t>7), (8)</w:t>
      </w:r>
      <w:r w:rsidR="00467D54">
        <w:t xml:space="preserve"> (ADA </w:t>
      </w:r>
      <w:r w:rsidR="00FC03CD">
        <w:t xml:space="preserve">was </w:t>
      </w:r>
      <w:r w:rsidR="00467D54">
        <w:t xml:space="preserve">enacted to </w:t>
      </w:r>
      <w:r w:rsidR="00467D54" w:rsidRPr="00025C6A">
        <w:t>ensure “equality of opportunity” and “full participation” for individuals with disabilities</w:t>
      </w:r>
      <w:r w:rsidR="00467D54">
        <w:t>; such individuals</w:t>
      </w:r>
      <w:r w:rsidR="006405B1">
        <w:t xml:space="preserve"> are otherwise denied</w:t>
      </w:r>
      <w:r w:rsidR="00467D54">
        <w:t xml:space="preserve"> “the </w:t>
      </w:r>
      <w:r w:rsidR="00467D54" w:rsidRPr="00025C6A">
        <w:t>opportunity to compete on an equal basis</w:t>
      </w:r>
      <w:r w:rsidR="002715DB">
        <w:t xml:space="preserve"> </w:t>
      </w:r>
      <w:r w:rsidR="002715DB" w:rsidRPr="00AB1947">
        <w:t>and to pursue those opportunities for which our free society is justifiably famous</w:t>
      </w:r>
      <w:r w:rsidR="00467D54">
        <w:t>”</w:t>
      </w:r>
      <w:r w:rsidR="006E1575">
        <w:t>)</w:t>
      </w:r>
      <w:r w:rsidR="0042217E">
        <w:t>.</w:t>
      </w:r>
      <w:r w:rsidR="00DD523A">
        <w:rPr>
          <w:rStyle w:val="FootnoteReference"/>
        </w:rPr>
        <w:footnoteReference w:id="2"/>
      </w:r>
    </w:p>
    <w:p w:rsidR="00171D32" w:rsidRDefault="00171D32" w:rsidP="00921A32">
      <w:pPr>
        <w:pStyle w:val="Heading3"/>
      </w:pPr>
      <w:r>
        <w:t>Intervention in this Case is Necessary to Protect the United States’ Interest.</w:t>
      </w:r>
    </w:p>
    <w:p w:rsidR="00050277" w:rsidRDefault="009E7392" w:rsidP="00EE2C56">
      <w:pPr>
        <w:spacing w:line="480" w:lineRule="auto"/>
        <w:ind w:firstLine="720"/>
      </w:pPr>
      <w:r w:rsidRPr="009E7392">
        <w:t xml:space="preserve">Under the third intervention </w:t>
      </w:r>
      <w:r w:rsidR="000B6E97">
        <w:t>prong</w:t>
      </w:r>
      <w:r w:rsidRPr="009E7392">
        <w:t>, “a would-be intervenor must show only that</w:t>
      </w:r>
      <w:r>
        <w:t xml:space="preserve"> </w:t>
      </w:r>
      <w:r w:rsidRPr="009E7392">
        <w:t xml:space="preserve">impairment of its substantial legal interest is </w:t>
      </w:r>
      <w:r w:rsidR="000F42DB" w:rsidRPr="000F42DB">
        <w:t>possible</w:t>
      </w:r>
      <w:r w:rsidRPr="009E7392">
        <w:t xml:space="preserve"> if intervention is denied.” </w:t>
      </w:r>
      <w:r>
        <w:t xml:space="preserve"> </w:t>
      </w:r>
      <w:r w:rsidRPr="009E7392">
        <w:rPr>
          <w:i/>
        </w:rPr>
        <w:t>Miller</w:t>
      </w:r>
      <w:r w:rsidRPr="009E7392">
        <w:t xml:space="preserve">, </w:t>
      </w:r>
      <w:proofErr w:type="gramStart"/>
      <w:r w:rsidRPr="009E7392">
        <w:t>103 F.3d</w:t>
      </w:r>
      <w:r w:rsidRPr="009E7392">
        <w:rPr>
          <w:rFonts w:ascii="TimesNewRoman" w:hAnsi="TimesNewRoman" w:cs="TimesNewRoman"/>
        </w:rPr>
        <w:t xml:space="preserve"> </w:t>
      </w:r>
      <w:r w:rsidRPr="009E7392">
        <w:t>at 1247</w:t>
      </w:r>
      <w:proofErr w:type="gramEnd"/>
      <w:r w:rsidRPr="009E7392">
        <w:t xml:space="preserve">. </w:t>
      </w:r>
      <w:r w:rsidR="00050277">
        <w:t xml:space="preserve"> </w:t>
      </w:r>
      <w:r w:rsidR="007F0E33">
        <w:t>“This burden is minimal,</w:t>
      </w:r>
      <w:r w:rsidRPr="009E7392">
        <w:t>”</w:t>
      </w:r>
      <w:r w:rsidR="007F0E33">
        <w:t xml:space="preserve"> and </w:t>
      </w:r>
      <w:r w:rsidR="002B1CAA">
        <w:t>can</w:t>
      </w:r>
      <w:r w:rsidR="007F0E33">
        <w:t xml:space="preserve"> be </w:t>
      </w:r>
      <w:r w:rsidR="00E61DAB">
        <w:t>satisfied</w:t>
      </w:r>
      <w:r w:rsidR="007F0E33">
        <w:t xml:space="preserve"> </w:t>
      </w:r>
      <w:r w:rsidR="004A53F8">
        <w:t xml:space="preserve">if </w:t>
      </w:r>
      <w:r w:rsidR="0094623F">
        <w:t>a determination in the</w:t>
      </w:r>
      <w:r w:rsidR="00CE4917">
        <w:t xml:space="preserve"> action may result in </w:t>
      </w:r>
      <w:r w:rsidR="007F0E33">
        <w:t xml:space="preserve">“potential </w:t>
      </w:r>
      <w:r w:rsidR="007F0E33" w:rsidRPr="006F5667">
        <w:t xml:space="preserve">stare </w:t>
      </w:r>
      <w:proofErr w:type="spellStart"/>
      <w:r w:rsidR="007F0E33" w:rsidRPr="006F5667">
        <w:t>decisis</w:t>
      </w:r>
      <w:proofErr w:type="spellEnd"/>
      <w:r w:rsidR="007F0E33">
        <w:t xml:space="preserve"> effects.</w:t>
      </w:r>
      <w:r w:rsidR="00CE4917">
        <w:t>”</w:t>
      </w:r>
      <w:r w:rsidR="007F0E33">
        <w:t xml:space="preserve">  </w:t>
      </w:r>
      <w:r w:rsidR="00840EEB">
        <w:rPr>
          <w:i/>
        </w:rPr>
        <w:t>Id.</w:t>
      </w:r>
      <w:r w:rsidR="00840EEB">
        <w:t xml:space="preserve">; </w:t>
      </w:r>
      <w:r w:rsidR="00840EEB">
        <w:rPr>
          <w:i/>
        </w:rPr>
        <w:t>s</w:t>
      </w:r>
      <w:r w:rsidR="00050277" w:rsidRPr="00050277">
        <w:rPr>
          <w:i/>
          <w:iCs/>
        </w:rPr>
        <w:t xml:space="preserve">ee </w:t>
      </w:r>
      <w:r w:rsidR="00050277">
        <w:rPr>
          <w:i/>
          <w:iCs/>
        </w:rPr>
        <w:t>also</w:t>
      </w:r>
      <w:r w:rsidR="00050277" w:rsidRPr="00050277">
        <w:rPr>
          <w:i/>
          <w:iCs/>
        </w:rPr>
        <w:t xml:space="preserve"> Citizens for Balan</w:t>
      </w:r>
      <w:r w:rsidR="002965ED">
        <w:rPr>
          <w:i/>
          <w:iCs/>
        </w:rPr>
        <w:t xml:space="preserve">ced Use v. Mont. </w:t>
      </w:r>
      <w:r w:rsidR="002965ED">
        <w:rPr>
          <w:i/>
          <w:iCs/>
        </w:rPr>
        <w:lastRenderedPageBreak/>
        <w:t>Wilderness Ass’</w:t>
      </w:r>
      <w:r w:rsidR="00050277" w:rsidRPr="00050277">
        <w:rPr>
          <w:i/>
          <w:iCs/>
        </w:rPr>
        <w:t>n</w:t>
      </w:r>
      <w:r w:rsidR="00050277" w:rsidRPr="00050277">
        <w:t>, 647 F.3d 893, 900 (9th Cir. 2011) (</w:t>
      </w:r>
      <w:r w:rsidR="00050277">
        <w:t>“</w:t>
      </w:r>
      <w:r w:rsidR="00B00A6F">
        <w:t>[I]</w:t>
      </w:r>
      <w:r w:rsidR="00050277" w:rsidRPr="00050277">
        <w:t xml:space="preserve">ntervention of right does not require an </w:t>
      </w:r>
      <w:r w:rsidR="00840EEB">
        <w:t>absolute certainty that a party’</w:t>
      </w:r>
      <w:r w:rsidR="00050277" w:rsidRPr="00050277">
        <w:t>s interest will be impaired</w:t>
      </w:r>
      <w:r w:rsidR="00050277">
        <w:t>”</w:t>
      </w:r>
      <w:r w:rsidR="00050277" w:rsidRPr="00050277">
        <w:t>).</w:t>
      </w:r>
    </w:p>
    <w:p w:rsidR="00171D32" w:rsidRDefault="00341F2F" w:rsidP="00050277">
      <w:pPr>
        <w:spacing w:line="480" w:lineRule="auto"/>
        <w:ind w:firstLine="720"/>
      </w:pPr>
      <w:r>
        <w:t xml:space="preserve">The </w:t>
      </w:r>
      <w:r w:rsidR="009E7392" w:rsidRPr="009E7392">
        <w:t xml:space="preserve">disposition of this case </w:t>
      </w:r>
      <w:r>
        <w:t xml:space="preserve">impacts </w:t>
      </w:r>
      <w:r w:rsidR="009E7392" w:rsidRPr="009E7392">
        <w:t>the United States’ interest in</w:t>
      </w:r>
      <w:r w:rsidR="00050277">
        <w:t xml:space="preserve"> </w:t>
      </w:r>
      <w:r w:rsidR="009E7392" w:rsidRPr="009E7392">
        <w:t xml:space="preserve">eliminating disability discrimination </w:t>
      </w:r>
      <w:r w:rsidR="00EC7BF2">
        <w:t xml:space="preserve">effected </w:t>
      </w:r>
      <w:r w:rsidR="00FE077A">
        <w:t>through</w:t>
      </w:r>
      <w:r w:rsidR="00050277">
        <w:t xml:space="preserve"> </w:t>
      </w:r>
      <w:r w:rsidR="008822A0">
        <w:t xml:space="preserve">the use </w:t>
      </w:r>
      <w:r w:rsidR="00372949">
        <w:t>of inaccessible technologies in higher education</w:t>
      </w:r>
      <w:r w:rsidR="00050277">
        <w:t xml:space="preserve">.  </w:t>
      </w:r>
      <w:r w:rsidR="00722A4C">
        <w:t xml:space="preserve">This is an area of great public importance because educational institutions are increasingly using various </w:t>
      </w:r>
      <w:r>
        <w:t>technologies</w:t>
      </w:r>
      <w:r w:rsidR="00722A4C">
        <w:t xml:space="preserve"> in their educational programs.  A</w:t>
      </w:r>
      <w:r w:rsidR="00131EEC">
        <w:t xml:space="preserve"> </w:t>
      </w:r>
      <w:r w:rsidR="00590D4E" w:rsidRPr="009E7392">
        <w:t>federal decision interpreting and</w:t>
      </w:r>
      <w:r w:rsidR="00590D4E">
        <w:t xml:space="preserve"> </w:t>
      </w:r>
      <w:r w:rsidR="00590D4E" w:rsidRPr="009E7392">
        <w:t xml:space="preserve">applying the </w:t>
      </w:r>
      <w:r w:rsidR="000B6E97">
        <w:t xml:space="preserve">ADA’s </w:t>
      </w:r>
      <w:r w:rsidR="000C043B">
        <w:t>provisions</w:t>
      </w:r>
      <w:r w:rsidR="000B6E97">
        <w:t xml:space="preserve"> and the Department’s implementing regulation</w:t>
      </w:r>
      <w:r w:rsidR="00590D4E" w:rsidRPr="009E7392">
        <w:t xml:space="preserve"> </w:t>
      </w:r>
      <w:r w:rsidR="00722A4C">
        <w:t xml:space="preserve">accordingly </w:t>
      </w:r>
      <w:r w:rsidR="00F443BF">
        <w:t xml:space="preserve">may have </w:t>
      </w:r>
      <w:r w:rsidR="00131EEC">
        <w:t>a significant impact on the United States’ enforcement efforts</w:t>
      </w:r>
      <w:r w:rsidR="00590D4E" w:rsidRPr="009E7392">
        <w:t xml:space="preserve">. </w:t>
      </w:r>
      <w:r w:rsidR="00590D4E">
        <w:t xml:space="preserve"> </w:t>
      </w:r>
      <w:r w:rsidR="00050277" w:rsidRPr="00050277">
        <w:rPr>
          <w:i/>
        </w:rPr>
        <w:t>See Miller</w:t>
      </w:r>
      <w:r w:rsidR="00050277" w:rsidRPr="00050277">
        <w:t>, 103 F.3d at 124</w:t>
      </w:r>
      <w:r w:rsidR="00F72E40">
        <w:t xml:space="preserve">5, 1247-48 </w:t>
      </w:r>
      <w:r w:rsidR="00050277" w:rsidRPr="00050277">
        <w:t>(</w:t>
      </w:r>
      <w:r w:rsidR="00E35413">
        <w:t xml:space="preserve">finding impairment of interest where Michigan Chamber of Commerce argued that </w:t>
      </w:r>
      <w:r w:rsidR="00050277" w:rsidRPr="00050277">
        <w:t xml:space="preserve">“the precedential effect of an adverse ruling </w:t>
      </w:r>
      <w:r w:rsidR="00572F96">
        <w:t>. . .</w:t>
      </w:r>
      <w:r w:rsidR="00050277" w:rsidRPr="00050277">
        <w:t xml:space="preserve"> could</w:t>
      </w:r>
      <w:r w:rsidR="00050277">
        <w:t xml:space="preserve"> </w:t>
      </w:r>
      <w:r w:rsidR="00050277" w:rsidRPr="00050277">
        <w:t xml:space="preserve">hinder </w:t>
      </w:r>
      <w:r w:rsidR="00E35413">
        <w:t xml:space="preserve">its </w:t>
      </w:r>
      <w:r w:rsidR="00050277" w:rsidRPr="00050277">
        <w:t>own efforts to litigate the validity of Michigan’s system for regulating campaign</w:t>
      </w:r>
      <w:r w:rsidR="00050277">
        <w:t xml:space="preserve"> </w:t>
      </w:r>
      <w:r w:rsidR="00050277" w:rsidRPr="00050277">
        <w:t>finance</w:t>
      </w:r>
      <w:r w:rsidR="00FE7268">
        <w:t>”</w:t>
      </w:r>
      <w:r w:rsidR="00276899">
        <w:t xml:space="preserve">); </w:t>
      </w:r>
      <w:r w:rsidR="00050277" w:rsidRPr="00050277">
        <w:rPr>
          <w:i/>
        </w:rPr>
        <w:t>Ceres Gulf</w:t>
      </w:r>
      <w:r w:rsidR="00640489">
        <w:t xml:space="preserve">, 957 F.2d </w:t>
      </w:r>
      <w:r w:rsidR="00CC0B90">
        <w:t>at</w:t>
      </w:r>
      <w:r w:rsidR="00640489">
        <w:t xml:space="preserve"> 1204 (“[D]</w:t>
      </w:r>
      <w:r w:rsidR="00050277" w:rsidRPr="00050277">
        <w:t>enying intervention impairs, if</w:t>
      </w:r>
      <w:r w:rsidR="00050277">
        <w:t xml:space="preserve"> </w:t>
      </w:r>
      <w:r w:rsidR="00050277" w:rsidRPr="00050277">
        <w:t>not prevents, [the Director of Office of Workers’ Compensation’s] ability to provide his</w:t>
      </w:r>
      <w:r w:rsidR="00050277">
        <w:t xml:space="preserve"> </w:t>
      </w:r>
      <w:r w:rsidR="00050277" w:rsidRPr="00050277">
        <w:t>interpretation of the law he is charged with administering</w:t>
      </w:r>
      <w:r w:rsidR="002F63D5">
        <w:t xml:space="preserve"> </w:t>
      </w:r>
      <w:r w:rsidR="002E1887">
        <w:t>and would be harmful in allowing a precedent, reached without his input, on an important . . . issue.</w:t>
      </w:r>
      <w:r w:rsidR="00050277" w:rsidRPr="00050277">
        <w:t>”)</w:t>
      </w:r>
      <w:r w:rsidR="0084668D">
        <w:t>.</w:t>
      </w:r>
    </w:p>
    <w:p w:rsidR="00171D32" w:rsidRDefault="006B3F07" w:rsidP="00921A32">
      <w:pPr>
        <w:pStyle w:val="Heading3"/>
      </w:pPr>
      <w:r>
        <w:t>The Existing Parties Cannot Protect the Interest of the United States</w:t>
      </w:r>
      <w:r w:rsidR="00171D32">
        <w:t>.</w:t>
      </w:r>
    </w:p>
    <w:p w:rsidR="00BE79E1" w:rsidRDefault="005B6A2B">
      <w:pPr>
        <w:spacing w:line="480" w:lineRule="auto"/>
        <w:ind w:firstLine="720"/>
      </w:pPr>
      <w:r>
        <w:t>The United States</w:t>
      </w:r>
      <w:r w:rsidR="00605A1D">
        <w:t xml:space="preserve"> carries a minimal</w:t>
      </w:r>
      <w:r w:rsidR="00A05F13" w:rsidRPr="00A05F13">
        <w:t xml:space="preserve"> burden to show </w:t>
      </w:r>
      <w:r w:rsidR="005C35FB">
        <w:t xml:space="preserve">that </w:t>
      </w:r>
      <w:r w:rsidR="00661F53">
        <w:t xml:space="preserve">the existing parties </w:t>
      </w:r>
      <w:r w:rsidR="00281570">
        <w:t xml:space="preserve">to this litigation </w:t>
      </w:r>
      <w:r w:rsidR="000B6E97">
        <w:t>in</w:t>
      </w:r>
      <w:r w:rsidR="00661F53">
        <w:t xml:space="preserve">adequately represent </w:t>
      </w:r>
      <w:r w:rsidR="008D6061">
        <w:t xml:space="preserve">the United States’ </w:t>
      </w:r>
      <w:r w:rsidR="00661F53">
        <w:t>interests</w:t>
      </w:r>
      <w:r w:rsidR="00605A1D">
        <w:t xml:space="preserve">.  </w:t>
      </w:r>
      <w:r w:rsidR="00605A1D" w:rsidRPr="00A05F13">
        <w:rPr>
          <w:i/>
        </w:rPr>
        <w:t>Jordan v. Mich. Conference of Teamsters Welfare Fund</w:t>
      </w:r>
      <w:r w:rsidR="00605A1D" w:rsidRPr="00A05F13">
        <w:t>, 207 F.3d 854, 863 (6th Cir. 2000)</w:t>
      </w:r>
      <w:r w:rsidR="00605A1D">
        <w:t xml:space="preserve">.  </w:t>
      </w:r>
      <w:r w:rsidR="00EB47E7">
        <w:t>A potential intervenor</w:t>
      </w:r>
      <w:r>
        <w:t xml:space="preserve"> </w:t>
      </w:r>
      <w:r w:rsidR="00605A1D">
        <w:t>“</w:t>
      </w:r>
      <w:r w:rsidR="00A05F13" w:rsidRPr="00A05F13">
        <w:t xml:space="preserve">need not prove that the </w:t>
      </w:r>
      <w:r w:rsidR="00B708EB">
        <w:t>[existing</w:t>
      </w:r>
      <w:r w:rsidR="00EB53F7">
        <w:t xml:space="preserve"> parties’</w:t>
      </w:r>
      <w:r w:rsidR="00B708EB">
        <w:t xml:space="preserve">] </w:t>
      </w:r>
      <w:r w:rsidR="00A05F13" w:rsidRPr="00A05F13">
        <w:t>representation will in fact</w:t>
      </w:r>
      <w:r w:rsidR="00A05F13">
        <w:t xml:space="preserve"> </w:t>
      </w:r>
      <w:r w:rsidR="00A05F13" w:rsidRPr="00A05F13">
        <w:t>be inadequate, but only that it ‘</w:t>
      </w:r>
      <w:r w:rsidR="00A05F13" w:rsidRPr="0006397B">
        <w:rPr>
          <w:i/>
        </w:rPr>
        <w:t>may</w:t>
      </w:r>
      <w:r w:rsidR="00784AFB">
        <w:t xml:space="preserve"> be’ inadequate.</w:t>
      </w:r>
      <w:r w:rsidR="00A05F13" w:rsidRPr="00A05F13">
        <w:t xml:space="preserve">” </w:t>
      </w:r>
      <w:r w:rsidR="00784AFB">
        <w:t xml:space="preserve"> </w:t>
      </w:r>
      <w:r w:rsidR="00605A1D">
        <w:rPr>
          <w:i/>
        </w:rPr>
        <w:t>Id.</w:t>
      </w:r>
      <w:r w:rsidR="009F3C78">
        <w:t xml:space="preserve"> </w:t>
      </w:r>
      <w:r w:rsidR="0003072E">
        <w:t xml:space="preserve">(citations omitted) </w:t>
      </w:r>
      <w:r w:rsidR="009F3C78">
        <w:t>(emphasis added)</w:t>
      </w:r>
      <w:r w:rsidR="00A05F13" w:rsidRPr="00A05F13">
        <w:t xml:space="preserve">; </w:t>
      </w:r>
      <w:r w:rsidR="00A05F13" w:rsidRPr="00A05F13">
        <w:rPr>
          <w:i/>
        </w:rPr>
        <w:t xml:space="preserve">see also </w:t>
      </w:r>
      <w:r w:rsidR="00DB51B2">
        <w:rPr>
          <w:i/>
        </w:rPr>
        <w:t>Davis v. Lifetime Capital, Inc.</w:t>
      </w:r>
      <w:r w:rsidR="00DB51B2">
        <w:t>, 560 F. App’x 477</w:t>
      </w:r>
      <w:r w:rsidR="00C333D8">
        <w:t>, 495</w:t>
      </w:r>
      <w:r w:rsidR="00DB51B2">
        <w:t xml:space="preserve"> (6th Cir. 2014) (“</w:t>
      </w:r>
      <w:r w:rsidR="00DB51B2" w:rsidRPr="00DB51B2">
        <w:t xml:space="preserve">The proposed intervenor need show only that there is a </w:t>
      </w:r>
      <w:r w:rsidR="00DB51B2" w:rsidRPr="00DB51B2">
        <w:rPr>
          <w:i/>
        </w:rPr>
        <w:t>potential</w:t>
      </w:r>
      <w:r w:rsidR="00DB51B2" w:rsidRPr="00DB51B2">
        <w:t xml:space="preserve"> for inadequate representation</w:t>
      </w:r>
      <w:r w:rsidR="00DB51B2">
        <w:t xml:space="preserve">.”) (citation omitted) (emphasis in original).  </w:t>
      </w:r>
      <w:r w:rsidR="002A7BF9">
        <w:t xml:space="preserve">The United States satisfies </w:t>
      </w:r>
      <w:r w:rsidR="00341F2F">
        <w:t xml:space="preserve">this </w:t>
      </w:r>
      <w:r w:rsidR="002A7BF9">
        <w:t>burden.</w:t>
      </w:r>
    </w:p>
    <w:p w:rsidR="00A05F13" w:rsidRDefault="002A7BF9" w:rsidP="00A05F13">
      <w:pPr>
        <w:spacing w:line="480" w:lineRule="auto"/>
        <w:ind w:firstLine="720"/>
      </w:pPr>
      <w:r w:rsidRPr="000B6E97">
        <w:rPr>
          <w:i/>
        </w:rPr>
        <w:lastRenderedPageBreak/>
        <w:t>First</w:t>
      </w:r>
      <w:r w:rsidR="00A05F13">
        <w:t>, the United States</w:t>
      </w:r>
      <w:r w:rsidR="008D6061">
        <w:t xml:space="preserve"> has an</w:t>
      </w:r>
      <w:r w:rsidR="00A05F13">
        <w:t xml:space="preserve"> interest in</w:t>
      </w:r>
      <w:r w:rsidR="0070287A">
        <w:t xml:space="preserve"> </w:t>
      </w:r>
      <w:r w:rsidR="00F519A7">
        <w:t>enforcing the ADA to advance the public interest in ending disability discrimination</w:t>
      </w:r>
      <w:r w:rsidR="00EC7BF2">
        <w:t xml:space="preserve"> effected through</w:t>
      </w:r>
      <w:r w:rsidR="00EE3F79">
        <w:t xml:space="preserve"> </w:t>
      </w:r>
      <w:r w:rsidR="001F189A">
        <w:t>the</w:t>
      </w:r>
      <w:r w:rsidR="008C2F88">
        <w:t xml:space="preserve"> </w:t>
      </w:r>
      <w:r w:rsidR="00A05F13">
        <w:t xml:space="preserve">use of </w:t>
      </w:r>
      <w:r w:rsidR="00EC7BF2">
        <w:t xml:space="preserve">inaccessible </w:t>
      </w:r>
      <w:r w:rsidR="00DA43CA">
        <w:t>t</w:t>
      </w:r>
      <w:r w:rsidR="00753EB1">
        <w:t>echnologies</w:t>
      </w:r>
      <w:r w:rsidR="001F189A">
        <w:t xml:space="preserve"> in higher education</w:t>
      </w:r>
      <w:r w:rsidR="00EC7BF2">
        <w:t>.  This interest</w:t>
      </w:r>
      <w:r w:rsidR="008D6061">
        <w:t xml:space="preserve"> </w:t>
      </w:r>
      <w:r w:rsidR="00484E73">
        <w:t>is</w:t>
      </w:r>
      <w:r w:rsidR="00A05F13">
        <w:t xml:space="preserve"> inadequately represented by the existing parties</w:t>
      </w:r>
      <w:r w:rsidR="0045701E">
        <w:t xml:space="preserve">, </w:t>
      </w:r>
      <w:r w:rsidR="00846F47">
        <w:t>for</w:t>
      </w:r>
      <w:r w:rsidR="0045701E">
        <w:t xml:space="preserve"> o</w:t>
      </w:r>
      <w:r w:rsidR="00336473" w:rsidRPr="00F65C68">
        <w:t>nly the Attorney General and h</w:t>
      </w:r>
      <w:r w:rsidR="00341F2F">
        <w:t>er</w:t>
      </w:r>
      <w:r w:rsidR="00336473" w:rsidRPr="00F65C68">
        <w:t xml:space="preserve"> designees can attend to the </w:t>
      </w:r>
      <w:r w:rsidR="00246009">
        <w:t xml:space="preserve">interests of the </w:t>
      </w:r>
      <w:r w:rsidR="00336473" w:rsidRPr="00F65C68">
        <w:t xml:space="preserve">United States. </w:t>
      </w:r>
      <w:r w:rsidR="00336473">
        <w:t xml:space="preserve"> </w:t>
      </w:r>
      <w:r w:rsidR="00336473" w:rsidRPr="00F65C68">
        <w:t>28 U.S.C. §</w:t>
      </w:r>
      <w:r w:rsidR="00052EAD">
        <w:t> </w:t>
      </w:r>
      <w:r w:rsidR="00336473" w:rsidRPr="00F65C68">
        <w:t>517</w:t>
      </w:r>
      <w:r w:rsidR="00FB3423">
        <w:t xml:space="preserve"> (“</w:t>
      </w:r>
      <w:r w:rsidR="00B54CE4">
        <w:t>[A]</w:t>
      </w:r>
      <w:proofErr w:type="spellStart"/>
      <w:r w:rsidR="00FB3423" w:rsidRPr="00FB3423">
        <w:t>ny</w:t>
      </w:r>
      <w:proofErr w:type="spellEnd"/>
      <w:r w:rsidR="00FB3423" w:rsidRPr="00FB3423">
        <w:t xml:space="preserve"> offic</w:t>
      </w:r>
      <w:r w:rsidR="00B54CE4">
        <w:t>er of the Department of Justice[]</w:t>
      </w:r>
      <w:r w:rsidR="00FB3423" w:rsidRPr="00FB3423">
        <w:t xml:space="preserve"> may be sent by the Attorney General to any State or district in the United States to attend to the interests of the United States </w:t>
      </w:r>
      <w:r w:rsidR="00B54CE4">
        <w:t xml:space="preserve">. . . </w:t>
      </w:r>
      <w:r w:rsidR="00FB3423">
        <w:t>.”)</w:t>
      </w:r>
      <w:r w:rsidR="00336473" w:rsidRPr="00F65C68">
        <w:t xml:space="preserve">; </w:t>
      </w:r>
      <w:r w:rsidR="00336473">
        <w:rPr>
          <w:i/>
          <w:iCs/>
        </w:rPr>
        <w:t>s</w:t>
      </w:r>
      <w:r w:rsidR="00336473" w:rsidRPr="00F65C68">
        <w:rPr>
          <w:i/>
          <w:iCs/>
        </w:rPr>
        <w:t>ee</w:t>
      </w:r>
      <w:r w:rsidR="00336473">
        <w:t xml:space="preserve"> </w:t>
      </w:r>
      <w:r w:rsidR="00336473" w:rsidRPr="00F65C68">
        <w:rPr>
          <w:i/>
          <w:iCs/>
        </w:rPr>
        <w:t xml:space="preserve">Heaton v. Monogram </w:t>
      </w:r>
      <w:r w:rsidR="006D785F">
        <w:rPr>
          <w:i/>
          <w:iCs/>
        </w:rPr>
        <w:t xml:space="preserve">Credit Card </w:t>
      </w:r>
      <w:r w:rsidR="00336473" w:rsidRPr="00F65C68">
        <w:rPr>
          <w:i/>
          <w:iCs/>
        </w:rPr>
        <w:t>Bank of Ga.</w:t>
      </w:r>
      <w:r w:rsidR="00336473" w:rsidRPr="00F65C68">
        <w:t>, 297 F.3d 416, 424 (5th Cir. 2002) (</w:t>
      </w:r>
      <w:r w:rsidR="00336473">
        <w:t>“[i]</w:t>
      </w:r>
      <w:r w:rsidR="00336473" w:rsidRPr="00F65C68">
        <w:t>t cannot be assumed that the existing [private] parties to the litigation would protect the F</w:t>
      </w:r>
      <w:r w:rsidR="00336473">
        <w:t>DIC’s and the public’s interest”</w:t>
      </w:r>
      <w:r w:rsidR="00336473" w:rsidRPr="00F65C68">
        <w:t xml:space="preserve"> in the proper regulation of the federal deposit insurance system).</w:t>
      </w:r>
      <w:r w:rsidR="00336473">
        <w:t xml:space="preserve">  </w:t>
      </w:r>
      <w:r w:rsidR="00341F2F">
        <w:t xml:space="preserve">The existing parties </w:t>
      </w:r>
      <w:r w:rsidR="00F44DE0">
        <w:t>cannot</w:t>
      </w:r>
      <w:r w:rsidR="00341F2F">
        <w:t xml:space="preserve"> </w:t>
      </w:r>
      <w:r w:rsidR="00A05F13">
        <w:t xml:space="preserve">represent the </w:t>
      </w:r>
      <w:r w:rsidR="00341F2F">
        <w:t xml:space="preserve">United </w:t>
      </w:r>
      <w:r w:rsidR="00F44DE0">
        <w:t>States’</w:t>
      </w:r>
      <w:r w:rsidR="00A05F13">
        <w:t xml:space="preserve"> views on the proper interpretation and application of </w:t>
      </w:r>
      <w:r w:rsidR="00D947B5">
        <w:t>the ADA</w:t>
      </w:r>
      <w:r w:rsidR="00A05F13">
        <w:t xml:space="preserve">, and </w:t>
      </w:r>
      <w:r w:rsidR="00F44DE0">
        <w:t xml:space="preserve">are not </w:t>
      </w:r>
      <w:r w:rsidR="00A05F13">
        <w:t xml:space="preserve">able to make all </w:t>
      </w:r>
      <w:r w:rsidR="00C63A57">
        <w:t xml:space="preserve">of </w:t>
      </w:r>
      <w:r w:rsidR="00A05F13">
        <w:t xml:space="preserve">the arguments the United States </w:t>
      </w:r>
      <w:r w:rsidR="00052EAD">
        <w:t>c</w:t>
      </w:r>
      <w:r w:rsidR="00846F47">
        <w:t xml:space="preserve">ould </w:t>
      </w:r>
      <w:r w:rsidR="00A05F13">
        <w:t xml:space="preserve">make </w:t>
      </w:r>
      <w:r w:rsidR="00F44DE0">
        <w:t xml:space="preserve">upon </w:t>
      </w:r>
      <w:r w:rsidR="00A05F13">
        <w:t>interven</w:t>
      </w:r>
      <w:r w:rsidR="00F44DE0">
        <w:t>tion</w:t>
      </w:r>
      <w:r w:rsidR="00A05F13">
        <w:t xml:space="preserve">.  </w:t>
      </w:r>
      <w:r w:rsidR="00A05F13" w:rsidRPr="00A05F13">
        <w:rPr>
          <w:i/>
        </w:rPr>
        <w:t>See, e.g., Scotts Valley Band of Pomo Indians of the Sugar Bowl Rancheria v. United States</w:t>
      </w:r>
      <w:r w:rsidR="00A05F13" w:rsidRPr="00A05F13">
        <w:t>, 921 F.2d 924, 926-927 (</w:t>
      </w:r>
      <w:r w:rsidR="00A05F13">
        <w:t xml:space="preserve">9th </w:t>
      </w:r>
      <w:r w:rsidR="00A05F13" w:rsidRPr="00A05F13">
        <w:t>Cir. 1990) (city government’s interest could not be adequately represented by</w:t>
      </w:r>
      <w:r w:rsidR="00A05F13">
        <w:t xml:space="preserve"> </w:t>
      </w:r>
      <w:r w:rsidR="00A05F13" w:rsidRPr="00A05F13">
        <w:t xml:space="preserve">another entity); </w:t>
      </w:r>
      <w:r w:rsidR="004321FE">
        <w:rPr>
          <w:i/>
        </w:rPr>
        <w:t>Orrand v. Hunt Constr. Grp., Inc.</w:t>
      </w:r>
      <w:r w:rsidR="00043218">
        <w:t>, Nos. 13-cv-481, 13-cv-489, 13-cv-556, 13-cv-900</w:t>
      </w:r>
      <w:r w:rsidR="004321FE">
        <w:t xml:space="preserve">, 2014 WL </w:t>
      </w:r>
      <w:r w:rsidR="00043218" w:rsidRPr="00043218">
        <w:t>3895555</w:t>
      </w:r>
      <w:r w:rsidR="004321FE">
        <w:t xml:space="preserve">, at *5 (S.D. Ohio Aug. 8, 2014) </w:t>
      </w:r>
      <w:r w:rsidR="00917D33">
        <w:t>(</w:t>
      </w:r>
      <w:r w:rsidR="00AD586E">
        <w:t>NLRB’s</w:t>
      </w:r>
      <w:r w:rsidR="00917D33">
        <w:t xml:space="preserve"> interest was not adequately represented</w:t>
      </w:r>
      <w:r w:rsidR="00D968D3">
        <w:t xml:space="preserve"> by private parties</w:t>
      </w:r>
      <w:r w:rsidR="00917D33">
        <w:t xml:space="preserve">; </w:t>
      </w:r>
      <w:r w:rsidR="0056272F">
        <w:t xml:space="preserve">the </w:t>
      </w:r>
      <w:r w:rsidR="00917D33">
        <w:t xml:space="preserve">NLRB “represents and enforces the public interest” </w:t>
      </w:r>
      <w:r w:rsidR="00C24D76">
        <w:t xml:space="preserve">and </w:t>
      </w:r>
      <w:r w:rsidR="00917D33">
        <w:t>has expertise that will “provide the court with legal arguments and authorities which might not be forthcoming in the parties’ briefs”)</w:t>
      </w:r>
      <w:r w:rsidR="00482836">
        <w:t xml:space="preserve">; </w:t>
      </w:r>
      <w:r w:rsidR="00482836">
        <w:rPr>
          <w:i/>
        </w:rPr>
        <w:t>Wilkins v. Daniels</w:t>
      </w:r>
      <w:r w:rsidR="00482836">
        <w:t xml:space="preserve">, No. </w:t>
      </w:r>
      <w:r w:rsidR="007036D0">
        <w:t>12-cv-1010</w:t>
      </w:r>
      <w:r w:rsidR="00482836">
        <w:t xml:space="preserve">, </w:t>
      </w:r>
      <w:r w:rsidR="00EA4D41" w:rsidRPr="00EA4D41">
        <w:t>2012 WL 6015884</w:t>
      </w:r>
      <w:r w:rsidR="00482836">
        <w:t>, at *</w:t>
      </w:r>
      <w:r w:rsidR="00FE7A8E">
        <w:t>4</w:t>
      </w:r>
      <w:r w:rsidR="00482836">
        <w:t xml:space="preserve"> (S.D. Ohio Dec. 3, 2012) (</w:t>
      </w:r>
      <w:r w:rsidR="00902053">
        <w:t>potential intervenor’s</w:t>
      </w:r>
      <w:r w:rsidR="006E3851">
        <w:t xml:space="preserve"> interests were </w:t>
      </w:r>
      <w:r w:rsidR="00795630">
        <w:t>in</w:t>
      </w:r>
      <w:r w:rsidR="006E3851">
        <w:t>adequately represented</w:t>
      </w:r>
      <w:r w:rsidR="00881801">
        <w:t xml:space="preserve">; </w:t>
      </w:r>
      <w:r w:rsidR="00482836">
        <w:t>the state defendants “represent the general public as a whole,</w:t>
      </w:r>
      <w:r w:rsidR="00881801">
        <w:t xml:space="preserve">” </w:t>
      </w:r>
      <w:r w:rsidR="00031553">
        <w:t>while</w:t>
      </w:r>
      <w:r w:rsidR="009E64A9">
        <w:t xml:space="preserve"> </w:t>
      </w:r>
      <w:r w:rsidR="007C7122">
        <w:t xml:space="preserve">the </w:t>
      </w:r>
      <w:r w:rsidR="00902053">
        <w:t xml:space="preserve">potential intervenor </w:t>
      </w:r>
      <w:r w:rsidR="00482836">
        <w:t>“has more specialized goals in mind”).</w:t>
      </w:r>
    </w:p>
    <w:p w:rsidR="00604ED9" w:rsidRDefault="00604ED9" w:rsidP="00276DA4">
      <w:pPr>
        <w:spacing w:line="480" w:lineRule="auto"/>
        <w:ind w:firstLine="720"/>
      </w:pPr>
      <w:r w:rsidRPr="000708BE">
        <w:rPr>
          <w:i/>
        </w:rPr>
        <w:t>Second</w:t>
      </w:r>
      <w:r w:rsidR="0049194E">
        <w:t xml:space="preserve">, the interest of the United States extends to </w:t>
      </w:r>
      <w:r w:rsidR="004F0D47">
        <w:t xml:space="preserve">current, former, and potential </w:t>
      </w:r>
      <w:r w:rsidR="0049194E">
        <w:t>students</w:t>
      </w:r>
      <w:r w:rsidR="004F0D47">
        <w:t xml:space="preserve"> and members of the public</w:t>
      </w:r>
      <w:r w:rsidR="0049194E">
        <w:t xml:space="preserve"> with all types of disabilities who have been subjected to </w:t>
      </w:r>
      <w:r w:rsidR="0049194E">
        <w:lastRenderedPageBreak/>
        <w:t>discrimination, not just individ</w:t>
      </w:r>
      <w:r>
        <w:t>uals with vision disabilities.  Ms. Dudley is blind, a</w:t>
      </w:r>
      <w:r w:rsidR="00545DD1">
        <w:t>nd potential plaintiff National Federation for the Blind</w:t>
      </w:r>
      <w:r>
        <w:t xml:space="preserve"> represents the interests of individuals with vision disabilities.</w:t>
      </w:r>
      <w:r w:rsidR="009A3702">
        <w:t xml:space="preserve">  As such, intervention is necessary to protect the United States’ interest in enforcing the ADA </w:t>
      </w:r>
      <w:r w:rsidR="006347FD">
        <w:t xml:space="preserve">to </w:t>
      </w:r>
      <w:r w:rsidR="00846F47">
        <w:t xml:space="preserve">eliminate </w:t>
      </w:r>
      <w:r w:rsidR="006347FD">
        <w:t>discrimination against</w:t>
      </w:r>
      <w:r w:rsidR="009A3702">
        <w:t xml:space="preserve"> individuals with </w:t>
      </w:r>
      <w:r w:rsidR="006347FD">
        <w:t>a</w:t>
      </w:r>
      <w:r w:rsidR="00DD6EA8">
        <w:t xml:space="preserve"> variety of</w:t>
      </w:r>
      <w:r w:rsidR="009A3702">
        <w:t xml:space="preserve"> disabilities.</w:t>
      </w:r>
    </w:p>
    <w:p w:rsidR="00E30F4A" w:rsidRDefault="00C07B58" w:rsidP="00276DA4">
      <w:pPr>
        <w:spacing w:line="480" w:lineRule="auto"/>
        <w:ind w:firstLine="720"/>
      </w:pPr>
      <w:r>
        <w:t xml:space="preserve">Based on these and similar grounds, </w:t>
      </w:r>
      <w:r w:rsidR="00846F47">
        <w:t>federal district courts</w:t>
      </w:r>
      <w:r w:rsidR="00E30F4A">
        <w:t xml:space="preserve"> throughout the country have </w:t>
      </w:r>
      <w:r>
        <w:t xml:space="preserve">granted </w:t>
      </w:r>
      <w:r w:rsidR="00E30F4A">
        <w:t>the</w:t>
      </w:r>
      <w:r>
        <w:t xml:space="preserve"> </w:t>
      </w:r>
      <w:r w:rsidR="00E30F4A">
        <w:t>United States</w:t>
      </w:r>
      <w:r w:rsidR="00846F47">
        <w:t>’ applications</w:t>
      </w:r>
      <w:r w:rsidR="00E30F4A">
        <w:t xml:space="preserve"> to intervene in cases</w:t>
      </w:r>
      <w:r w:rsidR="00846F47">
        <w:t xml:space="preserve"> alleging claims under the ADA</w:t>
      </w:r>
      <w:r w:rsidR="00E30F4A">
        <w:t xml:space="preserve">.  </w:t>
      </w:r>
      <w:r w:rsidR="000F42DB" w:rsidRPr="000F42DB">
        <w:rPr>
          <w:i/>
        </w:rPr>
        <w:t>See, e.g.</w:t>
      </w:r>
      <w:r w:rsidR="00E30F4A">
        <w:t xml:space="preserve">, </w:t>
      </w:r>
      <w:r w:rsidR="00BE7E7A">
        <w:t xml:space="preserve">Electronic Order, </w:t>
      </w:r>
      <w:r w:rsidR="000F42DB" w:rsidRPr="000F42DB">
        <w:rPr>
          <w:i/>
        </w:rPr>
        <w:t xml:space="preserve">Nat’l </w:t>
      </w:r>
      <w:proofErr w:type="spellStart"/>
      <w:r w:rsidR="000F42DB" w:rsidRPr="000F42DB">
        <w:rPr>
          <w:i/>
        </w:rPr>
        <w:t>Fed’n</w:t>
      </w:r>
      <w:proofErr w:type="spellEnd"/>
      <w:r w:rsidR="000F42DB" w:rsidRPr="000F42DB">
        <w:rPr>
          <w:i/>
        </w:rPr>
        <w:t xml:space="preserve"> of the Blind v. HRB Digital LLC</w:t>
      </w:r>
      <w:r w:rsidR="00BE7E7A">
        <w:t xml:space="preserve">, </w:t>
      </w:r>
      <w:r w:rsidR="00052EAD">
        <w:t xml:space="preserve">No. </w:t>
      </w:r>
      <w:r w:rsidR="00BE7E7A">
        <w:t xml:space="preserve">1:13cv10799 (D. Mass. Dec. </w:t>
      </w:r>
      <w:r>
        <w:t>10, 2013) (granting the United States</w:t>
      </w:r>
      <w:r w:rsidR="00846F47">
        <w:t>’ motion to intervene</w:t>
      </w:r>
      <w:r>
        <w:t xml:space="preserve"> in action under Title III of the ADA);</w:t>
      </w:r>
      <w:r w:rsidR="00BE7E7A">
        <w:t xml:space="preserve"> Civil Minutes, </w:t>
      </w:r>
      <w:r w:rsidR="000F42DB" w:rsidRPr="000F42DB">
        <w:rPr>
          <w:i/>
        </w:rPr>
        <w:t xml:space="preserve">Dep’t of Fair </w:t>
      </w:r>
      <w:proofErr w:type="spellStart"/>
      <w:r w:rsidR="000F42DB" w:rsidRPr="000F42DB">
        <w:rPr>
          <w:i/>
        </w:rPr>
        <w:t>Emp’t</w:t>
      </w:r>
      <w:proofErr w:type="spellEnd"/>
      <w:r w:rsidR="000F42DB" w:rsidRPr="000F42DB">
        <w:rPr>
          <w:i/>
        </w:rPr>
        <w:t xml:space="preserve"> </w:t>
      </w:r>
      <w:r w:rsidR="00846F47">
        <w:rPr>
          <w:i/>
        </w:rPr>
        <w:t>&amp;</w:t>
      </w:r>
      <w:r w:rsidR="000F42DB" w:rsidRPr="000F42DB">
        <w:rPr>
          <w:i/>
        </w:rPr>
        <w:t xml:space="preserve"> </w:t>
      </w:r>
      <w:proofErr w:type="spellStart"/>
      <w:r w:rsidR="000F42DB" w:rsidRPr="000F42DB">
        <w:rPr>
          <w:i/>
        </w:rPr>
        <w:t>Hous</w:t>
      </w:r>
      <w:proofErr w:type="spellEnd"/>
      <w:r w:rsidR="000F42DB" w:rsidRPr="000F42DB">
        <w:rPr>
          <w:i/>
        </w:rPr>
        <w:t xml:space="preserve">. </w:t>
      </w:r>
      <w:proofErr w:type="gramStart"/>
      <w:r w:rsidR="00846F47">
        <w:rPr>
          <w:i/>
        </w:rPr>
        <w:t>v</w:t>
      </w:r>
      <w:r w:rsidR="000F42DB" w:rsidRPr="000F42DB">
        <w:rPr>
          <w:i/>
        </w:rPr>
        <w:t>. Law</w:t>
      </w:r>
      <w:proofErr w:type="gramEnd"/>
      <w:r w:rsidR="000F42DB" w:rsidRPr="000F42DB">
        <w:rPr>
          <w:i/>
        </w:rPr>
        <w:t xml:space="preserve"> </w:t>
      </w:r>
      <w:r w:rsidR="00846F47">
        <w:rPr>
          <w:i/>
        </w:rPr>
        <w:t>Sch.</w:t>
      </w:r>
      <w:r w:rsidR="000F42DB" w:rsidRPr="000F42DB">
        <w:rPr>
          <w:i/>
        </w:rPr>
        <w:t xml:space="preserve"> Admission Council Inc.</w:t>
      </w:r>
      <w:r w:rsidR="00BE7E7A">
        <w:t xml:space="preserve">, </w:t>
      </w:r>
      <w:r w:rsidR="00052EAD">
        <w:t xml:space="preserve">No. </w:t>
      </w:r>
      <w:r w:rsidR="00BE7E7A">
        <w:t>3:12-cv-1830-EMC (N.D. Cal. Oct. 12, 2012) (</w:t>
      </w:r>
      <w:r>
        <w:t>same</w:t>
      </w:r>
      <w:r w:rsidR="00BE7E7A">
        <w:t xml:space="preserve">); </w:t>
      </w:r>
      <w:r>
        <w:t xml:space="preserve">Minutes of Proceedings, </w:t>
      </w:r>
      <w:r w:rsidR="000F42DB" w:rsidRPr="000F42DB">
        <w:rPr>
          <w:i/>
        </w:rPr>
        <w:t>Lane v. Brown</w:t>
      </w:r>
      <w:r>
        <w:t xml:space="preserve">, </w:t>
      </w:r>
      <w:r w:rsidR="00052EAD">
        <w:t xml:space="preserve">No. </w:t>
      </w:r>
      <w:r>
        <w:t>3:12cv138 (D. Or. May 22, 2013) (granting the United States</w:t>
      </w:r>
      <w:r w:rsidR="00846F47">
        <w:t>’ motion to intervene</w:t>
      </w:r>
      <w:r>
        <w:t xml:space="preserve"> in Title II action)</w:t>
      </w:r>
      <w:r w:rsidR="00BE7E7A">
        <w:t>.</w:t>
      </w:r>
      <w:r w:rsidR="00846F47">
        <w:t xml:space="preserve">  This Court should do the same.</w:t>
      </w:r>
    </w:p>
    <w:p w:rsidR="00F65C68" w:rsidRDefault="001457AB" w:rsidP="00773095">
      <w:pPr>
        <w:pStyle w:val="Heading2"/>
      </w:pPr>
      <w:r>
        <w:t>Alternatively, the United States Should Be Allowed to Intervene By Permission</w:t>
      </w:r>
    </w:p>
    <w:p w:rsidR="009A5D33" w:rsidRDefault="00F44DE0" w:rsidP="000708BE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>T</w:t>
      </w:r>
      <w:r w:rsidR="00EB60A1">
        <w:rPr>
          <w:rFonts w:eastAsia="Times New Roman"/>
        </w:rPr>
        <w:t xml:space="preserve">he United States </w:t>
      </w:r>
      <w:r>
        <w:rPr>
          <w:rFonts w:eastAsia="Times New Roman"/>
        </w:rPr>
        <w:t xml:space="preserve">may also </w:t>
      </w:r>
      <w:r w:rsidR="00EB60A1">
        <w:rPr>
          <w:rFonts w:eastAsia="Times New Roman"/>
        </w:rPr>
        <w:t>be granted</w:t>
      </w:r>
      <w:r w:rsidR="00E05F62">
        <w:rPr>
          <w:rFonts w:eastAsia="Times New Roman"/>
        </w:rPr>
        <w:t xml:space="preserve"> leave to intervene by permission</w:t>
      </w:r>
      <w:r w:rsidR="00F65C68" w:rsidRPr="00F65C68">
        <w:rPr>
          <w:rFonts w:eastAsia="Times New Roman"/>
        </w:rPr>
        <w:t xml:space="preserve">. </w:t>
      </w:r>
      <w:r w:rsidR="006D7279">
        <w:rPr>
          <w:rFonts w:eastAsia="Times New Roman"/>
        </w:rPr>
        <w:t xml:space="preserve"> Rule</w:t>
      </w:r>
      <w:r w:rsidR="00F65C68" w:rsidRPr="00F65C68">
        <w:rPr>
          <w:rFonts w:eastAsia="Times New Roman"/>
        </w:rPr>
        <w:t xml:space="preserve"> 24(b)(2) permits</w:t>
      </w:r>
      <w:r w:rsidR="006D7279">
        <w:rPr>
          <w:rFonts w:eastAsia="Times New Roman"/>
        </w:rPr>
        <w:t xml:space="preserve"> </w:t>
      </w:r>
      <w:r w:rsidR="00F65C68" w:rsidRPr="00F65C68">
        <w:rPr>
          <w:rFonts w:eastAsia="Times New Roman"/>
        </w:rPr>
        <w:t>intervention on timely motion by a govern</w:t>
      </w:r>
      <w:r w:rsidR="00F65C68">
        <w:rPr>
          <w:rFonts w:eastAsia="Times New Roman"/>
        </w:rPr>
        <w:t>mental officer or agency where</w:t>
      </w:r>
      <w:r w:rsidR="00FB783D">
        <w:rPr>
          <w:rFonts w:eastAsia="Times New Roman"/>
        </w:rPr>
        <w:t xml:space="preserve"> </w:t>
      </w:r>
      <w:r w:rsidR="000708BE">
        <w:rPr>
          <w:rFonts w:eastAsia="Times New Roman"/>
        </w:rPr>
        <w:t xml:space="preserve">“a </w:t>
      </w:r>
      <w:r w:rsidR="006E563E">
        <w:rPr>
          <w:rFonts w:eastAsia="Times New Roman"/>
        </w:rPr>
        <w:t>party’</w:t>
      </w:r>
      <w:r w:rsidR="00F65C68" w:rsidRPr="00F65C68">
        <w:rPr>
          <w:rFonts w:eastAsia="Times New Roman"/>
        </w:rPr>
        <w:t>s claim . . . is based on: (A) a statute . . . administered by the officer or agency; or (B) any regulation [or] requirement . . . issued or made under the statute or executive order.</w:t>
      </w:r>
      <w:r w:rsidR="000708BE">
        <w:rPr>
          <w:rFonts w:eastAsia="Times New Roman"/>
        </w:rPr>
        <w:t xml:space="preserve">”  </w:t>
      </w:r>
      <w:r w:rsidR="00F65C68" w:rsidRPr="00F65C68">
        <w:rPr>
          <w:rFonts w:eastAsia="Times New Roman"/>
        </w:rPr>
        <w:t xml:space="preserve">Fed. R. Civ. P. 24(b)(2). </w:t>
      </w:r>
      <w:r w:rsidR="006D7279">
        <w:rPr>
          <w:rFonts w:eastAsia="Times New Roman"/>
        </w:rPr>
        <w:t xml:space="preserve"> </w:t>
      </w:r>
      <w:r w:rsidR="00F65C68" w:rsidRPr="00F65C68">
        <w:rPr>
          <w:rFonts w:eastAsia="Times New Roman"/>
        </w:rPr>
        <w:t>The Court may</w:t>
      </w:r>
      <w:r w:rsidR="00C77A7A">
        <w:rPr>
          <w:rFonts w:eastAsia="Times New Roman"/>
        </w:rPr>
        <w:t xml:space="preserve"> likewise</w:t>
      </w:r>
      <w:r w:rsidR="006D7279">
        <w:rPr>
          <w:rFonts w:eastAsia="Times New Roman"/>
        </w:rPr>
        <w:t xml:space="preserve"> </w:t>
      </w:r>
      <w:r w:rsidR="00F65C68" w:rsidRPr="00F65C68">
        <w:rPr>
          <w:rFonts w:eastAsia="Times New Roman"/>
        </w:rPr>
        <w:t xml:space="preserve">permit intervention by anyone who has </w:t>
      </w:r>
      <w:r w:rsidR="006D7279">
        <w:rPr>
          <w:rFonts w:eastAsia="Times New Roman"/>
        </w:rPr>
        <w:t>“</w:t>
      </w:r>
      <w:r w:rsidR="00F65C68" w:rsidRPr="00F65C68">
        <w:rPr>
          <w:rFonts w:eastAsia="Times New Roman"/>
        </w:rPr>
        <w:t xml:space="preserve">a claim or defense that shares with the main action a </w:t>
      </w:r>
      <w:r w:rsidR="006D7279">
        <w:rPr>
          <w:rFonts w:eastAsia="Times New Roman"/>
        </w:rPr>
        <w:t>common question of law or fact.”</w:t>
      </w:r>
      <w:r w:rsidR="00F65C68" w:rsidRPr="00F65C68">
        <w:rPr>
          <w:rFonts w:eastAsia="Times New Roman"/>
        </w:rPr>
        <w:t xml:space="preserve"> </w:t>
      </w:r>
      <w:r w:rsidR="006D7279">
        <w:rPr>
          <w:rFonts w:eastAsia="Times New Roman"/>
        </w:rPr>
        <w:t xml:space="preserve"> </w:t>
      </w:r>
      <w:r w:rsidR="00F65C68" w:rsidRPr="00F65C68">
        <w:rPr>
          <w:rFonts w:eastAsia="Times New Roman"/>
        </w:rPr>
        <w:t>Fed. R. Civ. P. 24(b)(1)(B).</w:t>
      </w:r>
      <w:r w:rsidR="00C77A7A">
        <w:rPr>
          <w:rFonts w:eastAsia="Times New Roman"/>
        </w:rPr>
        <w:t xml:space="preserve">  “In exercising its discretion,” </w:t>
      </w:r>
      <w:r w:rsidR="00034C74">
        <w:rPr>
          <w:rFonts w:eastAsia="Times New Roman"/>
        </w:rPr>
        <w:t>a court “</w:t>
      </w:r>
      <w:r w:rsidR="00C77A7A">
        <w:rPr>
          <w:rFonts w:eastAsia="Times New Roman"/>
        </w:rPr>
        <w:t>must consider whether intervention will unduly delay or prejudice the adjudication of the original parties’ rights.”</w:t>
      </w:r>
      <w:r w:rsidR="00F65C68" w:rsidRPr="00F65C68">
        <w:rPr>
          <w:rFonts w:eastAsia="Times New Roman"/>
        </w:rPr>
        <w:t xml:space="preserve"> </w:t>
      </w:r>
      <w:r w:rsidR="006D7279">
        <w:rPr>
          <w:rFonts w:eastAsia="Times New Roman"/>
        </w:rPr>
        <w:t xml:space="preserve"> </w:t>
      </w:r>
      <w:r w:rsidR="00034C74">
        <w:rPr>
          <w:rFonts w:eastAsia="Times New Roman"/>
        </w:rPr>
        <w:t xml:space="preserve">Fed. R. Civ. P. 24(b)(3).  </w:t>
      </w:r>
    </w:p>
    <w:p w:rsidR="009A5D33" w:rsidRDefault="00F65C68" w:rsidP="009A5D33">
      <w:pPr>
        <w:spacing w:line="480" w:lineRule="auto"/>
        <w:ind w:firstLine="720"/>
        <w:rPr>
          <w:rFonts w:eastAsia="Times New Roman"/>
        </w:rPr>
      </w:pPr>
      <w:r w:rsidRPr="00F65C68">
        <w:rPr>
          <w:rFonts w:eastAsia="Times New Roman"/>
        </w:rPr>
        <w:lastRenderedPageBreak/>
        <w:t>The same substantial interests that give the United States a right to intervene in this case</w:t>
      </w:r>
      <w:r w:rsidR="00C77A7A">
        <w:rPr>
          <w:rFonts w:eastAsia="Times New Roman"/>
        </w:rPr>
        <w:t xml:space="preserve"> under </w:t>
      </w:r>
      <w:r w:rsidR="007B40A5">
        <w:rPr>
          <w:rFonts w:eastAsia="Times New Roman"/>
        </w:rPr>
        <w:t>Rule</w:t>
      </w:r>
      <w:r w:rsidR="00C77A7A">
        <w:rPr>
          <w:rFonts w:eastAsia="Times New Roman"/>
        </w:rPr>
        <w:t xml:space="preserve"> 24(a</w:t>
      </w:r>
      <w:proofErr w:type="gramStart"/>
      <w:r w:rsidR="00C77A7A">
        <w:rPr>
          <w:rFonts w:eastAsia="Times New Roman"/>
        </w:rPr>
        <w:t>)(</w:t>
      </w:r>
      <w:proofErr w:type="gramEnd"/>
      <w:r w:rsidR="00C77A7A">
        <w:rPr>
          <w:rFonts w:eastAsia="Times New Roman"/>
        </w:rPr>
        <w:t>2)</w:t>
      </w:r>
      <w:r w:rsidRPr="00F65C68">
        <w:rPr>
          <w:rFonts w:eastAsia="Times New Roman"/>
        </w:rPr>
        <w:t xml:space="preserve"> support permissive interventi</w:t>
      </w:r>
      <w:r w:rsidR="009A5D33">
        <w:rPr>
          <w:rFonts w:eastAsia="Times New Roman"/>
        </w:rPr>
        <w:t xml:space="preserve">on under </w:t>
      </w:r>
      <w:r w:rsidR="007B40A5">
        <w:rPr>
          <w:rFonts w:eastAsia="Times New Roman"/>
        </w:rPr>
        <w:t>Rule</w:t>
      </w:r>
      <w:r w:rsidR="009A5D33">
        <w:rPr>
          <w:rFonts w:eastAsia="Times New Roman"/>
        </w:rPr>
        <w:t xml:space="preserve"> 24(b):</w:t>
      </w:r>
    </w:p>
    <w:p w:rsidR="00F65C68" w:rsidRPr="00F65C68" w:rsidRDefault="00F65C68" w:rsidP="00214E4A">
      <w:pPr>
        <w:spacing w:line="480" w:lineRule="auto"/>
        <w:ind w:firstLine="720"/>
        <w:rPr>
          <w:rFonts w:eastAsia="Times New Roman"/>
        </w:rPr>
      </w:pPr>
      <w:r w:rsidRPr="000708BE">
        <w:rPr>
          <w:rFonts w:eastAsia="Times New Roman"/>
          <w:i/>
        </w:rPr>
        <w:t>First</w:t>
      </w:r>
      <w:r w:rsidRPr="00F65C68">
        <w:rPr>
          <w:rFonts w:eastAsia="Times New Roman"/>
        </w:rPr>
        <w:t xml:space="preserve">, for the reasons detailed in </w:t>
      </w:r>
      <w:r w:rsidR="008D711C">
        <w:rPr>
          <w:rFonts w:eastAsia="Times New Roman"/>
        </w:rPr>
        <w:t xml:space="preserve">Section </w:t>
      </w:r>
      <w:proofErr w:type="gramStart"/>
      <w:r w:rsidR="003141F4">
        <w:rPr>
          <w:rFonts w:eastAsia="Times New Roman"/>
        </w:rPr>
        <w:t>I</w:t>
      </w:r>
      <w:r w:rsidR="008D711C">
        <w:rPr>
          <w:rFonts w:eastAsia="Times New Roman"/>
        </w:rPr>
        <w:t>(</w:t>
      </w:r>
      <w:proofErr w:type="gramEnd"/>
      <w:r w:rsidR="003141F4">
        <w:rPr>
          <w:rFonts w:eastAsia="Times New Roman"/>
        </w:rPr>
        <w:t>A</w:t>
      </w:r>
      <w:r w:rsidR="008D711C">
        <w:rPr>
          <w:rFonts w:eastAsia="Times New Roman"/>
        </w:rPr>
        <w:t>)</w:t>
      </w:r>
      <w:r w:rsidRPr="00F65C68">
        <w:rPr>
          <w:rFonts w:eastAsia="Times New Roman"/>
        </w:rPr>
        <w:t xml:space="preserve">, </w:t>
      </w:r>
      <w:r w:rsidRPr="00F65C68">
        <w:rPr>
          <w:rFonts w:eastAsia="Times New Roman"/>
          <w:i/>
          <w:iCs/>
        </w:rPr>
        <w:t>supra</w:t>
      </w:r>
      <w:r w:rsidRPr="00F65C68">
        <w:rPr>
          <w:rFonts w:eastAsia="Times New Roman"/>
        </w:rPr>
        <w:t>, the United States</w:t>
      </w:r>
      <w:r w:rsidR="008418F4">
        <w:rPr>
          <w:rFonts w:eastAsia="Times New Roman"/>
        </w:rPr>
        <w:t>’</w:t>
      </w:r>
      <w:r w:rsidRPr="00F65C68">
        <w:rPr>
          <w:rFonts w:eastAsia="Times New Roman"/>
        </w:rPr>
        <w:t xml:space="preserve"> Motion </w:t>
      </w:r>
      <w:r w:rsidR="00D511C1">
        <w:rPr>
          <w:rFonts w:eastAsia="Times New Roman"/>
        </w:rPr>
        <w:t>to Intervene</w:t>
      </w:r>
      <w:r w:rsidRPr="00F65C68">
        <w:rPr>
          <w:rFonts w:eastAsia="Times New Roman"/>
        </w:rPr>
        <w:t xml:space="preserve"> is timely.</w:t>
      </w:r>
      <w:r w:rsidR="006D7279">
        <w:rPr>
          <w:rFonts w:eastAsia="Times New Roman"/>
        </w:rPr>
        <w:t xml:space="preserve"> </w:t>
      </w:r>
      <w:r w:rsidRPr="00F65C68">
        <w:rPr>
          <w:rFonts w:eastAsia="Times New Roman"/>
        </w:rPr>
        <w:t xml:space="preserve"> </w:t>
      </w:r>
      <w:r w:rsidRPr="000708BE">
        <w:rPr>
          <w:rFonts w:eastAsia="Times New Roman"/>
          <w:i/>
        </w:rPr>
        <w:t>Second</w:t>
      </w:r>
      <w:r w:rsidRPr="00F65C68">
        <w:rPr>
          <w:rFonts w:eastAsia="Times New Roman"/>
        </w:rPr>
        <w:t xml:space="preserve">, if required to file a separate action to protect </w:t>
      </w:r>
      <w:r w:rsidR="008D6061">
        <w:rPr>
          <w:rFonts w:eastAsia="Times New Roman"/>
        </w:rPr>
        <w:t xml:space="preserve">the United States’ </w:t>
      </w:r>
      <w:r w:rsidR="0044237D">
        <w:rPr>
          <w:rFonts w:eastAsia="Times New Roman"/>
        </w:rPr>
        <w:t>interests</w:t>
      </w:r>
      <w:r w:rsidRPr="00F65C68">
        <w:rPr>
          <w:rFonts w:eastAsia="Times New Roman"/>
        </w:rPr>
        <w:t xml:space="preserve">, </w:t>
      </w:r>
      <w:r w:rsidRPr="00F65C68">
        <w:rPr>
          <w:rFonts w:eastAsia="Times New Roman"/>
          <w:i/>
          <w:iCs/>
        </w:rPr>
        <w:t>see</w:t>
      </w:r>
      <w:r w:rsidRPr="00F65C68">
        <w:rPr>
          <w:rFonts w:eastAsia="Times New Roman"/>
        </w:rPr>
        <w:t xml:space="preserve"> </w:t>
      </w:r>
      <w:r w:rsidR="008D711C">
        <w:rPr>
          <w:rFonts w:eastAsia="Times New Roman"/>
        </w:rPr>
        <w:t xml:space="preserve">Section </w:t>
      </w:r>
      <w:r w:rsidR="003141F4">
        <w:rPr>
          <w:rFonts w:eastAsia="Times New Roman"/>
        </w:rPr>
        <w:t>I</w:t>
      </w:r>
      <w:r w:rsidR="008D711C">
        <w:rPr>
          <w:rFonts w:eastAsia="Times New Roman"/>
        </w:rPr>
        <w:t>(</w:t>
      </w:r>
      <w:r w:rsidR="003141F4">
        <w:rPr>
          <w:rFonts w:eastAsia="Times New Roman"/>
        </w:rPr>
        <w:t>D</w:t>
      </w:r>
      <w:r w:rsidR="008D711C">
        <w:rPr>
          <w:rFonts w:eastAsia="Times New Roman"/>
        </w:rPr>
        <w:t>)</w:t>
      </w:r>
      <w:r w:rsidRPr="00F65C68">
        <w:rPr>
          <w:rFonts w:eastAsia="Times New Roman"/>
        </w:rPr>
        <w:t xml:space="preserve">, </w:t>
      </w:r>
      <w:r w:rsidRPr="00F65C68">
        <w:rPr>
          <w:rFonts w:eastAsia="Times New Roman"/>
          <w:i/>
          <w:iCs/>
        </w:rPr>
        <w:t>supra</w:t>
      </w:r>
      <w:r w:rsidRPr="00F65C68">
        <w:rPr>
          <w:rFonts w:eastAsia="Times New Roman"/>
        </w:rPr>
        <w:t xml:space="preserve">, the United States would assert that </w:t>
      </w:r>
      <w:r w:rsidR="00C77EC0">
        <w:rPr>
          <w:rFonts w:eastAsia="Times New Roman"/>
        </w:rPr>
        <w:t>Miami University</w:t>
      </w:r>
      <w:r w:rsidR="0044237D">
        <w:rPr>
          <w:rFonts w:eastAsia="Times New Roman"/>
        </w:rPr>
        <w:t xml:space="preserve"> uses</w:t>
      </w:r>
      <w:r w:rsidR="006D7279">
        <w:rPr>
          <w:rFonts w:eastAsia="Times New Roman"/>
        </w:rPr>
        <w:t xml:space="preserve"> inaccessible technologies </w:t>
      </w:r>
      <w:r w:rsidR="00C07B58">
        <w:rPr>
          <w:rFonts w:eastAsia="Times New Roman"/>
        </w:rPr>
        <w:t xml:space="preserve">and </w:t>
      </w:r>
      <w:r w:rsidR="00D511C1">
        <w:rPr>
          <w:rFonts w:eastAsia="Times New Roman"/>
        </w:rPr>
        <w:t>has failed</w:t>
      </w:r>
      <w:r w:rsidR="00C07B58">
        <w:rPr>
          <w:rFonts w:eastAsia="Times New Roman"/>
        </w:rPr>
        <w:t xml:space="preserve"> to </w:t>
      </w:r>
      <w:r w:rsidR="00D511C1">
        <w:rPr>
          <w:rFonts w:eastAsia="Times New Roman"/>
        </w:rPr>
        <w:t xml:space="preserve">use other means to </w:t>
      </w:r>
      <w:r w:rsidR="00C07B58">
        <w:rPr>
          <w:rFonts w:eastAsia="Times New Roman"/>
        </w:rPr>
        <w:t>ensure effective communication</w:t>
      </w:r>
      <w:r w:rsidR="00D511C1">
        <w:rPr>
          <w:rFonts w:eastAsia="Times New Roman"/>
        </w:rPr>
        <w:t xml:space="preserve"> with individuals with disabilities—thus denying</w:t>
      </w:r>
      <w:r w:rsidR="006D7279">
        <w:rPr>
          <w:rFonts w:eastAsia="Times New Roman"/>
        </w:rPr>
        <w:t xml:space="preserve"> </w:t>
      </w:r>
      <w:r w:rsidR="00D511C1">
        <w:rPr>
          <w:rFonts w:eastAsia="Times New Roman"/>
        </w:rPr>
        <w:t>them</w:t>
      </w:r>
      <w:r w:rsidR="006D7279">
        <w:rPr>
          <w:rFonts w:eastAsia="Times New Roman"/>
        </w:rPr>
        <w:t xml:space="preserve"> an equal opportunity to participate in and benefit from </w:t>
      </w:r>
      <w:r w:rsidR="00C77EC0">
        <w:rPr>
          <w:rFonts w:eastAsia="Times New Roman"/>
        </w:rPr>
        <w:t>Miami University</w:t>
      </w:r>
      <w:r w:rsidR="00F932D3">
        <w:rPr>
          <w:rFonts w:eastAsia="Times New Roman"/>
        </w:rPr>
        <w:t>’s</w:t>
      </w:r>
      <w:r w:rsidR="006D7279">
        <w:rPr>
          <w:rFonts w:eastAsia="Times New Roman"/>
        </w:rPr>
        <w:t xml:space="preserve"> curricular and co-curricular </w:t>
      </w:r>
      <w:r w:rsidR="00634DDC">
        <w:rPr>
          <w:rFonts w:eastAsia="Times New Roman"/>
        </w:rPr>
        <w:t xml:space="preserve">services, </w:t>
      </w:r>
      <w:r w:rsidR="006D7279">
        <w:rPr>
          <w:rFonts w:eastAsia="Times New Roman"/>
        </w:rPr>
        <w:t>programs</w:t>
      </w:r>
      <w:r w:rsidR="00634DDC">
        <w:rPr>
          <w:rFonts w:eastAsia="Times New Roman"/>
        </w:rPr>
        <w:t>,</w:t>
      </w:r>
      <w:r w:rsidR="006D7279">
        <w:rPr>
          <w:rFonts w:eastAsia="Times New Roman"/>
        </w:rPr>
        <w:t xml:space="preserve"> and activities in violation of</w:t>
      </w:r>
      <w:r w:rsidRPr="00F65C68">
        <w:rPr>
          <w:rFonts w:eastAsia="Times New Roman"/>
        </w:rPr>
        <w:t xml:space="preserve"> Title II </w:t>
      </w:r>
      <w:r w:rsidR="006D7279">
        <w:rPr>
          <w:rFonts w:eastAsia="Times New Roman"/>
        </w:rPr>
        <w:t xml:space="preserve">and </w:t>
      </w:r>
      <w:r w:rsidR="008D6061">
        <w:rPr>
          <w:rFonts w:eastAsia="Times New Roman"/>
        </w:rPr>
        <w:t>the Department’s</w:t>
      </w:r>
      <w:r w:rsidR="008D6061" w:rsidRPr="00F65C68">
        <w:rPr>
          <w:rFonts w:eastAsia="Times New Roman"/>
        </w:rPr>
        <w:t xml:space="preserve"> </w:t>
      </w:r>
      <w:r w:rsidRPr="00F65C68">
        <w:rPr>
          <w:rFonts w:eastAsia="Times New Roman"/>
        </w:rPr>
        <w:t xml:space="preserve">implementing regulation. </w:t>
      </w:r>
      <w:r w:rsidR="006D7279">
        <w:rPr>
          <w:rFonts w:eastAsia="Times New Roman"/>
        </w:rPr>
        <w:t xml:space="preserve"> </w:t>
      </w:r>
      <w:r w:rsidRPr="00F65C68">
        <w:rPr>
          <w:rFonts w:eastAsia="Times New Roman"/>
        </w:rPr>
        <w:t xml:space="preserve">These assertions would require the Court to resolve questions of </w:t>
      </w:r>
      <w:r w:rsidR="006D7279">
        <w:rPr>
          <w:rFonts w:eastAsia="Times New Roman"/>
        </w:rPr>
        <w:t xml:space="preserve">fact and law </w:t>
      </w:r>
      <w:r w:rsidR="00214E4A">
        <w:rPr>
          <w:rFonts w:eastAsia="Times New Roman"/>
        </w:rPr>
        <w:t>that are common to—and in some instances, identical to—</w:t>
      </w:r>
      <w:r w:rsidR="003141F4">
        <w:rPr>
          <w:rFonts w:eastAsia="Times New Roman"/>
        </w:rPr>
        <w:t>questions raised by</w:t>
      </w:r>
      <w:r w:rsidR="005633E6">
        <w:rPr>
          <w:rFonts w:eastAsia="Times New Roman"/>
        </w:rPr>
        <w:t xml:space="preserve"> the exi</w:t>
      </w:r>
      <w:r w:rsidR="00545DD1">
        <w:rPr>
          <w:rFonts w:eastAsia="Times New Roman"/>
        </w:rPr>
        <w:t>s</w:t>
      </w:r>
      <w:r w:rsidR="005633E6">
        <w:rPr>
          <w:rFonts w:eastAsia="Times New Roman"/>
        </w:rPr>
        <w:t>ting parties</w:t>
      </w:r>
      <w:r w:rsidR="00214E4A">
        <w:rPr>
          <w:rFonts w:eastAsia="Times New Roman"/>
        </w:rPr>
        <w:t xml:space="preserve">. </w:t>
      </w:r>
      <w:r w:rsidR="006D7279">
        <w:rPr>
          <w:rFonts w:eastAsia="Times New Roman"/>
        </w:rPr>
        <w:t xml:space="preserve"> </w:t>
      </w:r>
      <w:r w:rsidR="006D7279" w:rsidRPr="000708BE">
        <w:rPr>
          <w:rFonts w:eastAsia="Times New Roman"/>
          <w:i/>
        </w:rPr>
        <w:t>Third</w:t>
      </w:r>
      <w:r w:rsidR="006D7279">
        <w:rPr>
          <w:rFonts w:eastAsia="Times New Roman"/>
        </w:rPr>
        <w:t xml:space="preserve">, </w:t>
      </w:r>
      <w:r w:rsidR="00772D68">
        <w:rPr>
          <w:rFonts w:eastAsia="Times New Roman"/>
        </w:rPr>
        <w:t>a</w:t>
      </w:r>
      <w:r w:rsidRPr="00F65C68">
        <w:rPr>
          <w:rFonts w:eastAsia="Times New Roman"/>
        </w:rPr>
        <w:t xml:space="preserve">s discussed in </w:t>
      </w:r>
      <w:r w:rsidR="005633E6">
        <w:rPr>
          <w:rFonts w:eastAsia="Times New Roman"/>
        </w:rPr>
        <w:t xml:space="preserve">Section </w:t>
      </w:r>
      <w:proofErr w:type="gramStart"/>
      <w:r w:rsidRPr="00F65C68">
        <w:rPr>
          <w:rFonts w:eastAsia="Times New Roman"/>
        </w:rPr>
        <w:t>I</w:t>
      </w:r>
      <w:r w:rsidR="005633E6">
        <w:rPr>
          <w:rFonts w:eastAsia="Times New Roman"/>
        </w:rPr>
        <w:t>(</w:t>
      </w:r>
      <w:proofErr w:type="gramEnd"/>
      <w:r w:rsidR="008247F4">
        <w:rPr>
          <w:rFonts w:eastAsia="Times New Roman"/>
        </w:rPr>
        <w:t>B</w:t>
      </w:r>
      <w:r w:rsidR="005633E6">
        <w:rPr>
          <w:rFonts w:eastAsia="Times New Roman"/>
        </w:rPr>
        <w:t>)</w:t>
      </w:r>
      <w:r w:rsidRPr="00F65C68">
        <w:rPr>
          <w:rFonts w:eastAsia="Times New Roman"/>
        </w:rPr>
        <w:t xml:space="preserve">, </w:t>
      </w:r>
      <w:r w:rsidRPr="00F65C68">
        <w:rPr>
          <w:rFonts w:eastAsia="Times New Roman"/>
          <w:i/>
          <w:iCs/>
        </w:rPr>
        <w:t>supra</w:t>
      </w:r>
      <w:r w:rsidRPr="00F65C68">
        <w:rPr>
          <w:rFonts w:eastAsia="Times New Roman"/>
        </w:rPr>
        <w:t xml:space="preserve">, the Department </w:t>
      </w:r>
      <w:r w:rsidR="007A7F12">
        <w:rPr>
          <w:rFonts w:eastAsia="Times New Roman"/>
        </w:rPr>
        <w:t>plays a</w:t>
      </w:r>
      <w:r w:rsidRPr="00F65C68">
        <w:rPr>
          <w:rFonts w:eastAsia="Times New Roman"/>
        </w:rPr>
        <w:t xml:space="preserve"> central role in </w:t>
      </w:r>
      <w:r w:rsidR="00772D68">
        <w:rPr>
          <w:rFonts w:eastAsia="Times New Roman"/>
        </w:rPr>
        <w:t xml:space="preserve">enforcing and implementing the ADA and </w:t>
      </w:r>
      <w:r w:rsidR="00107E83">
        <w:rPr>
          <w:rFonts w:eastAsia="Times New Roman"/>
        </w:rPr>
        <w:t>the Department’s</w:t>
      </w:r>
      <w:r w:rsidR="00772D68">
        <w:rPr>
          <w:rFonts w:eastAsia="Times New Roman"/>
        </w:rPr>
        <w:t xml:space="preserve"> </w:t>
      </w:r>
      <w:r w:rsidR="002F58C8">
        <w:rPr>
          <w:rFonts w:eastAsia="Times New Roman"/>
        </w:rPr>
        <w:t xml:space="preserve">Title II </w:t>
      </w:r>
      <w:r w:rsidR="00772D68">
        <w:rPr>
          <w:rFonts w:eastAsia="Times New Roman"/>
        </w:rPr>
        <w:t>regulation, which is at issue in this case</w:t>
      </w:r>
      <w:r w:rsidRPr="00F65C68">
        <w:rPr>
          <w:rFonts w:eastAsia="Times New Roman"/>
        </w:rPr>
        <w:t xml:space="preserve">. </w:t>
      </w:r>
      <w:r w:rsidR="00C77A7A">
        <w:rPr>
          <w:rFonts w:eastAsia="Times New Roman"/>
        </w:rPr>
        <w:t xml:space="preserve"> </w:t>
      </w:r>
      <w:r w:rsidR="007A7F12" w:rsidRPr="000708BE">
        <w:rPr>
          <w:rFonts w:eastAsia="Times New Roman"/>
          <w:i/>
        </w:rPr>
        <w:t>Fourth</w:t>
      </w:r>
      <w:r w:rsidR="00C77A7A">
        <w:rPr>
          <w:rFonts w:eastAsia="Times New Roman"/>
        </w:rPr>
        <w:t xml:space="preserve">, because this case is at </w:t>
      </w:r>
      <w:r w:rsidR="005633E6">
        <w:rPr>
          <w:rFonts w:eastAsia="Times New Roman"/>
        </w:rPr>
        <w:t xml:space="preserve">the </w:t>
      </w:r>
      <w:r w:rsidR="007A7F12">
        <w:rPr>
          <w:rFonts w:eastAsia="Times New Roman"/>
        </w:rPr>
        <w:t>earl</w:t>
      </w:r>
      <w:r w:rsidR="005633E6">
        <w:rPr>
          <w:rFonts w:eastAsia="Times New Roman"/>
        </w:rPr>
        <w:t xml:space="preserve">iest </w:t>
      </w:r>
      <w:r w:rsidR="007A7F12">
        <w:rPr>
          <w:rFonts w:eastAsia="Times New Roman"/>
        </w:rPr>
        <w:t>stage</w:t>
      </w:r>
      <w:r w:rsidR="005633E6">
        <w:rPr>
          <w:rFonts w:eastAsia="Times New Roman"/>
        </w:rPr>
        <w:t xml:space="preserve"> </w:t>
      </w:r>
      <w:r w:rsidR="0084668D">
        <w:rPr>
          <w:rFonts w:eastAsia="Times New Roman"/>
        </w:rPr>
        <w:t>(no responsive pleading</w:t>
      </w:r>
      <w:r w:rsidR="005633E6">
        <w:rPr>
          <w:rFonts w:eastAsia="Times New Roman"/>
        </w:rPr>
        <w:t xml:space="preserve"> has been filed</w:t>
      </w:r>
      <w:r w:rsidR="0084668D">
        <w:rPr>
          <w:rFonts w:eastAsia="Times New Roman"/>
        </w:rPr>
        <w:t>)</w:t>
      </w:r>
      <w:r w:rsidR="00C77A7A">
        <w:rPr>
          <w:rFonts w:eastAsia="Times New Roman"/>
        </w:rPr>
        <w:t xml:space="preserve">, </w:t>
      </w:r>
      <w:r w:rsidR="001A4825">
        <w:rPr>
          <w:rFonts w:eastAsia="Times New Roman"/>
        </w:rPr>
        <w:t>the United States</w:t>
      </w:r>
      <w:r w:rsidR="00545DD1">
        <w:rPr>
          <w:rFonts w:eastAsia="Times New Roman"/>
        </w:rPr>
        <w:t>’ intervention</w:t>
      </w:r>
      <w:r w:rsidR="001A4825">
        <w:rPr>
          <w:rFonts w:eastAsia="Times New Roman"/>
        </w:rPr>
        <w:t xml:space="preserve"> </w:t>
      </w:r>
      <w:r w:rsidR="001D3F7B">
        <w:rPr>
          <w:rFonts w:eastAsia="Times New Roman"/>
        </w:rPr>
        <w:t>will not delay or prejudice</w:t>
      </w:r>
      <w:r w:rsidR="00C77A7A">
        <w:rPr>
          <w:rFonts w:eastAsia="Times New Roman"/>
        </w:rPr>
        <w:t xml:space="preserve"> </w:t>
      </w:r>
      <w:r w:rsidR="007A0C64">
        <w:rPr>
          <w:rFonts w:eastAsia="Times New Roman"/>
        </w:rPr>
        <w:t xml:space="preserve">the </w:t>
      </w:r>
      <w:r w:rsidR="00C77A7A">
        <w:rPr>
          <w:rFonts w:eastAsia="Times New Roman"/>
        </w:rPr>
        <w:t>adjudication of any party</w:t>
      </w:r>
      <w:r w:rsidR="00A872C8">
        <w:rPr>
          <w:rFonts w:eastAsia="Times New Roman"/>
        </w:rPr>
        <w:t>’s rights</w:t>
      </w:r>
      <w:r w:rsidR="00C77A7A">
        <w:rPr>
          <w:rFonts w:eastAsia="Times New Roman"/>
        </w:rPr>
        <w:t>.</w:t>
      </w:r>
    </w:p>
    <w:p w:rsidR="00C77A7A" w:rsidRPr="00D66D12" w:rsidRDefault="005E25F5" w:rsidP="00773095">
      <w:pPr>
        <w:pStyle w:val="Heading1"/>
      </w:pPr>
      <w:r>
        <w:br w:type="column"/>
      </w:r>
      <w:r w:rsidR="00C77A7A" w:rsidRPr="00D66D12">
        <w:lastRenderedPageBreak/>
        <w:t>CONCLUSION</w:t>
      </w:r>
    </w:p>
    <w:p w:rsidR="00C979FD" w:rsidRDefault="00C77A7A" w:rsidP="00E840F7">
      <w:pPr>
        <w:spacing w:line="480" w:lineRule="auto"/>
        <w:ind w:firstLine="720"/>
      </w:pPr>
      <w:r>
        <w:t xml:space="preserve">For the foregoing reasons, the United States respectfully requests that the Court grant </w:t>
      </w:r>
      <w:r w:rsidR="008D6061">
        <w:t xml:space="preserve">the United States’ </w:t>
      </w:r>
      <w:r>
        <w:t xml:space="preserve">Motion </w:t>
      </w:r>
      <w:r w:rsidR="00D511C1">
        <w:t>to Intervene</w:t>
      </w:r>
      <w:r>
        <w:t>.</w:t>
      </w:r>
    </w:p>
    <w:tbl>
      <w:tblPr>
        <w:tblW w:w="0" w:type="auto"/>
        <w:tblLook w:val="04A0"/>
      </w:tblPr>
      <w:tblGrid>
        <w:gridCol w:w="4788"/>
        <w:gridCol w:w="4788"/>
      </w:tblGrid>
      <w:tr w:rsidR="006B4A88" w:rsidRPr="007C2F5D" w:rsidTr="006B4A88">
        <w:tc>
          <w:tcPr>
            <w:tcW w:w="4788" w:type="dxa"/>
          </w:tcPr>
          <w:p w:rsidR="006B4A88" w:rsidRPr="006B4A88" w:rsidRDefault="00C979FD" w:rsidP="00310555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6B4A88" w:rsidRPr="006B4A88">
              <w:rPr>
                <w:rFonts w:eastAsia="Times New Roman"/>
              </w:rPr>
              <w:t>Dated</w:t>
            </w:r>
            <w:r w:rsidR="006B4A88">
              <w:rPr>
                <w:rFonts w:eastAsia="Times New Roman"/>
              </w:rPr>
              <w:t xml:space="preserve">: </w:t>
            </w:r>
            <w:r w:rsidR="006B4A88" w:rsidRPr="006B4A88">
              <w:rPr>
                <w:rFonts w:eastAsia="Times New Roman"/>
              </w:rPr>
              <w:t xml:space="preserve"> </w:t>
            </w:r>
            <w:r w:rsidR="005357F8">
              <w:rPr>
                <w:rFonts w:eastAsia="Times New Roman"/>
              </w:rPr>
              <w:t>May 12</w:t>
            </w:r>
            <w:r w:rsidR="005357F8" w:rsidRPr="006B4A88">
              <w:rPr>
                <w:rFonts w:eastAsia="Times New Roman"/>
              </w:rPr>
              <w:t xml:space="preserve">, </w:t>
            </w:r>
            <w:r w:rsidR="006B4A88" w:rsidRPr="006B4A88">
              <w:rPr>
                <w:rFonts w:eastAsia="Times New Roman"/>
              </w:rPr>
              <w:t>2015</w:t>
            </w:r>
          </w:p>
          <w:p w:rsidR="006B4A88" w:rsidRPr="006B4A88" w:rsidRDefault="006B4A88" w:rsidP="00310555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  <w:p w:rsidR="00E840F7" w:rsidRDefault="00E840F7" w:rsidP="00310555">
            <w:pPr>
              <w:tabs>
                <w:tab w:val="center" w:pos="4680"/>
                <w:tab w:val="right" w:pos="9360"/>
              </w:tabs>
            </w:pPr>
          </w:p>
          <w:p w:rsidR="00E840F7" w:rsidRDefault="00E840F7" w:rsidP="00310555">
            <w:pPr>
              <w:tabs>
                <w:tab w:val="center" w:pos="4680"/>
                <w:tab w:val="right" w:pos="9360"/>
              </w:tabs>
            </w:pP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CARTER M. STEWART</w:t>
            </w: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United States Attorney</w:t>
            </w:r>
          </w:p>
          <w:p w:rsidR="006B4A88" w:rsidRDefault="006B4A88" w:rsidP="00310555">
            <w:pPr>
              <w:tabs>
                <w:tab w:val="center" w:pos="4680"/>
                <w:tab w:val="right" w:pos="9360"/>
              </w:tabs>
            </w:pPr>
            <w:r>
              <w:t>Southern District of Ohio</w:t>
            </w:r>
          </w:p>
          <w:p w:rsidR="006B4A88" w:rsidRDefault="004F378D" w:rsidP="00310555">
            <w:pPr>
              <w:tabs>
                <w:tab w:val="center" w:pos="4680"/>
                <w:tab w:val="right" w:pos="9360"/>
              </w:tabs>
            </w:pPr>
            <w:r>
              <w:t>MATTHEW J. HORWITZ</w:t>
            </w:r>
          </w:p>
          <w:p w:rsidR="004F378D" w:rsidRDefault="004F378D" w:rsidP="00310555">
            <w:pPr>
              <w:tabs>
                <w:tab w:val="center" w:pos="4680"/>
                <w:tab w:val="right" w:pos="9360"/>
              </w:tabs>
            </w:pPr>
            <w:r>
              <w:t>Assistant United States Attorney</w:t>
            </w:r>
          </w:p>
          <w:p w:rsidR="007430D0" w:rsidRDefault="007430D0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</w:p>
        </w:tc>
        <w:tc>
          <w:tcPr>
            <w:tcW w:w="4788" w:type="dxa"/>
          </w:tcPr>
          <w:p w:rsidR="00E840F7" w:rsidRDefault="00E840F7" w:rsidP="0031055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E840F7" w:rsidRDefault="00E840F7" w:rsidP="0031055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B4A88" w:rsidRDefault="006B4A88" w:rsidP="0031055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B4A88">
              <w:rPr>
                <w:rFonts w:eastAsia="Times New Roman"/>
              </w:rPr>
              <w:t>Respectfully submitted,</w:t>
            </w:r>
          </w:p>
          <w:p w:rsidR="006B4A88" w:rsidRPr="006B4A88" w:rsidRDefault="006B4A88" w:rsidP="0031055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VANITA GUPTA</w:t>
            </w:r>
            <w:r w:rsidRPr="007C2F5D">
              <w:br/>
            </w:r>
            <w:r>
              <w:t>Principal Deputy</w:t>
            </w:r>
            <w:r w:rsidRPr="007C2F5D">
              <w:t xml:space="preserve"> Assistant Attorney General</w:t>
            </w:r>
            <w:r w:rsidRPr="007C2F5D">
              <w:br/>
              <w:t>EVE L. HILL</w:t>
            </w:r>
            <w:r w:rsidRPr="007C2F5D">
              <w:br/>
              <w:t>Deputy Assistant Attorney General</w:t>
            </w:r>
            <w:r w:rsidRPr="007C2F5D">
              <w:br/>
              <w:t>Civil Rights Division</w:t>
            </w: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REBECCA B. BOND</w:t>
            </w: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Chief</w:t>
            </w:r>
            <w:r w:rsidRPr="007C2F5D">
              <w:br/>
              <w:t>KATHLEEN P. WOLFE</w:t>
            </w:r>
            <w:r w:rsidRPr="007C2F5D">
              <w:br/>
              <w:t>Special Litigation Counsel</w:t>
            </w:r>
            <w:r w:rsidRPr="007C2F5D">
              <w:br/>
              <w:t>KEVIN J. KIJEWSKI</w:t>
            </w: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  <w:r w:rsidRPr="007C2F5D">
              <w:t>Deputy Chief</w:t>
            </w:r>
            <w:r w:rsidRPr="007C2F5D">
              <w:br/>
              <w:t>Disability Rights Section</w:t>
            </w:r>
            <w:r w:rsidRPr="007C2F5D">
              <w:br/>
            </w:r>
          </w:p>
          <w:p w:rsidR="006B4A88" w:rsidRDefault="005660B6" w:rsidP="00310555">
            <w:pPr>
              <w:tabs>
                <w:tab w:val="center" w:pos="4680"/>
                <w:tab w:val="right" w:pos="9360"/>
              </w:tabs>
            </w:pPr>
            <w:r w:rsidRPr="005660B6">
              <w:rPr>
                <w:u w:val="single"/>
              </w:rPr>
              <w:t>s/William F. Lynch</w:t>
            </w:r>
            <w:r w:rsidR="006B4A88" w:rsidRPr="007C2F5D">
              <w:br/>
              <w:t>WILLIAM F. LYNCH</w:t>
            </w:r>
          </w:p>
          <w:p w:rsidR="00FE5D58" w:rsidRPr="007C2F5D" w:rsidRDefault="00FE5D58" w:rsidP="00310555">
            <w:pPr>
              <w:tabs>
                <w:tab w:val="center" w:pos="4680"/>
                <w:tab w:val="right" w:pos="9360"/>
              </w:tabs>
            </w:pPr>
            <w:r>
              <w:t>Trial Attorney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PEARLINE M. HONG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Trial Attorney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Disability Rights Section (NYA)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U.S. Department of Justice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950 Pennsylvania Ave., N.W. – NYA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 xml:space="preserve">Washington, DC </w:t>
            </w:r>
            <w:r w:rsidR="00695E9E">
              <w:t xml:space="preserve"> </w:t>
            </w:r>
            <w:r w:rsidRPr="007C2F5D">
              <w:t>20530</w:t>
            </w:r>
          </w:p>
          <w:p w:rsidR="006B4A88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>(202) 305-2008 (Lynch)</w:t>
            </w:r>
          </w:p>
          <w:p w:rsidR="00520330" w:rsidRPr="007C2F5D" w:rsidRDefault="00520330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>
              <w:t>(202) 616-2927 (Hong)</w:t>
            </w:r>
          </w:p>
          <w:p w:rsidR="006B4A88" w:rsidRPr="007C2F5D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r w:rsidRPr="007C2F5D">
              <w:t xml:space="preserve">(202) </w:t>
            </w:r>
            <w:r w:rsidR="009A01FD">
              <w:t>305-4486</w:t>
            </w:r>
            <w:r w:rsidR="00520330">
              <w:t xml:space="preserve"> (Fax)</w:t>
            </w:r>
          </w:p>
          <w:p w:rsidR="006B4A88" w:rsidRDefault="00EF145A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</w:pPr>
            <w:hyperlink r:id="rId9" w:history="1">
              <w:r w:rsidR="006B4A88" w:rsidRPr="006B4A88">
                <w:rPr>
                  <w:color w:val="0000FF"/>
                  <w:u w:val="single"/>
                </w:rPr>
                <w:t>William.Lynch@usdoj.gov</w:t>
              </w:r>
            </w:hyperlink>
          </w:p>
          <w:p w:rsidR="00520330" w:rsidRPr="006B4A88" w:rsidRDefault="00EF145A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  <w:rPr>
                <w:rFonts w:eastAsia="Times New Roman"/>
              </w:rPr>
            </w:pPr>
            <w:hyperlink r:id="rId10" w:history="1">
              <w:r w:rsidR="00520330" w:rsidRPr="00E5049B">
                <w:rPr>
                  <w:rStyle w:val="Hyperlink"/>
                </w:rPr>
                <w:t>Pearline.Hong@usdoj.gov</w:t>
              </w:r>
            </w:hyperlink>
          </w:p>
          <w:p w:rsidR="006B4A88" w:rsidRPr="006B4A88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left="1440" w:hanging="1440"/>
              <w:rPr>
                <w:rFonts w:eastAsia="Times New Roman"/>
              </w:rPr>
            </w:pPr>
          </w:p>
          <w:p w:rsidR="006B4A88" w:rsidRPr="006B4A88" w:rsidRDefault="006B4A88" w:rsidP="00310555">
            <w:pPr>
              <w:widowControl w:val="0"/>
              <w:tabs>
                <w:tab w:val="left" w:pos="-1440"/>
                <w:tab w:val="center" w:pos="4680"/>
                <w:tab w:val="right" w:pos="9360"/>
              </w:tabs>
              <w:autoSpaceDE w:val="0"/>
              <w:autoSpaceDN w:val="0"/>
              <w:adjustRightInd w:val="0"/>
              <w:ind w:hanging="18"/>
              <w:rPr>
                <w:rFonts w:eastAsia="Times New Roman"/>
              </w:rPr>
            </w:pPr>
            <w:r w:rsidRPr="006B4A88">
              <w:rPr>
                <w:rFonts w:eastAsia="Times New Roman"/>
                <w:i/>
              </w:rPr>
              <w:t xml:space="preserve">Counsel for </w:t>
            </w:r>
            <w:r w:rsidR="00EF14BF">
              <w:rPr>
                <w:rFonts w:eastAsia="Times New Roman"/>
                <w:i/>
              </w:rPr>
              <w:t xml:space="preserve">Plaintiff-Intervenor United States </w:t>
            </w:r>
            <w:r w:rsidRPr="006B4A88">
              <w:rPr>
                <w:rFonts w:eastAsia="Times New Roman"/>
                <w:i/>
              </w:rPr>
              <w:t>of America</w:t>
            </w:r>
          </w:p>
          <w:p w:rsidR="006B4A88" w:rsidRPr="007C2F5D" w:rsidRDefault="006B4A88" w:rsidP="00310555">
            <w:pPr>
              <w:tabs>
                <w:tab w:val="center" w:pos="4680"/>
                <w:tab w:val="right" w:pos="9360"/>
              </w:tabs>
            </w:pPr>
          </w:p>
        </w:tc>
      </w:tr>
    </w:tbl>
    <w:p w:rsidR="00163CC5" w:rsidRDefault="00C979FD" w:rsidP="00773095">
      <w:pPr>
        <w:pStyle w:val="Title"/>
      </w:pPr>
      <w:r>
        <w:br w:type="page"/>
      </w:r>
      <w:r w:rsidR="00163CC5">
        <w:lastRenderedPageBreak/>
        <w:t>CERTIFICATE OF CONSULTATION</w:t>
      </w:r>
    </w:p>
    <w:p w:rsidR="00773095" w:rsidRPr="00773095" w:rsidRDefault="00773095" w:rsidP="00773095"/>
    <w:p w:rsidR="00163CC5" w:rsidRDefault="00163CC5" w:rsidP="00163CC5">
      <w:pPr>
        <w:spacing w:line="480" w:lineRule="auto"/>
      </w:pPr>
      <w:r>
        <w:tab/>
        <w:t xml:space="preserve">In consideration of S.D. Ohio Civ. R. 7.3(b), I, William F. Lynch, certify that I conferred with and sought the consent of counsel for all parties to the filing of this Motion </w:t>
      </w:r>
      <w:r w:rsidR="00D511C1">
        <w:t>to Intervene</w:t>
      </w:r>
      <w:r>
        <w:t xml:space="preserve">.  Counsel for plaintiff </w:t>
      </w:r>
      <w:proofErr w:type="spellStart"/>
      <w:r>
        <w:t>Aleeha</w:t>
      </w:r>
      <w:proofErr w:type="spellEnd"/>
      <w:r>
        <w:t xml:space="preserve"> Dudley </w:t>
      </w:r>
      <w:r w:rsidR="007B40A5">
        <w:t>have</w:t>
      </w:r>
      <w:r>
        <w:t xml:space="preserve"> represented that they consent</w:t>
      </w:r>
      <w:r w:rsidR="007B40A5">
        <w:t>, and c</w:t>
      </w:r>
      <w:r>
        <w:t xml:space="preserve">ounsel for defendants </w:t>
      </w:r>
      <w:r w:rsidR="00C77EC0">
        <w:t xml:space="preserve">Miami </w:t>
      </w:r>
      <w:r>
        <w:t xml:space="preserve">University and Dr. David C. Hodge </w:t>
      </w:r>
      <w:r w:rsidR="007B40A5">
        <w:t xml:space="preserve">have </w:t>
      </w:r>
      <w:r>
        <w:t xml:space="preserve">represented that they </w:t>
      </w:r>
      <w:r w:rsidR="007B40A5">
        <w:t>do not consent</w:t>
      </w:r>
      <w:r>
        <w:t>.</w:t>
      </w:r>
    </w:p>
    <w:p w:rsidR="00163CC5" w:rsidRDefault="00163CC5" w:rsidP="00163CC5">
      <w:pPr>
        <w:ind w:left="5760"/>
      </w:pPr>
    </w:p>
    <w:p w:rsidR="00163CC5" w:rsidRPr="005357F8" w:rsidRDefault="005357F8" w:rsidP="00163CC5">
      <w:pPr>
        <w:ind w:left="5760"/>
        <w:rPr>
          <w:u w:val="single"/>
        </w:rPr>
      </w:pPr>
      <w:proofErr w:type="gramStart"/>
      <w:r w:rsidRPr="005357F8">
        <w:rPr>
          <w:u w:val="single"/>
        </w:rPr>
        <w:t>s</w:t>
      </w:r>
      <w:proofErr w:type="gramEnd"/>
      <w:r w:rsidRPr="005357F8">
        <w:rPr>
          <w:u w:val="single"/>
        </w:rPr>
        <w:t>/ William F. Lynch</w:t>
      </w:r>
    </w:p>
    <w:p w:rsidR="00163CC5" w:rsidRDefault="00163CC5" w:rsidP="00163CC5">
      <w:pPr>
        <w:ind w:left="5760"/>
      </w:pPr>
      <w:r>
        <w:t>William F. Lynch</w:t>
      </w:r>
    </w:p>
    <w:p w:rsidR="00163CC5" w:rsidRDefault="00163CC5" w:rsidP="00163CC5">
      <w:pPr>
        <w:ind w:left="5760"/>
      </w:pPr>
      <w:r>
        <w:t>Trial Attorney</w:t>
      </w:r>
    </w:p>
    <w:p w:rsidR="00163CC5" w:rsidRDefault="00163CC5" w:rsidP="00163CC5"/>
    <w:p w:rsidR="00163CC5" w:rsidRDefault="00163CC5" w:rsidP="00773095">
      <w:r w:rsidRPr="009E388F">
        <w:t xml:space="preserve">Dated: </w:t>
      </w:r>
      <w:r w:rsidR="005357F8">
        <w:t xml:space="preserve"> May 12, 2015</w:t>
      </w:r>
    </w:p>
    <w:p w:rsidR="00163CC5" w:rsidRDefault="00163CC5" w:rsidP="00773095">
      <w:pPr>
        <w:pStyle w:val="Title"/>
      </w:pPr>
      <w:r>
        <w:br w:type="page"/>
      </w:r>
      <w:r w:rsidRPr="0034762A">
        <w:lastRenderedPageBreak/>
        <w:t>CERTIFICATE OF SERVICE</w:t>
      </w:r>
    </w:p>
    <w:p w:rsidR="00773095" w:rsidRPr="00773095" w:rsidRDefault="00773095" w:rsidP="00773095"/>
    <w:p w:rsidR="00163CC5" w:rsidRDefault="00163CC5" w:rsidP="00163CC5">
      <w:pPr>
        <w:spacing w:line="480" w:lineRule="auto"/>
        <w:ind w:firstLine="720"/>
      </w:pPr>
      <w:r>
        <w:t xml:space="preserve">I, William F. Lynch, certify pursuant to L.R. 5.2 that I filed the foregoing </w:t>
      </w:r>
      <w:r w:rsidR="00E563AB">
        <w:t>Motion and Memorandum of Law</w:t>
      </w:r>
      <w:r>
        <w:t xml:space="preserve"> </w:t>
      </w:r>
      <w:r w:rsidR="00E563AB">
        <w:t xml:space="preserve">and accompanying proposed Complaint in Intervention and proposed order </w:t>
      </w:r>
      <w:r>
        <w:t xml:space="preserve">with the Electronic Case Filing system established by the U.S. District Court for the Southern District of Ohio, and </w:t>
      </w:r>
      <w:r w:rsidR="00E563AB">
        <w:t>by</w:t>
      </w:r>
      <w:r>
        <w:t xml:space="preserve"> filing </w:t>
      </w:r>
      <w:r w:rsidR="00E563AB">
        <w:t>these documents with</w:t>
      </w:r>
      <w:r w:rsidR="007B40A5">
        <w:t xml:space="preserve"> </w:t>
      </w:r>
      <w:r>
        <w:t>the CM-ECF system</w:t>
      </w:r>
      <w:r w:rsidR="007B40A5">
        <w:t>,</w:t>
      </w:r>
      <w:r>
        <w:t xml:space="preserve"> provided notice of filing to all counsel of r</w:t>
      </w:r>
      <w:r w:rsidR="00BB2FE0">
        <w:t>ecord listed below:</w:t>
      </w:r>
    </w:p>
    <w:p w:rsidR="00BB2FE0" w:rsidRDefault="00BB2FE0" w:rsidP="00BB2FE0">
      <w:pPr>
        <w:pStyle w:val="NoSpacing"/>
        <w:jc w:val="center"/>
      </w:pPr>
      <w:r>
        <w:t>Daniel F. Goldstein, Esq.</w:t>
      </w:r>
    </w:p>
    <w:p w:rsidR="00BB2FE0" w:rsidRDefault="00BB2FE0" w:rsidP="00BB2FE0">
      <w:pPr>
        <w:pStyle w:val="NoSpacing"/>
        <w:jc w:val="center"/>
      </w:pPr>
      <w:r>
        <w:t>Sharon Krevor-Weisbaum, Esq.</w:t>
      </w:r>
    </w:p>
    <w:p w:rsidR="00BB2FE0" w:rsidRDefault="00BB2FE0" w:rsidP="00BB2FE0">
      <w:pPr>
        <w:pStyle w:val="NoSpacing"/>
        <w:jc w:val="center"/>
      </w:pPr>
      <w:r>
        <w:t>Emily L. Levenson, Esq.</w:t>
      </w:r>
    </w:p>
    <w:p w:rsidR="00BB2FE0" w:rsidRDefault="00BB2FE0" w:rsidP="00BB2FE0">
      <w:pPr>
        <w:pStyle w:val="NoSpacing"/>
        <w:jc w:val="center"/>
      </w:pPr>
      <w:r>
        <w:t>Brett David Watson, Esq.</w:t>
      </w:r>
    </w:p>
    <w:p w:rsidR="00BB2FE0" w:rsidRDefault="00BB2FE0" w:rsidP="00BB2FE0">
      <w:pPr>
        <w:pStyle w:val="NoSpacing"/>
        <w:jc w:val="center"/>
      </w:pPr>
      <w:r>
        <w:t>Brown Goldstein &amp; Levy, LLP</w:t>
      </w:r>
    </w:p>
    <w:p w:rsidR="00BB2FE0" w:rsidRDefault="00BB2FE0" w:rsidP="00BB2FE0">
      <w:pPr>
        <w:pStyle w:val="NoSpacing"/>
        <w:jc w:val="center"/>
      </w:pPr>
      <w:r>
        <w:t>120 E. Baltimore Street, Suite 1700</w:t>
      </w:r>
    </w:p>
    <w:p w:rsidR="00BB2FE0" w:rsidRDefault="00BB2FE0" w:rsidP="00BB2FE0">
      <w:pPr>
        <w:pStyle w:val="NoSpacing"/>
        <w:jc w:val="center"/>
      </w:pPr>
      <w:r>
        <w:t>Baltimore, MD 21202</w:t>
      </w:r>
    </w:p>
    <w:p w:rsidR="00BB2FE0" w:rsidRDefault="00BB2FE0" w:rsidP="00BB2FE0">
      <w:pPr>
        <w:pStyle w:val="NoSpacing"/>
        <w:jc w:val="center"/>
      </w:pPr>
    </w:p>
    <w:p w:rsidR="00BB2FE0" w:rsidRDefault="00BB2FE0" w:rsidP="00BB2FE0">
      <w:pPr>
        <w:pStyle w:val="NoSpacing"/>
        <w:jc w:val="center"/>
      </w:pPr>
      <w:r>
        <w:t>Kerstin Sjoberg-Witt, Esq.</w:t>
      </w:r>
    </w:p>
    <w:p w:rsidR="00BB2FE0" w:rsidRDefault="00BB2FE0" w:rsidP="00BB2FE0">
      <w:pPr>
        <w:pStyle w:val="NoSpacing"/>
        <w:jc w:val="center"/>
      </w:pPr>
      <w:r>
        <w:t>Laura A. Osseck, Esq.</w:t>
      </w:r>
    </w:p>
    <w:p w:rsidR="00BB2FE0" w:rsidRDefault="00BB2FE0" w:rsidP="00BB2FE0">
      <w:pPr>
        <w:pStyle w:val="NoSpacing"/>
        <w:jc w:val="center"/>
      </w:pPr>
      <w:r>
        <w:t>Disability Rights Ohio</w:t>
      </w:r>
    </w:p>
    <w:p w:rsidR="00BB2FE0" w:rsidRDefault="00BB2FE0" w:rsidP="00BB2FE0">
      <w:pPr>
        <w:pStyle w:val="NoSpacing"/>
        <w:jc w:val="center"/>
      </w:pPr>
      <w:r>
        <w:t>50 W. Broad Street, Suite 1400</w:t>
      </w:r>
    </w:p>
    <w:p w:rsidR="00BB2FE0" w:rsidRDefault="00BB2FE0" w:rsidP="00BB2FE0">
      <w:pPr>
        <w:pStyle w:val="NoSpacing"/>
        <w:jc w:val="center"/>
      </w:pPr>
      <w:r>
        <w:t>Columbus, OH 43215</w:t>
      </w:r>
    </w:p>
    <w:p w:rsidR="00BB2FE0" w:rsidRDefault="00BB2FE0" w:rsidP="00BB2FE0">
      <w:pPr>
        <w:pStyle w:val="NoSpacing"/>
        <w:jc w:val="center"/>
      </w:pPr>
    </w:p>
    <w:p w:rsidR="00BB2FE0" w:rsidRDefault="00BB2FE0" w:rsidP="00BB2FE0">
      <w:pPr>
        <w:pStyle w:val="NoSpacing"/>
        <w:jc w:val="center"/>
      </w:pPr>
      <w:r>
        <w:t xml:space="preserve">Elizabeth </w:t>
      </w:r>
      <w:proofErr w:type="spellStart"/>
      <w:r>
        <w:t>Thym</w:t>
      </w:r>
      <w:proofErr w:type="spellEnd"/>
      <w:r>
        <w:t xml:space="preserve"> Smith, Esq.</w:t>
      </w:r>
    </w:p>
    <w:p w:rsidR="00BB2FE0" w:rsidRDefault="00BB2FE0" w:rsidP="00BB2FE0">
      <w:pPr>
        <w:pStyle w:val="NoSpacing"/>
        <w:jc w:val="center"/>
      </w:pPr>
      <w:r>
        <w:t>Alycia N. Broz, Esq.</w:t>
      </w:r>
    </w:p>
    <w:p w:rsidR="00BB2FE0" w:rsidRDefault="00BB2FE0" w:rsidP="00BB2FE0">
      <w:pPr>
        <w:pStyle w:val="NoSpacing"/>
        <w:jc w:val="center"/>
      </w:pPr>
      <w:proofErr w:type="spellStart"/>
      <w:r>
        <w:t>Vorys</w:t>
      </w:r>
      <w:proofErr w:type="spellEnd"/>
      <w:r>
        <w:t xml:space="preserve">, </w:t>
      </w:r>
      <w:proofErr w:type="spellStart"/>
      <w:r>
        <w:t>Sater</w:t>
      </w:r>
      <w:proofErr w:type="spellEnd"/>
      <w:r>
        <w:t>, Seymour and Pease LLP</w:t>
      </w:r>
    </w:p>
    <w:p w:rsidR="00BB2FE0" w:rsidRDefault="00BB2FE0" w:rsidP="00BB2FE0">
      <w:pPr>
        <w:pStyle w:val="NoSpacing"/>
        <w:jc w:val="center"/>
      </w:pPr>
      <w:r>
        <w:t>52 East Gray Street</w:t>
      </w:r>
    </w:p>
    <w:p w:rsidR="00BB2FE0" w:rsidRDefault="00BB2FE0" w:rsidP="00BB2FE0">
      <w:pPr>
        <w:pStyle w:val="NoSpacing"/>
        <w:jc w:val="center"/>
      </w:pPr>
      <w:r>
        <w:t>P.O. Box 1008</w:t>
      </w:r>
    </w:p>
    <w:p w:rsidR="00BB2FE0" w:rsidRDefault="00BB2FE0" w:rsidP="00BB2FE0">
      <w:pPr>
        <w:pStyle w:val="NoSpacing"/>
        <w:jc w:val="center"/>
      </w:pPr>
      <w:r>
        <w:t>Columbus, OH 43216</w:t>
      </w:r>
    </w:p>
    <w:p w:rsidR="00BB2FE0" w:rsidRDefault="00BB2FE0" w:rsidP="00BB2FE0">
      <w:pPr>
        <w:pStyle w:val="NoSpacing"/>
        <w:jc w:val="center"/>
      </w:pPr>
    </w:p>
    <w:p w:rsidR="00BB2FE0" w:rsidRDefault="00BB2FE0" w:rsidP="00BB2FE0">
      <w:pPr>
        <w:pStyle w:val="NoSpacing"/>
        <w:jc w:val="center"/>
      </w:pPr>
      <w:r>
        <w:t>Daniel Jerome Buckley, Esq.</w:t>
      </w:r>
    </w:p>
    <w:p w:rsidR="00BB2FE0" w:rsidRDefault="00BB2FE0" w:rsidP="00BB2FE0">
      <w:pPr>
        <w:pStyle w:val="NoSpacing"/>
        <w:jc w:val="center"/>
      </w:pPr>
      <w:r>
        <w:t>Angela Jo Gibson, Esq.</w:t>
      </w:r>
    </w:p>
    <w:p w:rsidR="00BB2FE0" w:rsidRDefault="00BB2FE0" w:rsidP="00BB2FE0">
      <w:pPr>
        <w:pStyle w:val="NoSpacing"/>
        <w:jc w:val="center"/>
      </w:pPr>
      <w:proofErr w:type="spellStart"/>
      <w:r>
        <w:t>Vorys</w:t>
      </w:r>
      <w:proofErr w:type="spellEnd"/>
      <w:r>
        <w:t xml:space="preserve">, </w:t>
      </w:r>
      <w:proofErr w:type="spellStart"/>
      <w:r>
        <w:t>Sater</w:t>
      </w:r>
      <w:proofErr w:type="spellEnd"/>
      <w:r>
        <w:t>, Seymour and Pease LLP</w:t>
      </w:r>
    </w:p>
    <w:p w:rsidR="00BB2FE0" w:rsidRDefault="00BB2FE0" w:rsidP="00BB2FE0">
      <w:pPr>
        <w:pStyle w:val="NoSpacing"/>
        <w:jc w:val="center"/>
      </w:pPr>
      <w:r>
        <w:t>301 E. 4</w:t>
      </w:r>
      <w:r w:rsidRPr="00BB2FE0">
        <w:rPr>
          <w:vertAlign w:val="superscript"/>
        </w:rPr>
        <w:t>th</w:t>
      </w:r>
      <w:r>
        <w:t xml:space="preserve"> Street, Suite 3500</w:t>
      </w:r>
    </w:p>
    <w:p w:rsidR="00BB2FE0" w:rsidRDefault="00BB2FE0" w:rsidP="00BB2FE0">
      <w:pPr>
        <w:pStyle w:val="NoSpacing"/>
        <w:jc w:val="center"/>
      </w:pPr>
      <w:r>
        <w:t>Great American Tower</w:t>
      </w:r>
    </w:p>
    <w:p w:rsidR="00BB2FE0" w:rsidRDefault="00BB2FE0" w:rsidP="00BB2FE0">
      <w:pPr>
        <w:pStyle w:val="NoSpacing"/>
        <w:jc w:val="center"/>
      </w:pPr>
      <w:r>
        <w:t>Cincinnati, OH 45202</w:t>
      </w:r>
    </w:p>
    <w:p w:rsidR="00163CC5" w:rsidRDefault="00163CC5" w:rsidP="00163CC5">
      <w:pPr>
        <w:ind w:left="5760"/>
      </w:pPr>
    </w:p>
    <w:p w:rsidR="005357F8" w:rsidRPr="005357F8" w:rsidRDefault="005357F8" w:rsidP="005357F8">
      <w:pPr>
        <w:ind w:left="5760"/>
        <w:rPr>
          <w:u w:val="single"/>
        </w:rPr>
      </w:pPr>
      <w:proofErr w:type="gramStart"/>
      <w:r w:rsidRPr="005357F8">
        <w:rPr>
          <w:u w:val="single"/>
        </w:rPr>
        <w:t>s</w:t>
      </w:r>
      <w:proofErr w:type="gramEnd"/>
      <w:r w:rsidRPr="005357F8">
        <w:rPr>
          <w:u w:val="single"/>
        </w:rPr>
        <w:t>/ William F. Lynch</w:t>
      </w:r>
    </w:p>
    <w:p w:rsidR="00163CC5" w:rsidRDefault="00163CC5" w:rsidP="00163CC5">
      <w:pPr>
        <w:ind w:left="5760"/>
      </w:pPr>
      <w:r>
        <w:t>William F. Lynch</w:t>
      </w:r>
    </w:p>
    <w:p w:rsidR="00163CC5" w:rsidRDefault="00163CC5" w:rsidP="00163CC5">
      <w:pPr>
        <w:ind w:left="5760"/>
      </w:pPr>
      <w:r>
        <w:t>Trial Attorney</w:t>
      </w:r>
    </w:p>
    <w:p w:rsidR="00163CC5" w:rsidRDefault="00163CC5" w:rsidP="00163CC5"/>
    <w:p w:rsidR="00163CC5" w:rsidRDefault="00163CC5" w:rsidP="00163CC5">
      <w:r>
        <w:t xml:space="preserve">Dated: </w:t>
      </w:r>
      <w:r w:rsidR="005357F8">
        <w:t xml:space="preserve"> May 12, 2015</w:t>
      </w:r>
    </w:p>
    <w:p w:rsidR="0034762A" w:rsidRDefault="0034762A" w:rsidP="00921A32">
      <w:pPr>
        <w:pStyle w:val="Heading1"/>
      </w:pPr>
    </w:p>
    <w:sectPr w:rsidR="0034762A" w:rsidSect="00F443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85" w:rsidRDefault="00BB1685" w:rsidP="00015A47">
      <w:r>
        <w:separator/>
      </w:r>
    </w:p>
    <w:p w:rsidR="00BB1685" w:rsidRDefault="00BB1685"/>
  </w:endnote>
  <w:endnote w:type="continuationSeparator" w:id="0">
    <w:p w:rsidR="00BB1685" w:rsidRDefault="00BB1685" w:rsidP="00015A47">
      <w:r>
        <w:continuationSeparator/>
      </w:r>
    </w:p>
    <w:p w:rsidR="00BB1685" w:rsidRDefault="00BB16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85" w:rsidRDefault="00EF145A">
    <w:pPr>
      <w:pStyle w:val="Footer"/>
      <w:jc w:val="center"/>
    </w:pPr>
    <w:fldSimple w:instr=" PAGE   \* MERGEFORMAT ">
      <w:r w:rsidR="00B6582B">
        <w:rPr>
          <w:noProof/>
        </w:rPr>
        <w:t>2</w:t>
      </w:r>
    </w:fldSimple>
  </w:p>
  <w:p w:rsidR="00BB1685" w:rsidRDefault="00BB1685">
    <w:pPr>
      <w:pStyle w:val="Footer"/>
    </w:pPr>
  </w:p>
  <w:p w:rsidR="00BB1685" w:rsidRDefault="00BB16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85" w:rsidRDefault="00EF145A">
    <w:pPr>
      <w:pStyle w:val="Footer"/>
      <w:jc w:val="center"/>
    </w:pPr>
    <w:fldSimple w:instr=" PAGE   \* MERGEFORMAT ">
      <w:r w:rsidR="00B6582B">
        <w:rPr>
          <w:noProof/>
        </w:rPr>
        <w:t>13</w:t>
      </w:r>
    </w:fldSimple>
  </w:p>
  <w:p w:rsidR="00BB1685" w:rsidRDefault="00BB1685">
    <w:pPr>
      <w:pStyle w:val="Footer"/>
    </w:pPr>
  </w:p>
  <w:p w:rsidR="00BB1685" w:rsidRDefault="00BB16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85" w:rsidRDefault="00BB1685" w:rsidP="00015A47">
      <w:r>
        <w:separator/>
      </w:r>
    </w:p>
    <w:p w:rsidR="00BB1685" w:rsidRDefault="00BB1685"/>
  </w:footnote>
  <w:footnote w:type="continuationSeparator" w:id="0">
    <w:p w:rsidR="00BB1685" w:rsidRDefault="00BB1685" w:rsidP="00015A47">
      <w:r>
        <w:continuationSeparator/>
      </w:r>
    </w:p>
    <w:p w:rsidR="00BB1685" w:rsidRDefault="00BB1685"/>
  </w:footnote>
  <w:footnote w:id="1">
    <w:p w:rsidR="00BB1685" w:rsidRPr="00864DA7" w:rsidRDefault="00BB1685" w:rsidP="00163CC5">
      <w:pPr>
        <w:pStyle w:val="FootnoteText"/>
        <w:spacing w:after="240"/>
        <w:ind w:firstLine="720"/>
        <w:rPr>
          <w:sz w:val="24"/>
          <w:szCs w:val="24"/>
        </w:rPr>
      </w:pPr>
      <w:r w:rsidRPr="00864DA7">
        <w:rPr>
          <w:rStyle w:val="FootnoteReference"/>
          <w:sz w:val="24"/>
          <w:szCs w:val="24"/>
        </w:rPr>
        <w:footnoteRef/>
      </w:r>
      <w:r w:rsidRPr="00864DA7">
        <w:rPr>
          <w:sz w:val="24"/>
          <w:szCs w:val="24"/>
        </w:rPr>
        <w:t xml:space="preserve"> On April 22, 2014, Ms. Dudley moved for leave to file an amended and supplemental complaint.  (</w:t>
      </w:r>
      <w:r w:rsidRPr="00864DA7">
        <w:rPr>
          <w:i/>
          <w:sz w:val="24"/>
          <w:szCs w:val="24"/>
        </w:rPr>
        <w:t xml:space="preserve">See </w:t>
      </w:r>
      <w:r w:rsidRPr="00864DA7">
        <w:rPr>
          <w:sz w:val="24"/>
          <w:szCs w:val="24"/>
        </w:rPr>
        <w:t>Mot. for Leave to File an Amended &amp; Supplemental Complaint</w:t>
      </w:r>
      <w:r>
        <w:rPr>
          <w:sz w:val="24"/>
          <w:szCs w:val="24"/>
        </w:rPr>
        <w:t>,</w:t>
      </w:r>
      <w:r w:rsidRPr="00864DA7">
        <w:rPr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Pr="00864DA7">
        <w:rPr>
          <w:sz w:val="24"/>
          <w:szCs w:val="24"/>
        </w:rPr>
        <w:t>.</w:t>
      </w:r>
      <w:r>
        <w:rPr>
          <w:sz w:val="24"/>
          <w:szCs w:val="24"/>
        </w:rPr>
        <w:t xml:space="preserve"> 21 at PageID 174-176.</w:t>
      </w:r>
      <w:r w:rsidRPr="00864DA7">
        <w:rPr>
          <w:sz w:val="24"/>
          <w:szCs w:val="24"/>
        </w:rPr>
        <w:t xml:space="preserve">)  </w:t>
      </w:r>
      <w:r>
        <w:rPr>
          <w:sz w:val="24"/>
          <w:szCs w:val="24"/>
        </w:rPr>
        <w:t>Ms. Dudley</w:t>
      </w:r>
      <w:r w:rsidRPr="00864DA7">
        <w:rPr>
          <w:sz w:val="24"/>
          <w:szCs w:val="24"/>
        </w:rPr>
        <w:t xml:space="preserve"> sought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inter alia</w:t>
      </w:r>
      <w:r>
        <w:rPr>
          <w:sz w:val="24"/>
          <w:szCs w:val="24"/>
        </w:rPr>
        <w:t>,</w:t>
      </w:r>
      <w:r w:rsidRPr="00864DA7">
        <w:rPr>
          <w:sz w:val="24"/>
          <w:szCs w:val="24"/>
        </w:rPr>
        <w:t xml:space="preserve"> to add the </w:t>
      </w:r>
      <w:r>
        <w:rPr>
          <w:sz w:val="24"/>
          <w:szCs w:val="24"/>
        </w:rPr>
        <w:t>National Federation for the Blind (“NFB”)</w:t>
      </w:r>
      <w:r w:rsidRPr="00864DA7">
        <w:rPr>
          <w:sz w:val="24"/>
          <w:szCs w:val="24"/>
        </w:rPr>
        <w:t xml:space="preserve"> as a plaintiff.  (</w:t>
      </w:r>
      <w:r w:rsidRPr="00864DA7">
        <w:rPr>
          <w:i/>
          <w:sz w:val="24"/>
          <w:szCs w:val="24"/>
        </w:rPr>
        <w:t>See id.</w:t>
      </w:r>
      <w:r w:rsidRPr="00864DA7">
        <w:rPr>
          <w:sz w:val="24"/>
          <w:szCs w:val="24"/>
        </w:rPr>
        <w:t xml:space="preserve">)  </w:t>
      </w:r>
      <w:r>
        <w:rPr>
          <w:sz w:val="24"/>
          <w:szCs w:val="24"/>
        </w:rPr>
        <w:t>While this action has been stayed pending settlement discussions, t</w:t>
      </w:r>
      <w:r w:rsidRPr="00864DA7">
        <w:rPr>
          <w:sz w:val="24"/>
          <w:szCs w:val="24"/>
        </w:rPr>
        <w:t>he Court denied Ms. Dudley’s motion without prejudice</w:t>
      </w:r>
      <w:r>
        <w:rPr>
          <w:sz w:val="24"/>
          <w:szCs w:val="24"/>
        </w:rPr>
        <w:t xml:space="preserve"> to refiling</w:t>
      </w:r>
      <w:r w:rsidRPr="00864DA7">
        <w:rPr>
          <w:sz w:val="24"/>
          <w:szCs w:val="24"/>
        </w:rPr>
        <w:t>.  (</w:t>
      </w:r>
      <w:r w:rsidRPr="00864DA7">
        <w:rPr>
          <w:i/>
          <w:sz w:val="24"/>
          <w:szCs w:val="24"/>
        </w:rPr>
        <w:t xml:space="preserve">See </w:t>
      </w:r>
      <w:r>
        <w:rPr>
          <w:sz w:val="24"/>
          <w:szCs w:val="24"/>
        </w:rPr>
        <w:t xml:space="preserve">Order of </w:t>
      </w:r>
      <w:r w:rsidRPr="00864DA7">
        <w:rPr>
          <w:sz w:val="24"/>
          <w:szCs w:val="24"/>
        </w:rPr>
        <w:t>Nov. 19, 2014</w:t>
      </w:r>
      <w:r>
        <w:rPr>
          <w:sz w:val="24"/>
          <w:szCs w:val="24"/>
        </w:rPr>
        <w:t>, Doc. 24 at PageID 216</w:t>
      </w:r>
      <w:r w:rsidRPr="00864DA7">
        <w:rPr>
          <w:sz w:val="24"/>
          <w:szCs w:val="24"/>
        </w:rPr>
        <w:t xml:space="preserve">.)  On </w:t>
      </w:r>
      <w:r>
        <w:rPr>
          <w:sz w:val="24"/>
          <w:szCs w:val="24"/>
        </w:rPr>
        <w:t>March 23, 2015</w:t>
      </w:r>
      <w:r w:rsidRPr="00864DA7">
        <w:rPr>
          <w:sz w:val="24"/>
          <w:szCs w:val="24"/>
        </w:rPr>
        <w:t xml:space="preserve">, counsel for Ms. Dudley and the NFB notified counsel for the United States of their intention to </w:t>
      </w:r>
      <w:r>
        <w:rPr>
          <w:sz w:val="24"/>
          <w:szCs w:val="24"/>
        </w:rPr>
        <w:t>again seek to add the NFB as a party</w:t>
      </w:r>
      <w:r w:rsidRPr="00864DA7">
        <w:rPr>
          <w:sz w:val="24"/>
          <w:szCs w:val="24"/>
        </w:rPr>
        <w:t>.</w:t>
      </w:r>
    </w:p>
  </w:footnote>
  <w:footnote w:id="2">
    <w:p w:rsidR="00BB1685" w:rsidRPr="00864DA7" w:rsidRDefault="00BB1685" w:rsidP="00163CC5">
      <w:pPr>
        <w:pStyle w:val="FootnoteText"/>
        <w:spacing w:after="240"/>
        <w:ind w:firstLine="720"/>
        <w:rPr>
          <w:sz w:val="24"/>
          <w:szCs w:val="24"/>
        </w:rPr>
      </w:pPr>
      <w:r w:rsidRPr="00864DA7">
        <w:rPr>
          <w:rStyle w:val="FootnoteReference"/>
          <w:sz w:val="24"/>
          <w:szCs w:val="24"/>
        </w:rPr>
        <w:footnoteRef/>
      </w:r>
      <w:r w:rsidRPr="00864DA7">
        <w:rPr>
          <w:sz w:val="24"/>
          <w:szCs w:val="24"/>
        </w:rPr>
        <w:t xml:space="preserve"> Because the alternative to intervention in this lawsuit is a separate action by the United States, the efficiency goals implicit in Federal Rule of Civil Procedure 24 are furthered by intervention.  </w:t>
      </w:r>
      <w:r w:rsidRPr="00864DA7">
        <w:rPr>
          <w:i/>
          <w:sz w:val="24"/>
          <w:szCs w:val="24"/>
        </w:rPr>
        <w:t>Cf.</w:t>
      </w:r>
      <w:r w:rsidRPr="00864DA7">
        <w:rPr>
          <w:sz w:val="24"/>
          <w:szCs w:val="24"/>
        </w:rPr>
        <w:t xml:space="preserve"> S.D. Ohio Civ. R. 3.1(b) (requiring identification of related cases upon initiating a lawsuit to provide for the orderly division of Court business).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85" w:rsidRDefault="00BB1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048"/>
    <w:multiLevelType w:val="hybridMultilevel"/>
    <w:tmpl w:val="B65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4E9B"/>
    <w:multiLevelType w:val="hybridMultilevel"/>
    <w:tmpl w:val="283CFF94"/>
    <w:lvl w:ilvl="0" w:tplc="94A0543C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09A5"/>
    <w:multiLevelType w:val="hybridMultilevel"/>
    <w:tmpl w:val="6624FA30"/>
    <w:lvl w:ilvl="0" w:tplc="9800B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631970"/>
    <w:multiLevelType w:val="hybridMultilevel"/>
    <w:tmpl w:val="35AEBD66"/>
    <w:lvl w:ilvl="0" w:tplc="9D60E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E5C12"/>
    <w:multiLevelType w:val="hybridMultilevel"/>
    <w:tmpl w:val="046E3166"/>
    <w:lvl w:ilvl="0" w:tplc="E5B61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10B8A"/>
    <w:multiLevelType w:val="hybridMultilevel"/>
    <w:tmpl w:val="A60A3640"/>
    <w:lvl w:ilvl="0" w:tplc="8A8EF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08F"/>
    <w:multiLevelType w:val="hybridMultilevel"/>
    <w:tmpl w:val="4254F91E"/>
    <w:lvl w:ilvl="0" w:tplc="A5704644">
      <w:start w:val="1"/>
      <w:numFmt w:val="upperLetter"/>
      <w:pStyle w:val="Heading4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B44F5"/>
    <w:multiLevelType w:val="hybridMultilevel"/>
    <w:tmpl w:val="6476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D4E50"/>
    <w:multiLevelType w:val="hybridMultilevel"/>
    <w:tmpl w:val="EAD45DC6"/>
    <w:lvl w:ilvl="0" w:tplc="0EA66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A273C"/>
    <w:multiLevelType w:val="hybridMultilevel"/>
    <w:tmpl w:val="366C1FA4"/>
    <w:lvl w:ilvl="0" w:tplc="40A2D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A744C"/>
    <w:multiLevelType w:val="hybridMultilevel"/>
    <w:tmpl w:val="32F8DAF6"/>
    <w:lvl w:ilvl="0" w:tplc="3E220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3F86"/>
    <w:multiLevelType w:val="hybridMultilevel"/>
    <w:tmpl w:val="9EF2315E"/>
    <w:lvl w:ilvl="0" w:tplc="42D8A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815F8"/>
    <w:multiLevelType w:val="hybridMultilevel"/>
    <w:tmpl w:val="76DEC518"/>
    <w:lvl w:ilvl="0" w:tplc="9F5E588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B388B"/>
    <w:rsid w:val="00003E37"/>
    <w:rsid w:val="00005AB5"/>
    <w:rsid w:val="00005ECA"/>
    <w:rsid w:val="00006F01"/>
    <w:rsid w:val="000109A6"/>
    <w:rsid w:val="00013B1F"/>
    <w:rsid w:val="00015A47"/>
    <w:rsid w:val="000170A9"/>
    <w:rsid w:val="00020BA1"/>
    <w:rsid w:val="00020FB1"/>
    <w:rsid w:val="00021308"/>
    <w:rsid w:val="0002294A"/>
    <w:rsid w:val="00024060"/>
    <w:rsid w:val="0002598F"/>
    <w:rsid w:val="00025C6A"/>
    <w:rsid w:val="0003072E"/>
    <w:rsid w:val="00030AD4"/>
    <w:rsid w:val="00031553"/>
    <w:rsid w:val="00034C74"/>
    <w:rsid w:val="0003554C"/>
    <w:rsid w:val="00040760"/>
    <w:rsid w:val="00041365"/>
    <w:rsid w:val="000426DD"/>
    <w:rsid w:val="00043218"/>
    <w:rsid w:val="000444A0"/>
    <w:rsid w:val="000453F7"/>
    <w:rsid w:val="0004660F"/>
    <w:rsid w:val="00046B25"/>
    <w:rsid w:val="000475F2"/>
    <w:rsid w:val="00050277"/>
    <w:rsid w:val="00050478"/>
    <w:rsid w:val="00052C1C"/>
    <w:rsid w:val="00052EAD"/>
    <w:rsid w:val="00052EBD"/>
    <w:rsid w:val="0005457B"/>
    <w:rsid w:val="00054F6D"/>
    <w:rsid w:val="0005504A"/>
    <w:rsid w:val="00055664"/>
    <w:rsid w:val="00055F0A"/>
    <w:rsid w:val="0005625F"/>
    <w:rsid w:val="00061BCC"/>
    <w:rsid w:val="00061EE3"/>
    <w:rsid w:val="0006307A"/>
    <w:rsid w:val="0006397B"/>
    <w:rsid w:val="00063A18"/>
    <w:rsid w:val="0006434A"/>
    <w:rsid w:val="0006616D"/>
    <w:rsid w:val="000668EF"/>
    <w:rsid w:val="000669C8"/>
    <w:rsid w:val="00066FC1"/>
    <w:rsid w:val="000671B7"/>
    <w:rsid w:val="000672E0"/>
    <w:rsid w:val="000708BE"/>
    <w:rsid w:val="00070F0C"/>
    <w:rsid w:val="00071898"/>
    <w:rsid w:val="0007345E"/>
    <w:rsid w:val="00075441"/>
    <w:rsid w:val="00083209"/>
    <w:rsid w:val="00083E63"/>
    <w:rsid w:val="000863A0"/>
    <w:rsid w:val="00087918"/>
    <w:rsid w:val="0009338B"/>
    <w:rsid w:val="0009458F"/>
    <w:rsid w:val="00095BC9"/>
    <w:rsid w:val="000A0615"/>
    <w:rsid w:val="000A07AD"/>
    <w:rsid w:val="000A0E38"/>
    <w:rsid w:val="000A67E7"/>
    <w:rsid w:val="000A7B02"/>
    <w:rsid w:val="000B0A83"/>
    <w:rsid w:val="000B5845"/>
    <w:rsid w:val="000B6E97"/>
    <w:rsid w:val="000B7D4C"/>
    <w:rsid w:val="000B7EE9"/>
    <w:rsid w:val="000C0099"/>
    <w:rsid w:val="000C043B"/>
    <w:rsid w:val="000C124A"/>
    <w:rsid w:val="000C1D69"/>
    <w:rsid w:val="000C26DA"/>
    <w:rsid w:val="000C4DA3"/>
    <w:rsid w:val="000C652E"/>
    <w:rsid w:val="000C6625"/>
    <w:rsid w:val="000C6C34"/>
    <w:rsid w:val="000C6DFB"/>
    <w:rsid w:val="000D047C"/>
    <w:rsid w:val="000D0665"/>
    <w:rsid w:val="000D1543"/>
    <w:rsid w:val="000D3698"/>
    <w:rsid w:val="000D38B4"/>
    <w:rsid w:val="000D4DF0"/>
    <w:rsid w:val="000D56EC"/>
    <w:rsid w:val="000D60A6"/>
    <w:rsid w:val="000D62D2"/>
    <w:rsid w:val="000D6DC3"/>
    <w:rsid w:val="000E2228"/>
    <w:rsid w:val="000E23F3"/>
    <w:rsid w:val="000E4CDE"/>
    <w:rsid w:val="000E5E79"/>
    <w:rsid w:val="000E5F16"/>
    <w:rsid w:val="000F11B8"/>
    <w:rsid w:val="000F1C15"/>
    <w:rsid w:val="000F42DB"/>
    <w:rsid w:val="000F4345"/>
    <w:rsid w:val="000F6049"/>
    <w:rsid w:val="000F6743"/>
    <w:rsid w:val="001009B3"/>
    <w:rsid w:val="00103897"/>
    <w:rsid w:val="0010428A"/>
    <w:rsid w:val="00104343"/>
    <w:rsid w:val="00104F64"/>
    <w:rsid w:val="00106175"/>
    <w:rsid w:val="00107053"/>
    <w:rsid w:val="00107BD9"/>
    <w:rsid w:val="00107E83"/>
    <w:rsid w:val="001102F7"/>
    <w:rsid w:val="00110D80"/>
    <w:rsid w:val="0011116A"/>
    <w:rsid w:val="00112AB4"/>
    <w:rsid w:val="00115C1B"/>
    <w:rsid w:val="00117ECF"/>
    <w:rsid w:val="00120783"/>
    <w:rsid w:val="00122DDD"/>
    <w:rsid w:val="00123455"/>
    <w:rsid w:val="00126333"/>
    <w:rsid w:val="00127FB8"/>
    <w:rsid w:val="00130DE8"/>
    <w:rsid w:val="00131112"/>
    <w:rsid w:val="001313A5"/>
    <w:rsid w:val="00131EEC"/>
    <w:rsid w:val="001332D7"/>
    <w:rsid w:val="00136143"/>
    <w:rsid w:val="0013686D"/>
    <w:rsid w:val="00136A50"/>
    <w:rsid w:val="00140FFD"/>
    <w:rsid w:val="001415B6"/>
    <w:rsid w:val="001449E9"/>
    <w:rsid w:val="001457AB"/>
    <w:rsid w:val="001475D4"/>
    <w:rsid w:val="00150C91"/>
    <w:rsid w:val="001524F9"/>
    <w:rsid w:val="001524FC"/>
    <w:rsid w:val="00155D86"/>
    <w:rsid w:val="0016037E"/>
    <w:rsid w:val="00160620"/>
    <w:rsid w:val="00163280"/>
    <w:rsid w:val="00163CC5"/>
    <w:rsid w:val="001644B3"/>
    <w:rsid w:val="0016631E"/>
    <w:rsid w:val="00167DA4"/>
    <w:rsid w:val="00171D32"/>
    <w:rsid w:val="0017200E"/>
    <w:rsid w:val="00176448"/>
    <w:rsid w:val="001815FF"/>
    <w:rsid w:val="00181BC4"/>
    <w:rsid w:val="00183016"/>
    <w:rsid w:val="0018571B"/>
    <w:rsid w:val="00190FD1"/>
    <w:rsid w:val="001935B3"/>
    <w:rsid w:val="001947AA"/>
    <w:rsid w:val="001A107A"/>
    <w:rsid w:val="001A2B93"/>
    <w:rsid w:val="001A4825"/>
    <w:rsid w:val="001A5C8F"/>
    <w:rsid w:val="001A6225"/>
    <w:rsid w:val="001B05F2"/>
    <w:rsid w:val="001B5784"/>
    <w:rsid w:val="001B7AB2"/>
    <w:rsid w:val="001B7EA9"/>
    <w:rsid w:val="001C09CC"/>
    <w:rsid w:val="001C0BF1"/>
    <w:rsid w:val="001C2E68"/>
    <w:rsid w:val="001C5DBA"/>
    <w:rsid w:val="001D16F8"/>
    <w:rsid w:val="001D280C"/>
    <w:rsid w:val="001D3F7B"/>
    <w:rsid w:val="001D4352"/>
    <w:rsid w:val="001D5947"/>
    <w:rsid w:val="001D5FC8"/>
    <w:rsid w:val="001E009D"/>
    <w:rsid w:val="001E384C"/>
    <w:rsid w:val="001E62EB"/>
    <w:rsid w:val="001E6CC8"/>
    <w:rsid w:val="001E77C3"/>
    <w:rsid w:val="001F189A"/>
    <w:rsid w:val="001F4688"/>
    <w:rsid w:val="001F5B6F"/>
    <w:rsid w:val="001F628D"/>
    <w:rsid w:val="0020024E"/>
    <w:rsid w:val="00200937"/>
    <w:rsid w:val="00202763"/>
    <w:rsid w:val="00204EB5"/>
    <w:rsid w:val="0020636D"/>
    <w:rsid w:val="00206FF2"/>
    <w:rsid w:val="00207E88"/>
    <w:rsid w:val="0021061E"/>
    <w:rsid w:val="0021407B"/>
    <w:rsid w:val="002141AE"/>
    <w:rsid w:val="00214427"/>
    <w:rsid w:val="00214E4A"/>
    <w:rsid w:val="00217D6F"/>
    <w:rsid w:val="00221618"/>
    <w:rsid w:val="00221660"/>
    <w:rsid w:val="00223B1F"/>
    <w:rsid w:val="00223D5C"/>
    <w:rsid w:val="00223FBD"/>
    <w:rsid w:val="00225423"/>
    <w:rsid w:val="00225CB6"/>
    <w:rsid w:val="00225FD1"/>
    <w:rsid w:val="0022699A"/>
    <w:rsid w:val="00226F19"/>
    <w:rsid w:val="00231EF3"/>
    <w:rsid w:val="00233743"/>
    <w:rsid w:val="002366D4"/>
    <w:rsid w:val="002367A3"/>
    <w:rsid w:val="00236947"/>
    <w:rsid w:val="00241305"/>
    <w:rsid w:val="002453DC"/>
    <w:rsid w:val="00246009"/>
    <w:rsid w:val="002469D5"/>
    <w:rsid w:val="00247059"/>
    <w:rsid w:val="002507D8"/>
    <w:rsid w:val="00250F29"/>
    <w:rsid w:val="00251D70"/>
    <w:rsid w:val="002566AB"/>
    <w:rsid w:val="00256718"/>
    <w:rsid w:val="00256A2F"/>
    <w:rsid w:val="002572D8"/>
    <w:rsid w:val="0025746B"/>
    <w:rsid w:val="00261881"/>
    <w:rsid w:val="00262A74"/>
    <w:rsid w:val="00263B38"/>
    <w:rsid w:val="00263E87"/>
    <w:rsid w:val="0026570C"/>
    <w:rsid w:val="0026792F"/>
    <w:rsid w:val="002704CB"/>
    <w:rsid w:val="0027089C"/>
    <w:rsid w:val="002715DB"/>
    <w:rsid w:val="00273A1E"/>
    <w:rsid w:val="00274957"/>
    <w:rsid w:val="00275322"/>
    <w:rsid w:val="002753FA"/>
    <w:rsid w:val="00276899"/>
    <w:rsid w:val="00276DA4"/>
    <w:rsid w:val="00281570"/>
    <w:rsid w:val="002847CC"/>
    <w:rsid w:val="00287102"/>
    <w:rsid w:val="00290EF5"/>
    <w:rsid w:val="00291091"/>
    <w:rsid w:val="00293142"/>
    <w:rsid w:val="002965ED"/>
    <w:rsid w:val="00296940"/>
    <w:rsid w:val="002A1A85"/>
    <w:rsid w:val="002A1EF3"/>
    <w:rsid w:val="002A4335"/>
    <w:rsid w:val="002A4716"/>
    <w:rsid w:val="002A7BF9"/>
    <w:rsid w:val="002B1CAA"/>
    <w:rsid w:val="002B58E0"/>
    <w:rsid w:val="002B5A15"/>
    <w:rsid w:val="002B75E0"/>
    <w:rsid w:val="002C24CA"/>
    <w:rsid w:val="002C2F53"/>
    <w:rsid w:val="002C75B7"/>
    <w:rsid w:val="002D214E"/>
    <w:rsid w:val="002D571F"/>
    <w:rsid w:val="002D7FEF"/>
    <w:rsid w:val="002E0947"/>
    <w:rsid w:val="002E0A58"/>
    <w:rsid w:val="002E1887"/>
    <w:rsid w:val="002E2C46"/>
    <w:rsid w:val="002E30BC"/>
    <w:rsid w:val="002E5650"/>
    <w:rsid w:val="002E5DF2"/>
    <w:rsid w:val="002F19F5"/>
    <w:rsid w:val="002F28CC"/>
    <w:rsid w:val="002F2AF9"/>
    <w:rsid w:val="002F3247"/>
    <w:rsid w:val="002F5654"/>
    <w:rsid w:val="002F58C8"/>
    <w:rsid w:val="002F63D5"/>
    <w:rsid w:val="002F6C3E"/>
    <w:rsid w:val="00304148"/>
    <w:rsid w:val="003059CC"/>
    <w:rsid w:val="003066C5"/>
    <w:rsid w:val="00306903"/>
    <w:rsid w:val="00307773"/>
    <w:rsid w:val="00310555"/>
    <w:rsid w:val="003108C2"/>
    <w:rsid w:val="003108E1"/>
    <w:rsid w:val="003141F4"/>
    <w:rsid w:val="003149AC"/>
    <w:rsid w:val="0031586C"/>
    <w:rsid w:val="003162E0"/>
    <w:rsid w:val="00317D4C"/>
    <w:rsid w:val="00317DF8"/>
    <w:rsid w:val="00321E78"/>
    <w:rsid w:val="003232FC"/>
    <w:rsid w:val="00324440"/>
    <w:rsid w:val="00324D5C"/>
    <w:rsid w:val="00325E0E"/>
    <w:rsid w:val="00326DA3"/>
    <w:rsid w:val="0033272D"/>
    <w:rsid w:val="00332F9B"/>
    <w:rsid w:val="00336473"/>
    <w:rsid w:val="00336A96"/>
    <w:rsid w:val="00341F2F"/>
    <w:rsid w:val="00343141"/>
    <w:rsid w:val="00344BE8"/>
    <w:rsid w:val="00344C04"/>
    <w:rsid w:val="00344C5C"/>
    <w:rsid w:val="00344FF5"/>
    <w:rsid w:val="00345210"/>
    <w:rsid w:val="00345837"/>
    <w:rsid w:val="0034762A"/>
    <w:rsid w:val="003479D4"/>
    <w:rsid w:val="003511BA"/>
    <w:rsid w:val="00351EFA"/>
    <w:rsid w:val="0035415A"/>
    <w:rsid w:val="00356DC2"/>
    <w:rsid w:val="003577D1"/>
    <w:rsid w:val="0036430D"/>
    <w:rsid w:val="003728BB"/>
    <w:rsid w:val="00372949"/>
    <w:rsid w:val="003761A8"/>
    <w:rsid w:val="00376EC0"/>
    <w:rsid w:val="003778EC"/>
    <w:rsid w:val="003779DE"/>
    <w:rsid w:val="0038214D"/>
    <w:rsid w:val="003834FE"/>
    <w:rsid w:val="00384996"/>
    <w:rsid w:val="00385D53"/>
    <w:rsid w:val="003873FC"/>
    <w:rsid w:val="00387B0D"/>
    <w:rsid w:val="00396459"/>
    <w:rsid w:val="003969F6"/>
    <w:rsid w:val="003A0EAC"/>
    <w:rsid w:val="003A4204"/>
    <w:rsid w:val="003A51D4"/>
    <w:rsid w:val="003B2002"/>
    <w:rsid w:val="003B2B79"/>
    <w:rsid w:val="003C0BE8"/>
    <w:rsid w:val="003C1065"/>
    <w:rsid w:val="003C426D"/>
    <w:rsid w:val="003C46C7"/>
    <w:rsid w:val="003C5749"/>
    <w:rsid w:val="003C5CD1"/>
    <w:rsid w:val="003C72E3"/>
    <w:rsid w:val="003D12EB"/>
    <w:rsid w:val="003D15C4"/>
    <w:rsid w:val="003D55E2"/>
    <w:rsid w:val="003D6073"/>
    <w:rsid w:val="003D622A"/>
    <w:rsid w:val="003E0BCF"/>
    <w:rsid w:val="003E206C"/>
    <w:rsid w:val="003F0400"/>
    <w:rsid w:val="003F1CDB"/>
    <w:rsid w:val="003F266A"/>
    <w:rsid w:val="003F3A64"/>
    <w:rsid w:val="003F4DCF"/>
    <w:rsid w:val="003F5F7C"/>
    <w:rsid w:val="003F6230"/>
    <w:rsid w:val="00403F71"/>
    <w:rsid w:val="00407CC8"/>
    <w:rsid w:val="004115BF"/>
    <w:rsid w:val="004121A3"/>
    <w:rsid w:val="00417189"/>
    <w:rsid w:val="00417655"/>
    <w:rsid w:val="0042000E"/>
    <w:rsid w:val="00420AF0"/>
    <w:rsid w:val="00421ACA"/>
    <w:rsid w:val="0042217E"/>
    <w:rsid w:val="00422B01"/>
    <w:rsid w:val="004253B0"/>
    <w:rsid w:val="004314D3"/>
    <w:rsid w:val="004321FE"/>
    <w:rsid w:val="00433FDF"/>
    <w:rsid w:val="00434916"/>
    <w:rsid w:val="00436334"/>
    <w:rsid w:val="00437E62"/>
    <w:rsid w:val="004401B2"/>
    <w:rsid w:val="00440EEB"/>
    <w:rsid w:val="00441C8D"/>
    <w:rsid w:val="0044237D"/>
    <w:rsid w:val="0044322A"/>
    <w:rsid w:val="00445AD5"/>
    <w:rsid w:val="00447733"/>
    <w:rsid w:val="00450865"/>
    <w:rsid w:val="00454090"/>
    <w:rsid w:val="00454132"/>
    <w:rsid w:val="00455448"/>
    <w:rsid w:val="0045547B"/>
    <w:rsid w:val="0045701E"/>
    <w:rsid w:val="00462B91"/>
    <w:rsid w:val="00463989"/>
    <w:rsid w:val="00464CF4"/>
    <w:rsid w:val="00465AA1"/>
    <w:rsid w:val="004671B8"/>
    <w:rsid w:val="00467D54"/>
    <w:rsid w:val="00470BCE"/>
    <w:rsid w:val="0048131C"/>
    <w:rsid w:val="00482836"/>
    <w:rsid w:val="00484A17"/>
    <w:rsid w:val="00484AD9"/>
    <w:rsid w:val="00484E73"/>
    <w:rsid w:val="0049159B"/>
    <w:rsid w:val="0049194E"/>
    <w:rsid w:val="00492C9E"/>
    <w:rsid w:val="004932F8"/>
    <w:rsid w:val="00496887"/>
    <w:rsid w:val="00496D06"/>
    <w:rsid w:val="00497832"/>
    <w:rsid w:val="00497FA3"/>
    <w:rsid w:val="004A2505"/>
    <w:rsid w:val="004A2F8B"/>
    <w:rsid w:val="004A53F8"/>
    <w:rsid w:val="004A66C3"/>
    <w:rsid w:val="004A7A3D"/>
    <w:rsid w:val="004B388B"/>
    <w:rsid w:val="004B4E55"/>
    <w:rsid w:val="004C05EC"/>
    <w:rsid w:val="004C5401"/>
    <w:rsid w:val="004C5DDE"/>
    <w:rsid w:val="004C6DFD"/>
    <w:rsid w:val="004D23A4"/>
    <w:rsid w:val="004D3009"/>
    <w:rsid w:val="004D3634"/>
    <w:rsid w:val="004D3C7A"/>
    <w:rsid w:val="004D4354"/>
    <w:rsid w:val="004D5A0B"/>
    <w:rsid w:val="004D7550"/>
    <w:rsid w:val="004E0031"/>
    <w:rsid w:val="004E021C"/>
    <w:rsid w:val="004E31F1"/>
    <w:rsid w:val="004E3608"/>
    <w:rsid w:val="004E580B"/>
    <w:rsid w:val="004E6CC6"/>
    <w:rsid w:val="004E7718"/>
    <w:rsid w:val="004F012E"/>
    <w:rsid w:val="004F0D47"/>
    <w:rsid w:val="004F0F43"/>
    <w:rsid w:val="004F2DAA"/>
    <w:rsid w:val="004F378D"/>
    <w:rsid w:val="004F5D8D"/>
    <w:rsid w:val="004F63BA"/>
    <w:rsid w:val="004F6FB7"/>
    <w:rsid w:val="00501E45"/>
    <w:rsid w:val="00504934"/>
    <w:rsid w:val="00504AEC"/>
    <w:rsid w:val="005055C1"/>
    <w:rsid w:val="0050655B"/>
    <w:rsid w:val="005104B6"/>
    <w:rsid w:val="005134E6"/>
    <w:rsid w:val="00520330"/>
    <w:rsid w:val="00520908"/>
    <w:rsid w:val="00521CF0"/>
    <w:rsid w:val="00523635"/>
    <w:rsid w:val="005255D9"/>
    <w:rsid w:val="005261B9"/>
    <w:rsid w:val="00527F36"/>
    <w:rsid w:val="00532DCF"/>
    <w:rsid w:val="005357F8"/>
    <w:rsid w:val="00537156"/>
    <w:rsid w:val="00537431"/>
    <w:rsid w:val="0054080B"/>
    <w:rsid w:val="00541730"/>
    <w:rsid w:val="00542C92"/>
    <w:rsid w:val="00544659"/>
    <w:rsid w:val="0054529C"/>
    <w:rsid w:val="00545DD1"/>
    <w:rsid w:val="005461D1"/>
    <w:rsid w:val="00553E2F"/>
    <w:rsid w:val="00555607"/>
    <w:rsid w:val="00557AA0"/>
    <w:rsid w:val="0056026E"/>
    <w:rsid w:val="0056151D"/>
    <w:rsid w:val="00561AC5"/>
    <w:rsid w:val="0056272F"/>
    <w:rsid w:val="005633E6"/>
    <w:rsid w:val="00563C90"/>
    <w:rsid w:val="0056407B"/>
    <w:rsid w:val="005660B6"/>
    <w:rsid w:val="0057040A"/>
    <w:rsid w:val="005705B0"/>
    <w:rsid w:val="00570DA1"/>
    <w:rsid w:val="00570F7E"/>
    <w:rsid w:val="00571288"/>
    <w:rsid w:val="0057207F"/>
    <w:rsid w:val="005724E4"/>
    <w:rsid w:val="00572F96"/>
    <w:rsid w:val="0057346F"/>
    <w:rsid w:val="00574350"/>
    <w:rsid w:val="00574CB1"/>
    <w:rsid w:val="005751C9"/>
    <w:rsid w:val="00575AD6"/>
    <w:rsid w:val="00576500"/>
    <w:rsid w:val="00577890"/>
    <w:rsid w:val="00580220"/>
    <w:rsid w:val="00581CF5"/>
    <w:rsid w:val="00582BD4"/>
    <w:rsid w:val="00583A72"/>
    <w:rsid w:val="00586C9B"/>
    <w:rsid w:val="00590379"/>
    <w:rsid w:val="005903F8"/>
    <w:rsid w:val="0059092A"/>
    <w:rsid w:val="00590D4E"/>
    <w:rsid w:val="0059157E"/>
    <w:rsid w:val="00592308"/>
    <w:rsid w:val="0059272A"/>
    <w:rsid w:val="0059327F"/>
    <w:rsid w:val="00596FC5"/>
    <w:rsid w:val="00597A8C"/>
    <w:rsid w:val="005A25ED"/>
    <w:rsid w:val="005A2934"/>
    <w:rsid w:val="005A3D27"/>
    <w:rsid w:val="005A5347"/>
    <w:rsid w:val="005A7DBE"/>
    <w:rsid w:val="005B00AC"/>
    <w:rsid w:val="005B0E63"/>
    <w:rsid w:val="005B0EF0"/>
    <w:rsid w:val="005B17C5"/>
    <w:rsid w:val="005B2C83"/>
    <w:rsid w:val="005B6A2B"/>
    <w:rsid w:val="005B6BE2"/>
    <w:rsid w:val="005B74F3"/>
    <w:rsid w:val="005B7842"/>
    <w:rsid w:val="005C2629"/>
    <w:rsid w:val="005C35FB"/>
    <w:rsid w:val="005C3E53"/>
    <w:rsid w:val="005C41FF"/>
    <w:rsid w:val="005C4ED1"/>
    <w:rsid w:val="005C5DE3"/>
    <w:rsid w:val="005C6F25"/>
    <w:rsid w:val="005C7737"/>
    <w:rsid w:val="005D199E"/>
    <w:rsid w:val="005D2C98"/>
    <w:rsid w:val="005D3957"/>
    <w:rsid w:val="005D4970"/>
    <w:rsid w:val="005E00A4"/>
    <w:rsid w:val="005E0D14"/>
    <w:rsid w:val="005E25F5"/>
    <w:rsid w:val="005E367E"/>
    <w:rsid w:val="005F06D1"/>
    <w:rsid w:val="005F135A"/>
    <w:rsid w:val="005F317B"/>
    <w:rsid w:val="005F4DF5"/>
    <w:rsid w:val="00602432"/>
    <w:rsid w:val="00602FDC"/>
    <w:rsid w:val="00604ED9"/>
    <w:rsid w:val="006054D3"/>
    <w:rsid w:val="00605A1D"/>
    <w:rsid w:val="006066ED"/>
    <w:rsid w:val="00606F28"/>
    <w:rsid w:val="00610D53"/>
    <w:rsid w:val="00612B81"/>
    <w:rsid w:val="00613641"/>
    <w:rsid w:val="00613B3B"/>
    <w:rsid w:val="0061437A"/>
    <w:rsid w:val="0061596B"/>
    <w:rsid w:val="0061639F"/>
    <w:rsid w:val="00617C8A"/>
    <w:rsid w:val="00621152"/>
    <w:rsid w:val="00626BE3"/>
    <w:rsid w:val="006302AD"/>
    <w:rsid w:val="00633C04"/>
    <w:rsid w:val="00633D4F"/>
    <w:rsid w:val="00633EBF"/>
    <w:rsid w:val="006347FD"/>
    <w:rsid w:val="00634832"/>
    <w:rsid w:val="00634DDC"/>
    <w:rsid w:val="00640489"/>
    <w:rsid w:val="006405B1"/>
    <w:rsid w:val="00641F24"/>
    <w:rsid w:val="00642926"/>
    <w:rsid w:val="00644744"/>
    <w:rsid w:val="00644A2D"/>
    <w:rsid w:val="00646EE3"/>
    <w:rsid w:val="006504AC"/>
    <w:rsid w:val="00650598"/>
    <w:rsid w:val="006517F0"/>
    <w:rsid w:val="006561FA"/>
    <w:rsid w:val="0065654A"/>
    <w:rsid w:val="00657A69"/>
    <w:rsid w:val="00660E42"/>
    <w:rsid w:val="00661F53"/>
    <w:rsid w:val="0066289D"/>
    <w:rsid w:val="00664A3D"/>
    <w:rsid w:val="00665AA9"/>
    <w:rsid w:val="00665D33"/>
    <w:rsid w:val="006703E9"/>
    <w:rsid w:val="006722BF"/>
    <w:rsid w:val="00672BCA"/>
    <w:rsid w:val="006743A8"/>
    <w:rsid w:val="00675524"/>
    <w:rsid w:val="00675973"/>
    <w:rsid w:val="00675A30"/>
    <w:rsid w:val="00676B69"/>
    <w:rsid w:val="00680190"/>
    <w:rsid w:val="0068153C"/>
    <w:rsid w:val="00681AB2"/>
    <w:rsid w:val="00684282"/>
    <w:rsid w:val="00686A3A"/>
    <w:rsid w:val="00691214"/>
    <w:rsid w:val="00692199"/>
    <w:rsid w:val="00692EC1"/>
    <w:rsid w:val="006935B9"/>
    <w:rsid w:val="00695E9E"/>
    <w:rsid w:val="00697B36"/>
    <w:rsid w:val="00697C88"/>
    <w:rsid w:val="006A003D"/>
    <w:rsid w:val="006A1CD8"/>
    <w:rsid w:val="006A1D3B"/>
    <w:rsid w:val="006A1F4A"/>
    <w:rsid w:val="006A24EF"/>
    <w:rsid w:val="006A2B14"/>
    <w:rsid w:val="006A62E3"/>
    <w:rsid w:val="006A62E9"/>
    <w:rsid w:val="006A7371"/>
    <w:rsid w:val="006B0602"/>
    <w:rsid w:val="006B13A5"/>
    <w:rsid w:val="006B1766"/>
    <w:rsid w:val="006B3F07"/>
    <w:rsid w:val="006B460B"/>
    <w:rsid w:val="006B4982"/>
    <w:rsid w:val="006B4A88"/>
    <w:rsid w:val="006C1D8E"/>
    <w:rsid w:val="006C3A9D"/>
    <w:rsid w:val="006C54E2"/>
    <w:rsid w:val="006C714F"/>
    <w:rsid w:val="006D00C2"/>
    <w:rsid w:val="006D44E2"/>
    <w:rsid w:val="006D4B60"/>
    <w:rsid w:val="006D565C"/>
    <w:rsid w:val="006D6512"/>
    <w:rsid w:val="006D665A"/>
    <w:rsid w:val="006D705E"/>
    <w:rsid w:val="006D7279"/>
    <w:rsid w:val="006D785F"/>
    <w:rsid w:val="006E1575"/>
    <w:rsid w:val="006E17C0"/>
    <w:rsid w:val="006E1CF7"/>
    <w:rsid w:val="006E3851"/>
    <w:rsid w:val="006E4190"/>
    <w:rsid w:val="006E526E"/>
    <w:rsid w:val="006E563E"/>
    <w:rsid w:val="006E680A"/>
    <w:rsid w:val="006E6C11"/>
    <w:rsid w:val="006F2A37"/>
    <w:rsid w:val="006F2B87"/>
    <w:rsid w:val="006F349D"/>
    <w:rsid w:val="006F48D6"/>
    <w:rsid w:val="006F5633"/>
    <w:rsid w:val="006F5667"/>
    <w:rsid w:val="00701D57"/>
    <w:rsid w:val="00702167"/>
    <w:rsid w:val="0070287A"/>
    <w:rsid w:val="00702A9E"/>
    <w:rsid w:val="007036D0"/>
    <w:rsid w:val="0070378F"/>
    <w:rsid w:val="00705714"/>
    <w:rsid w:val="00711BB9"/>
    <w:rsid w:val="007152C1"/>
    <w:rsid w:val="00715E8A"/>
    <w:rsid w:val="00715F4B"/>
    <w:rsid w:val="007168C6"/>
    <w:rsid w:val="007168FA"/>
    <w:rsid w:val="00717B5B"/>
    <w:rsid w:val="0072060A"/>
    <w:rsid w:val="00720AE3"/>
    <w:rsid w:val="00722752"/>
    <w:rsid w:val="00722A4C"/>
    <w:rsid w:val="007233AF"/>
    <w:rsid w:val="00723CD4"/>
    <w:rsid w:val="007262BC"/>
    <w:rsid w:val="00726399"/>
    <w:rsid w:val="007264DE"/>
    <w:rsid w:val="00726CF1"/>
    <w:rsid w:val="007327BD"/>
    <w:rsid w:val="00740070"/>
    <w:rsid w:val="00741AFA"/>
    <w:rsid w:val="007421F7"/>
    <w:rsid w:val="0074264B"/>
    <w:rsid w:val="007427DD"/>
    <w:rsid w:val="007430D0"/>
    <w:rsid w:val="00746F4A"/>
    <w:rsid w:val="007471A3"/>
    <w:rsid w:val="00747291"/>
    <w:rsid w:val="00753EB1"/>
    <w:rsid w:val="00755589"/>
    <w:rsid w:val="0076536B"/>
    <w:rsid w:val="007656A2"/>
    <w:rsid w:val="00765B9C"/>
    <w:rsid w:val="00771227"/>
    <w:rsid w:val="00771478"/>
    <w:rsid w:val="00771DF6"/>
    <w:rsid w:val="00772667"/>
    <w:rsid w:val="00772D68"/>
    <w:rsid w:val="00773095"/>
    <w:rsid w:val="00776B2F"/>
    <w:rsid w:val="0078116C"/>
    <w:rsid w:val="00781D0A"/>
    <w:rsid w:val="00784AFB"/>
    <w:rsid w:val="00785BF4"/>
    <w:rsid w:val="00786DF5"/>
    <w:rsid w:val="007878BD"/>
    <w:rsid w:val="00790489"/>
    <w:rsid w:val="00791E42"/>
    <w:rsid w:val="007941EA"/>
    <w:rsid w:val="00795630"/>
    <w:rsid w:val="007957BF"/>
    <w:rsid w:val="007978AA"/>
    <w:rsid w:val="007A08B7"/>
    <w:rsid w:val="007A0C64"/>
    <w:rsid w:val="007A3CD3"/>
    <w:rsid w:val="007A4B35"/>
    <w:rsid w:val="007A54CB"/>
    <w:rsid w:val="007A7F12"/>
    <w:rsid w:val="007B40A5"/>
    <w:rsid w:val="007B63CA"/>
    <w:rsid w:val="007C226C"/>
    <w:rsid w:val="007C2A5A"/>
    <w:rsid w:val="007C3D1A"/>
    <w:rsid w:val="007C47A4"/>
    <w:rsid w:val="007C5D68"/>
    <w:rsid w:val="007C7122"/>
    <w:rsid w:val="007D0572"/>
    <w:rsid w:val="007D40D8"/>
    <w:rsid w:val="007D6786"/>
    <w:rsid w:val="007D7A8B"/>
    <w:rsid w:val="007E135C"/>
    <w:rsid w:val="007E3AFB"/>
    <w:rsid w:val="007E6D5A"/>
    <w:rsid w:val="007E7D5E"/>
    <w:rsid w:val="007F0E33"/>
    <w:rsid w:val="007F3968"/>
    <w:rsid w:val="007F410C"/>
    <w:rsid w:val="007F4A4A"/>
    <w:rsid w:val="007F4A55"/>
    <w:rsid w:val="007F721C"/>
    <w:rsid w:val="00800380"/>
    <w:rsid w:val="0080550B"/>
    <w:rsid w:val="00814898"/>
    <w:rsid w:val="008157EE"/>
    <w:rsid w:val="00816D6C"/>
    <w:rsid w:val="0081738F"/>
    <w:rsid w:val="008219DA"/>
    <w:rsid w:val="00822718"/>
    <w:rsid w:val="00822A30"/>
    <w:rsid w:val="00822C93"/>
    <w:rsid w:val="00823F1B"/>
    <w:rsid w:val="00823F31"/>
    <w:rsid w:val="008243F0"/>
    <w:rsid w:val="0082456F"/>
    <w:rsid w:val="008247F4"/>
    <w:rsid w:val="0082571E"/>
    <w:rsid w:val="00825833"/>
    <w:rsid w:val="0083375C"/>
    <w:rsid w:val="00833F59"/>
    <w:rsid w:val="00835AE3"/>
    <w:rsid w:val="00835EF7"/>
    <w:rsid w:val="0084075F"/>
    <w:rsid w:val="00840EEB"/>
    <w:rsid w:val="008418F4"/>
    <w:rsid w:val="008421FA"/>
    <w:rsid w:val="00842CCC"/>
    <w:rsid w:val="00843384"/>
    <w:rsid w:val="00843389"/>
    <w:rsid w:val="00843814"/>
    <w:rsid w:val="008447C6"/>
    <w:rsid w:val="0084549B"/>
    <w:rsid w:val="008456BB"/>
    <w:rsid w:val="0084668D"/>
    <w:rsid w:val="00846F47"/>
    <w:rsid w:val="0084731A"/>
    <w:rsid w:val="00847E9C"/>
    <w:rsid w:val="00850C02"/>
    <w:rsid w:val="00851B37"/>
    <w:rsid w:val="00851B3B"/>
    <w:rsid w:val="00852171"/>
    <w:rsid w:val="00852FA7"/>
    <w:rsid w:val="00854551"/>
    <w:rsid w:val="00855B85"/>
    <w:rsid w:val="00864DA7"/>
    <w:rsid w:val="008651AD"/>
    <w:rsid w:val="00865562"/>
    <w:rsid w:val="008664AD"/>
    <w:rsid w:val="008676C8"/>
    <w:rsid w:val="00871C2D"/>
    <w:rsid w:val="00872D86"/>
    <w:rsid w:val="008744F5"/>
    <w:rsid w:val="00881801"/>
    <w:rsid w:val="008819BC"/>
    <w:rsid w:val="008822A0"/>
    <w:rsid w:val="008868DD"/>
    <w:rsid w:val="00886B38"/>
    <w:rsid w:val="00887E45"/>
    <w:rsid w:val="00891C5A"/>
    <w:rsid w:val="00894AA8"/>
    <w:rsid w:val="00896E02"/>
    <w:rsid w:val="0089785C"/>
    <w:rsid w:val="008A3262"/>
    <w:rsid w:val="008A3FFD"/>
    <w:rsid w:val="008A48CC"/>
    <w:rsid w:val="008A62B5"/>
    <w:rsid w:val="008A647C"/>
    <w:rsid w:val="008A65B3"/>
    <w:rsid w:val="008A7173"/>
    <w:rsid w:val="008A7E39"/>
    <w:rsid w:val="008B0821"/>
    <w:rsid w:val="008B2FF4"/>
    <w:rsid w:val="008B4416"/>
    <w:rsid w:val="008B585C"/>
    <w:rsid w:val="008B638A"/>
    <w:rsid w:val="008C03A0"/>
    <w:rsid w:val="008C2F88"/>
    <w:rsid w:val="008C5140"/>
    <w:rsid w:val="008C6A8E"/>
    <w:rsid w:val="008C6C3C"/>
    <w:rsid w:val="008D1543"/>
    <w:rsid w:val="008D2134"/>
    <w:rsid w:val="008D5210"/>
    <w:rsid w:val="008D605F"/>
    <w:rsid w:val="008D6061"/>
    <w:rsid w:val="008D6513"/>
    <w:rsid w:val="008D711C"/>
    <w:rsid w:val="008E1729"/>
    <w:rsid w:val="008E1B77"/>
    <w:rsid w:val="008E2B55"/>
    <w:rsid w:val="008E3B39"/>
    <w:rsid w:val="008E5D4D"/>
    <w:rsid w:val="008E7C6C"/>
    <w:rsid w:val="008E7D89"/>
    <w:rsid w:val="008F4175"/>
    <w:rsid w:val="008F4625"/>
    <w:rsid w:val="008F4D90"/>
    <w:rsid w:val="008F62F4"/>
    <w:rsid w:val="008F7F88"/>
    <w:rsid w:val="00902053"/>
    <w:rsid w:val="00902476"/>
    <w:rsid w:val="00904649"/>
    <w:rsid w:val="00906387"/>
    <w:rsid w:val="0091040E"/>
    <w:rsid w:val="00910B42"/>
    <w:rsid w:val="00912B92"/>
    <w:rsid w:val="00913AE1"/>
    <w:rsid w:val="00916FAD"/>
    <w:rsid w:val="00917147"/>
    <w:rsid w:val="0091764E"/>
    <w:rsid w:val="00917D33"/>
    <w:rsid w:val="00921A32"/>
    <w:rsid w:val="0092310A"/>
    <w:rsid w:val="00926263"/>
    <w:rsid w:val="00931CFA"/>
    <w:rsid w:val="0093280D"/>
    <w:rsid w:val="0093628D"/>
    <w:rsid w:val="009369AE"/>
    <w:rsid w:val="00937590"/>
    <w:rsid w:val="00937F69"/>
    <w:rsid w:val="009400CD"/>
    <w:rsid w:val="009406E5"/>
    <w:rsid w:val="00945F6C"/>
    <w:rsid w:val="0094623F"/>
    <w:rsid w:val="00947C9F"/>
    <w:rsid w:val="00952682"/>
    <w:rsid w:val="00952ADB"/>
    <w:rsid w:val="009556B3"/>
    <w:rsid w:val="009578E5"/>
    <w:rsid w:val="00957F64"/>
    <w:rsid w:val="00960FB3"/>
    <w:rsid w:val="0096158D"/>
    <w:rsid w:val="00962E81"/>
    <w:rsid w:val="0096336C"/>
    <w:rsid w:val="00964355"/>
    <w:rsid w:val="00965A98"/>
    <w:rsid w:val="00967762"/>
    <w:rsid w:val="00970212"/>
    <w:rsid w:val="0097143E"/>
    <w:rsid w:val="009718CC"/>
    <w:rsid w:val="00973EFC"/>
    <w:rsid w:val="00975CC0"/>
    <w:rsid w:val="009770DE"/>
    <w:rsid w:val="00980170"/>
    <w:rsid w:val="00984493"/>
    <w:rsid w:val="00991311"/>
    <w:rsid w:val="00993B6E"/>
    <w:rsid w:val="00993C3F"/>
    <w:rsid w:val="00997766"/>
    <w:rsid w:val="00997B2A"/>
    <w:rsid w:val="009A01FD"/>
    <w:rsid w:val="009A20B0"/>
    <w:rsid w:val="009A3702"/>
    <w:rsid w:val="009A5D33"/>
    <w:rsid w:val="009A7E4A"/>
    <w:rsid w:val="009B1CAE"/>
    <w:rsid w:val="009B4EE8"/>
    <w:rsid w:val="009B59D8"/>
    <w:rsid w:val="009B7BC0"/>
    <w:rsid w:val="009C00B5"/>
    <w:rsid w:val="009C0BF2"/>
    <w:rsid w:val="009C0C3F"/>
    <w:rsid w:val="009C0F0C"/>
    <w:rsid w:val="009C5FD8"/>
    <w:rsid w:val="009C62D0"/>
    <w:rsid w:val="009C630B"/>
    <w:rsid w:val="009C6F83"/>
    <w:rsid w:val="009D0AA8"/>
    <w:rsid w:val="009D3100"/>
    <w:rsid w:val="009D3EBC"/>
    <w:rsid w:val="009D67AA"/>
    <w:rsid w:val="009D78C9"/>
    <w:rsid w:val="009E09D2"/>
    <w:rsid w:val="009E0ABE"/>
    <w:rsid w:val="009E0F7B"/>
    <w:rsid w:val="009E184F"/>
    <w:rsid w:val="009E4818"/>
    <w:rsid w:val="009E596F"/>
    <w:rsid w:val="009E5F57"/>
    <w:rsid w:val="009E64A9"/>
    <w:rsid w:val="009E7392"/>
    <w:rsid w:val="009E7AB9"/>
    <w:rsid w:val="009F3C78"/>
    <w:rsid w:val="009F5EBD"/>
    <w:rsid w:val="009F65C1"/>
    <w:rsid w:val="009F74CD"/>
    <w:rsid w:val="009F7F83"/>
    <w:rsid w:val="00A00241"/>
    <w:rsid w:val="00A00464"/>
    <w:rsid w:val="00A021C6"/>
    <w:rsid w:val="00A055D5"/>
    <w:rsid w:val="00A05F13"/>
    <w:rsid w:val="00A10D76"/>
    <w:rsid w:val="00A10E1D"/>
    <w:rsid w:val="00A1142F"/>
    <w:rsid w:val="00A13ACD"/>
    <w:rsid w:val="00A13D26"/>
    <w:rsid w:val="00A13FCD"/>
    <w:rsid w:val="00A14E4F"/>
    <w:rsid w:val="00A15956"/>
    <w:rsid w:val="00A20A5E"/>
    <w:rsid w:val="00A2236C"/>
    <w:rsid w:val="00A2365C"/>
    <w:rsid w:val="00A2421D"/>
    <w:rsid w:val="00A2523A"/>
    <w:rsid w:val="00A2582A"/>
    <w:rsid w:val="00A27CD0"/>
    <w:rsid w:val="00A32A49"/>
    <w:rsid w:val="00A347B3"/>
    <w:rsid w:val="00A34825"/>
    <w:rsid w:val="00A354E8"/>
    <w:rsid w:val="00A3555E"/>
    <w:rsid w:val="00A402FB"/>
    <w:rsid w:val="00A407A8"/>
    <w:rsid w:val="00A416A5"/>
    <w:rsid w:val="00A43279"/>
    <w:rsid w:val="00A45148"/>
    <w:rsid w:val="00A4525D"/>
    <w:rsid w:val="00A474A5"/>
    <w:rsid w:val="00A50D1A"/>
    <w:rsid w:val="00A521A1"/>
    <w:rsid w:val="00A56DD8"/>
    <w:rsid w:val="00A576EC"/>
    <w:rsid w:val="00A616A1"/>
    <w:rsid w:val="00A63A48"/>
    <w:rsid w:val="00A63E64"/>
    <w:rsid w:val="00A641D6"/>
    <w:rsid w:val="00A64CF7"/>
    <w:rsid w:val="00A6547B"/>
    <w:rsid w:val="00A67AFD"/>
    <w:rsid w:val="00A7034E"/>
    <w:rsid w:val="00A72641"/>
    <w:rsid w:val="00A742F9"/>
    <w:rsid w:val="00A813AF"/>
    <w:rsid w:val="00A81F73"/>
    <w:rsid w:val="00A8252F"/>
    <w:rsid w:val="00A82564"/>
    <w:rsid w:val="00A85207"/>
    <w:rsid w:val="00A86ACC"/>
    <w:rsid w:val="00A871D0"/>
    <w:rsid w:val="00A872C8"/>
    <w:rsid w:val="00A875F8"/>
    <w:rsid w:val="00A87E42"/>
    <w:rsid w:val="00A906F1"/>
    <w:rsid w:val="00A91409"/>
    <w:rsid w:val="00A92448"/>
    <w:rsid w:val="00A944F2"/>
    <w:rsid w:val="00AA176A"/>
    <w:rsid w:val="00AA6108"/>
    <w:rsid w:val="00AB04AB"/>
    <w:rsid w:val="00AB06A5"/>
    <w:rsid w:val="00AB1947"/>
    <w:rsid w:val="00AB23BD"/>
    <w:rsid w:val="00AB2BDE"/>
    <w:rsid w:val="00AB2C80"/>
    <w:rsid w:val="00AB3D16"/>
    <w:rsid w:val="00AB54A7"/>
    <w:rsid w:val="00AB58AF"/>
    <w:rsid w:val="00AB78BC"/>
    <w:rsid w:val="00AC0839"/>
    <w:rsid w:val="00AC3411"/>
    <w:rsid w:val="00AC5068"/>
    <w:rsid w:val="00AC7B7B"/>
    <w:rsid w:val="00AD2940"/>
    <w:rsid w:val="00AD2A49"/>
    <w:rsid w:val="00AD3245"/>
    <w:rsid w:val="00AD5686"/>
    <w:rsid w:val="00AD586E"/>
    <w:rsid w:val="00AD699A"/>
    <w:rsid w:val="00AE2B37"/>
    <w:rsid w:val="00AE3E99"/>
    <w:rsid w:val="00AE3F5C"/>
    <w:rsid w:val="00AE6697"/>
    <w:rsid w:val="00AF01B2"/>
    <w:rsid w:val="00AF06E7"/>
    <w:rsid w:val="00AF0E30"/>
    <w:rsid w:val="00AF3B3E"/>
    <w:rsid w:val="00AF4FF1"/>
    <w:rsid w:val="00AF509B"/>
    <w:rsid w:val="00AF5CB4"/>
    <w:rsid w:val="00B003F3"/>
    <w:rsid w:val="00B00A6F"/>
    <w:rsid w:val="00B00F21"/>
    <w:rsid w:val="00B01A89"/>
    <w:rsid w:val="00B01F40"/>
    <w:rsid w:val="00B02F45"/>
    <w:rsid w:val="00B04360"/>
    <w:rsid w:val="00B056D9"/>
    <w:rsid w:val="00B07255"/>
    <w:rsid w:val="00B07319"/>
    <w:rsid w:val="00B112B9"/>
    <w:rsid w:val="00B12926"/>
    <w:rsid w:val="00B12CE0"/>
    <w:rsid w:val="00B142F3"/>
    <w:rsid w:val="00B15168"/>
    <w:rsid w:val="00B15A82"/>
    <w:rsid w:val="00B15E32"/>
    <w:rsid w:val="00B21453"/>
    <w:rsid w:val="00B22A8C"/>
    <w:rsid w:val="00B239E0"/>
    <w:rsid w:val="00B242CA"/>
    <w:rsid w:val="00B2624D"/>
    <w:rsid w:val="00B308D5"/>
    <w:rsid w:val="00B31FB2"/>
    <w:rsid w:val="00B343C6"/>
    <w:rsid w:val="00B37591"/>
    <w:rsid w:val="00B429CA"/>
    <w:rsid w:val="00B431A2"/>
    <w:rsid w:val="00B4379F"/>
    <w:rsid w:val="00B43AB5"/>
    <w:rsid w:val="00B43E43"/>
    <w:rsid w:val="00B43E75"/>
    <w:rsid w:val="00B54CD2"/>
    <w:rsid w:val="00B54CE4"/>
    <w:rsid w:val="00B60B18"/>
    <w:rsid w:val="00B61413"/>
    <w:rsid w:val="00B61F9D"/>
    <w:rsid w:val="00B64F6A"/>
    <w:rsid w:val="00B6582B"/>
    <w:rsid w:val="00B6642F"/>
    <w:rsid w:val="00B708EB"/>
    <w:rsid w:val="00B70A2F"/>
    <w:rsid w:val="00B70C6D"/>
    <w:rsid w:val="00B736A1"/>
    <w:rsid w:val="00B77483"/>
    <w:rsid w:val="00B802DA"/>
    <w:rsid w:val="00B819E5"/>
    <w:rsid w:val="00B82EBD"/>
    <w:rsid w:val="00B8364D"/>
    <w:rsid w:val="00B901C9"/>
    <w:rsid w:val="00B934F0"/>
    <w:rsid w:val="00B95407"/>
    <w:rsid w:val="00B95913"/>
    <w:rsid w:val="00B95993"/>
    <w:rsid w:val="00B95B03"/>
    <w:rsid w:val="00B96BC5"/>
    <w:rsid w:val="00BA158C"/>
    <w:rsid w:val="00BA1BB9"/>
    <w:rsid w:val="00BA75A6"/>
    <w:rsid w:val="00BB0DE1"/>
    <w:rsid w:val="00BB1685"/>
    <w:rsid w:val="00BB19EF"/>
    <w:rsid w:val="00BB2116"/>
    <w:rsid w:val="00BB2FE0"/>
    <w:rsid w:val="00BB33D6"/>
    <w:rsid w:val="00BB5A49"/>
    <w:rsid w:val="00BB5BD6"/>
    <w:rsid w:val="00BB722C"/>
    <w:rsid w:val="00BB72B1"/>
    <w:rsid w:val="00BC10BD"/>
    <w:rsid w:val="00BC1292"/>
    <w:rsid w:val="00BC2967"/>
    <w:rsid w:val="00BD234B"/>
    <w:rsid w:val="00BD2991"/>
    <w:rsid w:val="00BD5987"/>
    <w:rsid w:val="00BD60D9"/>
    <w:rsid w:val="00BD72E0"/>
    <w:rsid w:val="00BE07D7"/>
    <w:rsid w:val="00BE0A86"/>
    <w:rsid w:val="00BE1AD6"/>
    <w:rsid w:val="00BE4417"/>
    <w:rsid w:val="00BE63FB"/>
    <w:rsid w:val="00BE701D"/>
    <w:rsid w:val="00BE79E1"/>
    <w:rsid w:val="00BE7E7A"/>
    <w:rsid w:val="00BF06D0"/>
    <w:rsid w:val="00BF146D"/>
    <w:rsid w:val="00BF2F6F"/>
    <w:rsid w:val="00BF3040"/>
    <w:rsid w:val="00BF3F7A"/>
    <w:rsid w:val="00C00935"/>
    <w:rsid w:val="00C01B84"/>
    <w:rsid w:val="00C0231F"/>
    <w:rsid w:val="00C054DB"/>
    <w:rsid w:val="00C071BA"/>
    <w:rsid w:val="00C072F0"/>
    <w:rsid w:val="00C07B58"/>
    <w:rsid w:val="00C11F7B"/>
    <w:rsid w:val="00C14837"/>
    <w:rsid w:val="00C14DA7"/>
    <w:rsid w:val="00C16A83"/>
    <w:rsid w:val="00C17291"/>
    <w:rsid w:val="00C2009D"/>
    <w:rsid w:val="00C21A3B"/>
    <w:rsid w:val="00C24D76"/>
    <w:rsid w:val="00C30284"/>
    <w:rsid w:val="00C3053A"/>
    <w:rsid w:val="00C31D22"/>
    <w:rsid w:val="00C32E80"/>
    <w:rsid w:val="00C333D8"/>
    <w:rsid w:val="00C339E1"/>
    <w:rsid w:val="00C34F16"/>
    <w:rsid w:val="00C3563E"/>
    <w:rsid w:val="00C36DFA"/>
    <w:rsid w:val="00C37581"/>
    <w:rsid w:val="00C37F73"/>
    <w:rsid w:val="00C40976"/>
    <w:rsid w:val="00C4097E"/>
    <w:rsid w:val="00C419FA"/>
    <w:rsid w:val="00C43429"/>
    <w:rsid w:val="00C439BA"/>
    <w:rsid w:val="00C445AC"/>
    <w:rsid w:val="00C44D83"/>
    <w:rsid w:val="00C45953"/>
    <w:rsid w:val="00C50522"/>
    <w:rsid w:val="00C50994"/>
    <w:rsid w:val="00C52018"/>
    <w:rsid w:val="00C52480"/>
    <w:rsid w:val="00C52ACF"/>
    <w:rsid w:val="00C606C6"/>
    <w:rsid w:val="00C61EAA"/>
    <w:rsid w:val="00C61F05"/>
    <w:rsid w:val="00C628A3"/>
    <w:rsid w:val="00C633F4"/>
    <w:rsid w:val="00C63A57"/>
    <w:rsid w:val="00C640FB"/>
    <w:rsid w:val="00C646A1"/>
    <w:rsid w:val="00C66545"/>
    <w:rsid w:val="00C67DAF"/>
    <w:rsid w:val="00C70C72"/>
    <w:rsid w:val="00C71312"/>
    <w:rsid w:val="00C7188C"/>
    <w:rsid w:val="00C72FD9"/>
    <w:rsid w:val="00C7452C"/>
    <w:rsid w:val="00C749E2"/>
    <w:rsid w:val="00C75976"/>
    <w:rsid w:val="00C77A7A"/>
    <w:rsid w:val="00C77EC0"/>
    <w:rsid w:val="00C80084"/>
    <w:rsid w:val="00C80931"/>
    <w:rsid w:val="00C85977"/>
    <w:rsid w:val="00C90284"/>
    <w:rsid w:val="00C91296"/>
    <w:rsid w:val="00C91F51"/>
    <w:rsid w:val="00C953EF"/>
    <w:rsid w:val="00C973C0"/>
    <w:rsid w:val="00C9781B"/>
    <w:rsid w:val="00C979FD"/>
    <w:rsid w:val="00C97FA4"/>
    <w:rsid w:val="00CA2433"/>
    <w:rsid w:val="00CA34D1"/>
    <w:rsid w:val="00CA68A9"/>
    <w:rsid w:val="00CB2F98"/>
    <w:rsid w:val="00CB4249"/>
    <w:rsid w:val="00CB67CB"/>
    <w:rsid w:val="00CB74BC"/>
    <w:rsid w:val="00CB7851"/>
    <w:rsid w:val="00CC0B90"/>
    <w:rsid w:val="00CC7659"/>
    <w:rsid w:val="00CD217C"/>
    <w:rsid w:val="00CD243D"/>
    <w:rsid w:val="00CD33CA"/>
    <w:rsid w:val="00CD47BE"/>
    <w:rsid w:val="00CE13ED"/>
    <w:rsid w:val="00CE323C"/>
    <w:rsid w:val="00CE41BE"/>
    <w:rsid w:val="00CE47D8"/>
    <w:rsid w:val="00CE4917"/>
    <w:rsid w:val="00CE5333"/>
    <w:rsid w:val="00CE6732"/>
    <w:rsid w:val="00CE6EE4"/>
    <w:rsid w:val="00CE7115"/>
    <w:rsid w:val="00CE79A6"/>
    <w:rsid w:val="00CE7C8C"/>
    <w:rsid w:val="00CF088D"/>
    <w:rsid w:val="00CF0AB5"/>
    <w:rsid w:val="00CF2556"/>
    <w:rsid w:val="00CF3EA4"/>
    <w:rsid w:val="00CF4975"/>
    <w:rsid w:val="00CF6FCE"/>
    <w:rsid w:val="00CF7788"/>
    <w:rsid w:val="00D01867"/>
    <w:rsid w:val="00D0348F"/>
    <w:rsid w:val="00D04614"/>
    <w:rsid w:val="00D06701"/>
    <w:rsid w:val="00D110F3"/>
    <w:rsid w:val="00D14094"/>
    <w:rsid w:val="00D15225"/>
    <w:rsid w:val="00D2018B"/>
    <w:rsid w:val="00D21AF8"/>
    <w:rsid w:val="00D260E5"/>
    <w:rsid w:val="00D26CD7"/>
    <w:rsid w:val="00D31BE5"/>
    <w:rsid w:val="00D3352A"/>
    <w:rsid w:val="00D33BD1"/>
    <w:rsid w:val="00D3436D"/>
    <w:rsid w:val="00D37504"/>
    <w:rsid w:val="00D426BD"/>
    <w:rsid w:val="00D4298E"/>
    <w:rsid w:val="00D43239"/>
    <w:rsid w:val="00D50D5D"/>
    <w:rsid w:val="00D50E0B"/>
    <w:rsid w:val="00D51115"/>
    <w:rsid w:val="00D511C1"/>
    <w:rsid w:val="00D51409"/>
    <w:rsid w:val="00D51789"/>
    <w:rsid w:val="00D5399F"/>
    <w:rsid w:val="00D57EDA"/>
    <w:rsid w:val="00D60123"/>
    <w:rsid w:val="00D6167D"/>
    <w:rsid w:val="00D61F26"/>
    <w:rsid w:val="00D622C1"/>
    <w:rsid w:val="00D622C2"/>
    <w:rsid w:val="00D62A39"/>
    <w:rsid w:val="00D635AF"/>
    <w:rsid w:val="00D63B93"/>
    <w:rsid w:val="00D6647D"/>
    <w:rsid w:val="00D66D12"/>
    <w:rsid w:val="00D7252B"/>
    <w:rsid w:val="00D72FE9"/>
    <w:rsid w:val="00D73C99"/>
    <w:rsid w:val="00D750AD"/>
    <w:rsid w:val="00D76B13"/>
    <w:rsid w:val="00D76EAB"/>
    <w:rsid w:val="00D7759C"/>
    <w:rsid w:val="00D77E4D"/>
    <w:rsid w:val="00D80B14"/>
    <w:rsid w:val="00D85D45"/>
    <w:rsid w:val="00D900B7"/>
    <w:rsid w:val="00D90C31"/>
    <w:rsid w:val="00D90E2B"/>
    <w:rsid w:val="00D947B5"/>
    <w:rsid w:val="00D96770"/>
    <w:rsid w:val="00D968D3"/>
    <w:rsid w:val="00DA43CA"/>
    <w:rsid w:val="00DA4D91"/>
    <w:rsid w:val="00DA667D"/>
    <w:rsid w:val="00DB0149"/>
    <w:rsid w:val="00DB2DBB"/>
    <w:rsid w:val="00DB51B2"/>
    <w:rsid w:val="00DB77FC"/>
    <w:rsid w:val="00DC4A24"/>
    <w:rsid w:val="00DC4E66"/>
    <w:rsid w:val="00DC6E20"/>
    <w:rsid w:val="00DC7005"/>
    <w:rsid w:val="00DC7A36"/>
    <w:rsid w:val="00DC7B49"/>
    <w:rsid w:val="00DD0F3C"/>
    <w:rsid w:val="00DD1756"/>
    <w:rsid w:val="00DD348B"/>
    <w:rsid w:val="00DD3E7D"/>
    <w:rsid w:val="00DD523A"/>
    <w:rsid w:val="00DD67EA"/>
    <w:rsid w:val="00DD6EA8"/>
    <w:rsid w:val="00DD7BA3"/>
    <w:rsid w:val="00DE2A4C"/>
    <w:rsid w:val="00DE743C"/>
    <w:rsid w:val="00DF1A77"/>
    <w:rsid w:val="00DF3B67"/>
    <w:rsid w:val="00DF5011"/>
    <w:rsid w:val="00DF5EC3"/>
    <w:rsid w:val="00DF6B51"/>
    <w:rsid w:val="00DF705E"/>
    <w:rsid w:val="00DF795A"/>
    <w:rsid w:val="00E0354A"/>
    <w:rsid w:val="00E036E6"/>
    <w:rsid w:val="00E05F62"/>
    <w:rsid w:val="00E06C90"/>
    <w:rsid w:val="00E06D4E"/>
    <w:rsid w:val="00E07D42"/>
    <w:rsid w:val="00E07E7B"/>
    <w:rsid w:val="00E10933"/>
    <w:rsid w:val="00E1138E"/>
    <w:rsid w:val="00E12AB8"/>
    <w:rsid w:val="00E13733"/>
    <w:rsid w:val="00E16CC0"/>
    <w:rsid w:val="00E21C49"/>
    <w:rsid w:val="00E22241"/>
    <w:rsid w:val="00E22D0B"/>
    <w:rsid w:val="00E261DF"/>
    <w:rsid w:val="00E27918"/>
    <w:rsid w:val="00E27DFA"/>
    <w:rsid w:val="00E30F4A"/>
    <w:rsid w:val="00E33C53"/>
    <w:rsid w:val="00E33DE9"/>
    <w:rsid w:val="00E35413"/>
    <w:rsid w:val="00E3646C"/>
    <w:rsid w:val="00E37341"/>
    <w:rsid w:val="00E4057F"/>
    <w:rsid w:val="00E41553"/>
    <w:rsid w:val="00E5017E"/>
    <w:rsid w:val="00E5142D"/>
    <w:rsid w:val="00E54F0E"/>
    <w:rsid w:val="00E557F6"/>
    <w:rsid w:val="00E5592E"/>
    <w:rsid w:val="00E563AB"/>
    <w:rsid w:val="00E61DAB"/>
    <w:rsid w:val="00E66266"/>
    <w:rsid w:val="00E66F62"/>
    <w:rsid w:val="00E672A4"/>
    <w:rsid w:val="00E7194C"/>
    <w:rsid w:val="00E76F59"/>
    <w:rsid w:val="00E775A2"/>
    <w:rsid w:val="00E775EE"/>
    <w:rsid w:val="00E802BC"/>
    <w:rsid w:val="00E810DE"/>
    <w:rsid w:val="00E81FE8"/>
    <w:rsid w:val="00E83756"/>
    <w:rsid w:val="00E840F7"/>
    <w:rsid w:val="00E84112"/>
    <w:rsid w:val="00E842E6"/>
    <w:rsid w:val="00E8466F"/>
    <w:rsid w:val="00E85072"/>
    <w:rsid w:val="00E85EFF"/>
    <w:rsid w:val="00E906F6"/>
    <w:rsid w:val="00E91EDF"/>
    <w:rsid w:val="00E9509A"/>
    <w:rsid w:val="00E97D58"/>
    <w:rsid w:val="00EA16DA"/>
    <w:rsid w:val="00EA3272"/>
    <w:rsid w:val="00EA4884"/>
    <w:rsid w:val="00EA4D41"/>
    <w:rsid w:val="00EB47E7"/>
    <w:rsid w:val="00EB4EE7"/>
    <w:rsid w:val="00EB53F7"/>
    <w:rsid w:val="00EB60A1"/>
    <w:rsid w:val="00EC07D7"/>
    <w:rsid w:val="00EC4417"/>
    <w:rsid w:val="00EC6CE4"/>
    <w:rsid w:val="00EC7BF2"/>
    <w:rsid w:val="00ED1974"/>
    <w:rsid w:val="00ED2E41"/>
    <w:rsid w:val="00ED4A28"/>
    <w:rsid w:val="00EE0D2C"/>
    <w:rsid w:val="00EE2C56"/>
    <w:rsid w:val="00EE3F79"/>
    <w:rsid w:val="00EE4F80"/>
    <w:rsid w:val="00EE5B1E"/>
    <w:rsid w:val="00EE7A87"/>
    <w:rsid w:val="00EE7E3E"/>
    <w:rsid w:val="00EF145A"/>
    <w:rsid w:val="00EF14BF"/>
    <w:rsid w:val="00EF31B3"/>
    <w:rsid w:val="00EF45EC"/>
    <w:rsid w:val="00EF510A"/>
    <w:rsid w:val="00EF70E0"/>
    <w:rsid w:val="00F01098"/>
    <w:rsid w:val="00F015FA"/>
    <w:rsid w:val="00F01975"/>
    <w:rsid w:val="00F03B90"/>
    <w:rsid w:val="00F11D5A"/>
    <w:rsid w:val="00F12523"/>
    <w:rsid w:val="00F13BAF"/>
    <w:rsid w:val="00F14135"/>
    <w:rsid w:val="00F15A0B"/>
    <w:rsid w:val="00F16EE1"/>
    <w:rsid w:val="00F22FAD"/>
    <w:rsid w:val="00F2488B"/>
    <w:rsid w:val="00F25870"/>
    <w:rsid w:val="00F2645C"/>
    <w:rsid w:val="00F2796F"/>
    <w:rsid w:val="00F30A38"/>
    <w:rsid w:val="00F36772"/>
    <w:rsid w:val="00F36C5E"/>
    <w:rsid w:val="00F43865"/>
    <w:rsid w:val="00F443BF"/>
    <w:rsid w:val="00F44DE0"/>
    <w:rsid w:val="00F44DEA"/>
    <w:rsid w:val="00F472F6"/>
    <w:rsid w:val="00F50915"/>
    <w:rsid w:val="00F510A1"/>
    <w:rsid w:val="00F519A7"/>
    <w:rsid w:val="00F53A48"/>
    <w:rsid w:val="00F556DB"/>
    <w:rsid w:val="00F61947"/>
    <w:rsid w:val="00F61AA9"/>
    <w:rsid w:val="00F63BDC"/>
    <w:rsid w:val="00F64187"/>
    <w:rsid w:val="00F65C68"/>
    <w:rsid w:val="00F665CB"/>
    <w:rsid w:val="00F66D35"/>
    <w:rsid w:val="00F67142"/>
    <w:rsid w:val="00F67F42"/>
    <w:rsid w:val="00F70090"/>
    <w:rsid w:val="00F72E40"/>
    <w:rsid w:val="00F738EB"/>
    <w:rsid w:val="00F752E3"/>
    <w:rsid w:val="00F7666B"/>
    <w:rsid w:val="00F80A9F"/>
    <w:rsid w:val="00F850DE"/>
    <w:rsid w:val="00F87262"/>
    <w:rsid w:val="00F9117E"/>
    <w:rsid w:val="00F932D3"/>
    <w:rsid w:val="00F934B5"/>
    <w:rsid w:val="00F941C2"/>
    <w:rsid w:val="00F9428C"/>
    <w:rsid w:val="00F95ACE"/>
    <w:rsid w:val="00F96633"/>
    <w:rsid w:val="00FA1308"/>
    <w:rsid w:val="00FA48A9"/>
    <w:rsid w:val="00FA6E67"/>
    <w:rsid w:val="00FB2393"/>
    <w:rsid w:val="00FB2A13"/>
    <w:rsid w:val="00FB2BF2"/>
    <w:rsid w:val="00FB3423"/>
    <w:rsid w:val="00FB38F0"/>
    <w:rsid w:val="00FB3E4C"/>
    <w:rsid w:val="00FB5543"/>
    <w:rsid w:val="00FB5A88"/>
    <w:rsid w:val="00FB783D"/>
    <w:rsid w:val="00FC03CD"/>
    <w:rsid w:val="00FC101C"/>
    <w:rsid w:val="00FC11DE"/>
    <w:rsid w:val="00FC1D52"/>
    <w:rsid w:val="00FC4A13"/>
    <w:rsid w:val="00FC569A"/>
    <w:rsid w:val="00FC5C40"/>
    <w:rsid w:val="00FC6BE8"/>
    <w:rsid w:val="00FC6E4D"/>
    <w:rsid w:val="00FD1193"/>
    <w:rsid w:val="00FD29B8"/>
    <w:rsid w:val="00FD4983"/>
    <w:rsid w:val="00FD4FAD"/>
    <w:rsid w:val="00FD63D0"/>
    <w:rsid w:val="00FD6765"/>
    <w:rsid w:val="00FE0679"/>
    <w:rsid w:val="00FE077A"/>
    <w:rsid w:val="00FE456A"/>
    <w:rsid w:val="00FE4906"/>
    <w:rsid w:val="00FE57E3"/>
    <w:rsid w:val="00FE5D58"/>
    <w:rsid w:val="00FE7268"/>
    <w:rsid w:val="00FE7A8E"/>
    <w:rsid w:val="00FF117D"/>
    <w:rsid w:val="00FF12CA"/>
    <w:rsid w:val="00FF2E0B"/>
    <w:rsid w:val="00FF3323"/>
    <w:rsid w:val="00FF3BC2"/>
    <w:rsid w:val="00FF411B"/>
    <w:rsid w:val="00FF45A6"/>
    <w:rsid w:val="00FF6748"/>
    <w:rsid w:val="00FF6959"/>
    <w:rsid w:val="00FF719B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80"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921A32"/>
    <w:pPr>
      <w:spacing w:after="240"/>
      <w:jc w:val="center"/>
      <w:outlineLvl w:val="0"/>
    </w:pPr>
    <w:rPr>
      <w:rFonts w:eastAsia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095"/>
    <w:pPr>
      <w:numPr>
        <w:numId w:val="12"/>
      </w:numPr>
      <w:spacing w:after="240"/>
      <w:outlineLvl w:val="1"/>
    </w:pPr>
    <w:rPr>
      <w:rFonts w:eastAsia="Times New Roman"/>
      <w:b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921A32"/>
    <w:pPr>
      <w:numPr>
        <w:numId w:val="13"/>
      </w:numPr>
      <w:spacing w:after="240"/>
      <w:outlineLvl w:val="2"/>
    </w:pPr>
    <w:rPr>
      <w:rFonts w:eastAsia="Times New Roman"/>
      <w:b/>
      <w:sz w:val="24"/>
      <w:szCs w:val="24"/>
      <w:u w:val="single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947B5"/>
    <w:pPr>
      <w:numPr>
        <w:numId w:val="1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5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A47"/>
  </w:style>
  <w:style w:type="paragraph" w:styleId="Footer">
    <w:name w:val="footer"/>
    <w:basedOn w:val="Normal"/>
    <w:link w:val="FooterChar"/>
    <w:uiPriority w:val="99"/>
    <w:unhideWhenUsed/>
    <w:rsid w:val="00015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47"/>
  </w:style>
  <w:style w:type="character" w:customStyle="1" w:styleId="Heading1Char">
    <w:name w:val="Heading 1 Char"/>
    <w:basedOn w:val="DefaultParagraphFont"/>
    <w:link w:val="Heading1"/>
    <w:uiPriority w:val="9"/>
    <w:rsid w:val="00921A32"/>
    <w:rPr>
      <w:rFonts w:eastAsia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3095"/>
    <w:rPr>
      <w:rFonts w:eastAsia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1A32"/>
    <w:rPr>
      <w:rFonts w:eastAsia="Times New Roman"/>
      <w:b/>
      <w:sz w:val="24"/>
      <w:szCs w:val="24"/>
      <w:u w:val="single"/>
    </w:rPr>
  </w:style>
  <w:style w:type="paragraph" w:styleId="Title">
    <w:name w:val="Title"/>
    <w:next w:val="Normal"/>
    <w:link w:val="TitleChar"/>
    <w:uiPriority w:val="10"/>
    <w:qFormat/>
    <w:rsid w:val="00921A32"/>
    <w:pPr>
      <w:jc w:val="center"/>
    </w:pPr>
    <w:rPr>
      <w:rFonts w:eastAsia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21A32"/>
    <w:rPr>
      <w:rFonts w:eastAsia="Times New Roman"/>
      <w:b/>
      <w:sz w:val="24"/>
      <w:szCs w:val="24"/>
    </w:rPr>
  </w:style>
  <w:style w:type="character" w:styleId="Emphasis">
    <w:name w:val="Emphasis"/>
    <w:uiPriority w:val="20"/>
    <w:qFormat/>
    <w:rsid w:val="00171D32"/>
    <w:rPr>
      <w:b/>
    </w:rPr>
  </w:style>
  <w:style w:type="paragraph" w:customStyle="1" w:styleId="textindent">
    <w:name w:val="textindent"/>
    <w:basedOn w:val="Normal"/>
    <w:rsid w:val="00F65C68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F65C6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65C68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D12"/>
    <w:pPr>
      <w:spacing w:after="240"/>
      <w:jc w:val="center"/>
      <w:outlineLvl w:val="1"/>
    </w:pPr>
    <w:rPr>
      <w:rFonts w:eastAsia="Times New Roman"/>
      <w:b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66D12"/>
    <w:rPr>
      <w:rFonts w:eastAsia="Times New Roman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47B5"/>
    <w:rPr>
      <w:rFonts w:eastAsia="Times New Roman"/>
      <w:b/>
      <w:sz w:val="24"/>
      <w:szCs w:val="24"/>
      <w:u w:val="single"/>
    </w:rPr>
  </w:style>
  <w:style w:type="paragraph" w:customStyle="1" w:styleId="AllCapscenterjustified">
    <w:name w:val="All Caps center justified"/>
    <w:basedOn w:val="Normal"/>
    <w:qFormat/>
    <w:rsid w:val="00B056D9"/>
    <w:pPr>
      <w:jc w:val="center"/>
    </w:pPr>
    <w:rPr>
      <w:caps/>
    </w:rPr>
  </w:style>
  <w:style w:type="paragraph" w:customStyle="1" w:styleId="AllCapsleftjustified">
    <w:name w:val="All Caps left justified"/>
    <w:basedOn w:val="AllCapscenterjustified"/>
    <w:qFormat/>
    <w:rsid w:val="00B056D9"/>
    <w:pPr>
      <w:jc w:val="left"/>
    </w:pPr>
    <w:rPr>
      <w:lang w:bidi="en-US"/>
    </w:rPr>
  </w:style>
  <w:style w:type="paragraph" w:customStyle="1" w:styleId="AllCaps">
    <w:name w:val="All Caps"/>
    <w:basedOn w:val="Normal"/>
    <w:qFormat/>
    <w:rsid w:val="00B056D9"/>
    <w:rPr>
      <w:caps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7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770"/>
  </w:style>
  <w:style w:type="character" w:styleId="FootnoteReference">
    <w:name w:val="footnote reference"/>
    <w:basedOn w:val="DefaultParagraphFont"/>
    <w:uiPriority w:val="99"/>
    <w:semiHidden/>
    <w:unhideWhenUsed/>
    <w:rsid w:val="00D96770"/>
    <w:rPr>
      <w:vertAlign w:val="superscript"/>
    </w:rPr>
  </w:style>
  <w:style w:type="table" w:styleId="TableGrid">
    <w:name w:val="Table Grid"/>
    <w:basedOn w:val="TableNormal"/>
    <w:uiPriority w:val="59"/>
    <w:rsid w:val="006B4A8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9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25F5"/>
    <w:rPr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443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arline.Hong@usdoj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Lynch@usdoj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386F-DD0D-43D7-8FC8-1B2464C3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3513</Words>
  <Characters>20030</Characters>
  <Application>Microsoft Office Word</Application>
  <DocSecurity>4</DocSecurity>
  <Lines>166</Lines>
  <Paragraphs>46</Paragraphs>
  <ScaleCrop>false</ScaleCrop>
  <LinksUpToDate>false</LinksUpToDate>
  <CharactersWithSpaces>23497</CharactersWithSpaces>
  <SharedDoc>false</SharedDoc>
  <HLinks>
    <vt:vector size="18" baseType="variant"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mailto:Pearline.Hong@usdoj.gov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mailto:William.Lynch@usdoj.gov</vt:lpwstr>
      </vt:variant>
      <vt:variant>
        <vt:lpwstr/>
      </vt:variant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mailto:Matthew.Horwitz@usdoj.gov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2015-05-13T14:37:00Z</dcterms:created>
  <dcterms:modified xsi:type="dcterms:W3CDTF">2015-05-13T14:37:00Z</dcterms:modified>
</cp:coreProperties>
</file>