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6B" w:rsidRPr="009618DA" w:rsidRDefault="00A47A6B" w:rsidP="00A47A6B">
      <w:pPr>
        <w:jc w:val="center"/>
        <w:rPr>
          <w:b/>
          <w:sz w:val="24"/>
          <w:szCs w:val="24"/>
        </w:rPr>
      </w:pPr>
      <w:r>
        <w:rPr>
          <w:b/>
          <w:sz w:val="24"/>
          <w:szCs w:val="24"/>
        </w:rPr>
        <w:t xml:space="preserve">IN THE </w:t>
      </w:r>
      <w:r w:rsidRPr="009618DA">
        <w:rPr>
          <w:b/>
          <w:sz w:val="24"/>
          <w:szCs w:val="24"/>
        </w:rPr>
        <w:t>UNITED STATES DISTRICT COURT</w:t>
      </w:r>
    </w:p>
    <w:p w:rsidR="00A47A6B" w:rsidRPr="009618DA" w:rsidRDefault="00A47A6B" w:rsidP="00A47A6B">
      <w:pPr>
        <w:jc w:val="center"/>
        <w:rPr>
          <w:b/>
          <w:sz w:val="24"/>
          <w:szCs w:val="24"/>
        </w:rPr>
      </w:pPr>
      <w:r>
        <w:rPr>
          <w:b/>
          <w:sz w:val="24"/>
          <w:szCs w:val="24"/>
        </w:rPr>
        <w:t>FOR THE DISTRICT OF COLORADO</w:t>
      </w:r>
    </w:p>
    <w:p w:rsidR="00A47A6B" w:rsidRPr="009618DA" w:rsidRDefault="00A47A6B" w:rsidP="00A47A6B">
      <w:pPr>
        <w:jc w:val="center"/>
        <w:rPr>
          <w:sz w:val="24"/>
          <w:szCs w:val="24"/>
        </w:rPr>
      </w:pPr>
    </w:p>
    <w:p w:rsidR="00A47A6B" w:rsidRPr="00D51A4F" w:rsidRDefault="00A47A6B" w:rsidP="00A47A6B">
      <w:pPr>
        <w:rPr>
          <w:sz w:val="24"/>
          <w:szCs w:val="24"/>
        </w:rPr>
      </w:pPr>
      <w:r w:rsidRPr="00D51A4F">
        <w:rPr>
          <w:sz w:val="24"/>
          <w:szCs w:val="24"/>
        </w:rPr>
        <w:t>Civil Action No. 09-cv-02757-WYD-KMT</w:t>
      </w:r>
    </w:p>
    <w:p w:rsidR="00A47A6B" w:rsidRPr="00D51A4F" w:rsidRDefault="00A47A6B" w:rsidP="00A47A6B">
      <w:pPr>
        <w:rPr>
          <w:sz w:val="24"/>
          <w:szCs w:val="24"/>
        </w:rPr>
      </w:pPr>
    </w:p>
    <w:p w:rsidR="00A47A6B" w:rsidRPr="00D51A4F" w:rsidRDefault="00A47A6B" w:rsidP="00A47A6B">
      <w:pPr>
        <w:rPr>
          <w:sz w:val="24"/>
          <w:szCs w:val="24"/>
        </w:rPr>
      </w:pPr>
      <w:r w:rsidRPr="00D51A4F">
        <w:rPr>
          <w:sz w:val="24"/>
          <w:szCs w:val="24"/>
        </w:rPr>
        <w:t xml:space="preserve">COLORADO CROSS-DISABILITY COALITION, </w:t>
      </w:r>
      <w:r w:rsidRPr="00991236">
        <w:rPr>
          <w:i/>
          <w:sz w:val="24"/>
          <w:szCs w:val="24"/>
        </w:rPr>
        <w:t>et al</w:t>
      </w:r>
      <w:r w:rsidRPr="00D51A4F">
        <w:rPr>
          <w:sz w:val="24"/>
          <w:szCs w:val="24"/>
        </w:rPr>
        <w:t>.</w:t>
      </w:r>
    </w:p>
    <w:p w:rsidR="00A47A6B" w:rsidRPr="00D51A4F" w:rsidRDefault="00A47A6B" w:rsidP="00A47A6B">
      <w:pPr>
        <w:rPr>
          <w:sz w:val="24"/>
          <w:szCs w:val="24"/>
        </w:rPr>
      </w:pPr>
    </w:p>
    <w:p w:rsidR="00A47A6B" w:rsidRPr="00D51A4F" w:rsidRDefault="00A47A6B" w:rsidP="00A47A6B">
      <w:pPr>
        <w:rPr>
          <w:sz w:val="24"/>
          <w:szCs w:val="24"/>
        </w:rPr>
      </w:pPr>
      <w:r w:rsidRPr="00D51A4F">
        <w:rPr>
          <w:sz w:val="24"/>
          <w:szCs w:val="24"/>
        </w:rPr>
        <w:tab/>
        <w:t>Plaintiffs,</w:t>
      </w:r>
    </w:p>
    <w:p w:rsidR="00A47A6B" w:rsidRPr="00D51A4F" w:rsidRDefault="00A47A6B" w:rsidP="00A47A6B">
      <w:pPr>
        <w:rPr>
          <w:sz w:val="24"/>
          <w:szCs w:val="24"/>
        </w:rPr>
      </w:pPr>
    </w:p>
    <w:p w:rsidR="00A47A6B" w:rsidRPr="00D51A4F" w:rsidRDefault="00A47A6B" w:rsidP="00A47A6B">
      <w:pPr>
        <w:rPr>
          <w:sz w:val="24"/>
          <w:szCs w:val="24"/>
        </w:rPr>
      </w:pPr>
      <w:r w:rsidRPr="00D51A4F">
        <w:rPr>
          <w:sz w:val="24"/>
          <w:szCs w:val="24"/>
        </w:rPr>
        <w:t>v.</w:t>
      </w:r>
    </w:p>
    <w:p w:rsidR="00A47A6B" w:rsidRPr="00D51A4F" w:rsidRDefault="00A47A6B" w:rsidP="00A47A6B">
      <w:pPr>
        <w:rPr>
          <w:sz w:val="24"/>
          <w:szCs w:val="24"/>
        </w:rPr>
      </w:pPr>
    </w:p>
    <w:p w:rsidR="00A47A6B" w:rsidRPr="00D51A4F" w:rsidRDefault="00A47A6B" w:rsidP="00A47A6B">
      <w:pPr>
        <w:rPr>
          <w:sz w:val="24"/>
          <w:szCs w:val="24"/>
        </w:rPr>
      </w:pPr>
      <w:r w:rsidRPr="00D51A4F">
        <w:rPr>
          <w:sz w:val="24"/>
          <w:szCs w:val="24"/>
        </w:rPr>
        <w:t xml:space="preserve">ABERCROMBIE &amp; FITCH CO., </w:t>
      </w:r>
      <w:r w:rsidRPr="00991236">
        <w:rPr>
          <w:i/>
          <w:sz w:val="24"/>
          <w:szCs w:val="24"/>
        </w:rPr>
        <w:t>et al</w:t>
      </w:r>
      <w:r w:rsidRPr="00D51A4F">
        <w:rPr>
          <w:sz w:val="24"/>
          <w:szCs w:val="24"/>
        </w:rPr>
        <w:t>.,</w:t>
      </w:r>
    </w:p>
    <w:p w:rsidR="00A47A6B" w:rsidRPr="00D51A4F" w:rsidRDefault="00A47A6B" w:rsidP="00A47A6B">
      <w:pPr>
        <w:rPr>
          <w:sz w:val="24"/>
          <w:szCs w:val="24"/>
        </w:rPr>
      </w:pPr>
    </w:p>
    <w:p w:rsidR="00A47A6B" w:rsidRDefault="00A47A6B" w:rsidP="00A47A6B">
      <w:pPr>
        <w:pBdr>
          <w:bottom w:val="single" w:sz="12" w:space="0" w:color="auto"/>
        </w:pBdr>
        <w:rPr>
          <w:sz w:val="24"/>
          <w:szCs w:val="24"/>
        </w:rPr>
      </w:pPr>
      <w:r w:rsidRPr="00D51A4F">
        <w:rPr>
          <w:sz w:val="24"/>
          <w:szCs w:val="24"/>
        </w:rPr>
        <w:tab/>
        <w:t>Defendants.</w:t>
      </w:r>
    </w:p>
    <w:p w:rsidR="00A47A6B" w:rsidRDefault="00A47A6B" w:rsidP="00A47A6B">
      <w:pPr>
        <w:pBdr>
          <w:bottom w:val="single" w:sz="12" w:space="0" w:color="auto"/>
        </w:pBdr>
        <w:rPr>
          <w:b/>
          <w:sz w:val="24"/>
          <w:szCs w:val="24"/>
        </w:rPr>
      </w:pPr>
    </w:p>
    <w:p w:rsidR="00A47A6B" w:rsidRDefault="00A47A6B" w:rsidP="00A47A6B">
      <w:pPr>
        <w:rPr>
          <w:b/>
          <w:sz w:val="24"/>
          <w:szCs w:val="24"/>
        </w:rPr>
      </w:pPr>
    </w:p>
    <w:p w:rsidR="00A47A6B" w:rsidRDefault="00A47A6B" w:rsidP="00A47A6B">
      <w:pPr>
        <w:jc w:val="center"/>
        <w:rPr>
          <w:sz w:val="24"/>
          <w:szCs w:val="24"/>
        </w:rPr>
      </w:pPr>
      <w:r>
        <w:rPr>
          <w:b/>
          <w:bCs/>
          <w:sz w:val="24"/>
          <w:szCs w:val="24"/>
        </w:rPr>
        <w:t xml:space="preserve">THE UNITED STATES OF AMERICA’S </w:t>
      </w:r>
      <w:r w:rsidRPr="00D51A4F">
        <w:rPr>
          <w:b/>
          <w:bCs/>
          <w:sz w:val="24"/>
          <w:szCs w:val="24"/>
        </w:rPr>
        <w:t xml:space="preserve">STATEMENT OF INTEREST </w:t>
      </w:r>
      <w:r>
        <w:rPr>
          <w:b/>
          <w:bCs/>
          <w:sz w:val="24"/>
          <w:szCs w:val="24"/>
        </w:rPr>
        <w:t>ON PLAINTIFFS’ MOTION FOR PARTIAL SUMMARY JUDGMENT</w:t>
      </w:r>
    </w:p>
    <w:p w:rsidR="00A47A6B" w:rsidRDefault="00A47A6B" w:rsidP="00A47A6B">
      <w:pPr>
        <w:pBdr>
          <w:bottom w:val="single" w:sz="12" w:space="0" w:color="auto"/>
        </w:pBdr>
        <w:rPr>
          <w:b/>
          <w:sz w:val="24"/>
          <w:szCs w:val="24"/>
        </w:rPr>
      </w:pPr>
    </w:p>
    <w:p w:rsidR="00A47A6B" w:rsidRDefault="00A47A6B" w:rsidP="00A47A6B">
      <w:pPr>
        <w:rPr>
          <w:b/>
          <w:sz w:val="24"/>
          <w:szCs w:val="24"/>
        </w:rPr>
      </w:pPr>
    </w:p>
    <w:p w:rsidR="001B35BC" w:rsidRDefault="002A64D0" w:rsidP="00B9431D">
      <w:pPr>
        <w:spacing w:line="480" w:lineRule="auto"/>
        <w:rPr>
          <w:sz w:val="24"/>
          <w:szCs w:val="24"/>
        </w:rPr>
      </w:pPr>
      <w:r>
        <w:rPr>
          <w:sz w:val="24"/>
          <w:szCs w:val="24"/>
        </w:rPr>
        <w:tab/>
      </w:r>
      <w:r w:rsidRPr="00B833F4">
        <w:rPr>
          <w:sz w:val="24"/>
          <w:szCs w:val="24"/>
        </w:rPr>
        <w:t xml:space="preserve">The United States files this Statement of Interest, pursuant to 28 U.S.C. § 517, because this litigation implicates the proper interpretation and application </w:t>
      </w:r>
      <w:r w:rsidR="00B60553" w:rsidRPr="00B833F4">
        <w:rPr>
          <w:sz w:val="24"/>
          <w:szCs w:val="24"/>
        </w:rPr>
        <w:t xml:space="preserve">of </w:t>
      </w:r>
      <w:r w:rsidR="003552AF" w:rsidRPr="00B833F4">
        <w:rPr>
          <w:sz w:val="24"/>
          <w:szCs w:val="24"/>
        </w:rPr>
        <w:t>title</w:t>
      </w:r>
      <w:r w:rsidR="00687072" w:rsidRPr="00B833F4">
        <w:rPr>
          <w:sz w:val="24"/>
          <w:szCs w:val="24"/>
        </w:rPr>
        <w:t xml:space="preserve"> II</w:t>
      </w:r>
      <w:r w:rsidR="00B60553" w:rsidRPr="00B833F4">
        <w:rPr>
          <w:sz w:val="24"/>
          <w:szCs w:val="24"/>
        </w:rPr>
        <w:t>I</w:t>
      </w:r>
      <w:r w:rsidR="00687072" w:rsidRPr="00B833F4">
        <w:rPr>
          <w:sz w:val="24"/>
          <w:szCs w:val="24"/>
        </w:rPr>
        <w:t xml:space="preserve"> of </w:t>
      </w:r>
      <w:r w:rsidRPr="00B833F4">
        <w:rPr>
          <w:sz w:val="24"/>
          <w:szCs w:val="24"/>
        </w:rPr>
        <w:t>the Americans with Dis</w:t>
      </w:r>
      <w:r w:rsidR="00B60553" w:rsidRPr="00B833F4">
        <w:rPr>
          <w:sz w:val="24"/>
          <w:szCs w:val="24"/>
        </w:rPr>
        <w:t>abilities Act, 42 U.S.C. § 12181</w:t>
      </w:r>
      <w:r w:rsidRPr="00B833F4">
        <w:rPr>
          <w:sz w:val="24"/>
          <w:szCs w:val="24"/>
        </w:rPr>
        <w:t xml:space="preserve"> </w:t>
      </w:r>
      <w:r w:rsidRPr="00B833F4">
        <w:rPr>
          <w:i/>
          <w:sz w:val="24"/>
          <w:szCs w:val="24"/>
        </w:rPr>
        <w:t>et. seq</w:t>
      </w:r>
      <w:r w:rsidRPr="00B833F4">
        <w:rPr>
          <w:sz w:val="24"/>
          <w:szCs w:val="24"/>
        </w:rPr>
        <w:t>., (“ADA</w:t>
      </w:r>
      <w:r w:rsidR="00B833F4" w:rsidRPr="00B833F4">
        <w:rPr>
          <w:sz w:val="24"/>
          <w:szCs w:val="24"/>
        </w:rPr>
        <w:t xml:space="preserve">), which the Attorney General has statutory authority to enforce.  </w:t>
      </w:r>
      <w:r w:rsidR="00B833F4" w:rsidRPr="00B833F4">
        <w:rPr>
          <w:i/>
          <w:sz w:val="24"/>
          <w:szCs w:val="24"/>
        </w:rPr>
        <w:t>See</w:t>
      </w:r>
      <w:r w:rsidR="00B833F4">
        <w:rPr>
          <w:sz w:val="24"/>
          <w:szCs w:val="24"/>
        </w:rPr>
        <w:t xml:space="preserve"> </w:t>
      </w:r>
      <w:r w:rsidR="00270646" w:rsidRPr="00B833F4">
        <w:rPr>
          <w:sz w:val="24"/>
          <w:szCs w:val="24"/>
        </w:rPr>
        <w:t>28 U.S.C. § 517</w:t>
      </w:r>
      <w:r w:rsidR="00270646">
        <w:rPr>
          <w:sz w:val="24"/>
          <w:szCs w:val="24"/>
        </w:rPr>
        <w:t xml:space="preserve">; </w:t>
      </w:r>
      <w:r w:rsidR="00B833F4" w:rsidRPr="00B833F4">
        <w:rPr>
          <w:sz w:val="24"/>
          <w:szCs w:val="24"/>
        </w:rPr>
        <w:t>42 U.S.C. §§ 12186-88.</w:t>
      </w:r>
      <w:r w:rsidR="003146E7">
        <w:rPr>
          <w:sz w:val="24"/>
          <w:szCs w:val="24"/>
        </w:rPr>
        <w:t xml:space="preserve"> </w:t>
      </w:r>
      <w:r w:rsidR="00B9431D">
        <w:rPr>
          <w:sz w:val="24"/>
          <w:szCs w:val="24"/>
        </w:rPr>
        <w:t xml:space="preserve">  </w:t>
      </w:r>
    </w:p>
    <w:p w:rsidR="002E3E99" w:rsidRDefault="00952647" w:rsidP="001B35BC">
      <w:pPr>
        <w:spacing w:line="480" w:lineRule="auto"/>
        <w:ind w:firstLine="720"/>
        <w:rPr>
          <w:sz w:val="24"/>
          <w:szCs w:val="24"/>
        </w:rPr>
      </w:pPr>
      <w:r w:rsidRPr="00B60553">
        <w:rPr>
          <w:sz w:val="24"/>
          <w:szCs w:val="24"/>
        </w:rPr>
        <w:t xml:space="preserve">This case </w:t>
      </w:r>
      <w:r w:rsidR="00066A9F">
        <w:rPr>
          <w:sz w:val="24"/>
          <w:szCs w:val="24"/>
        </w:rPr>
        <w:t xml:space="preserve">raises </w:t>
      </w:r>
      <w:r w:rsidR="00332AA9">
        <w:rPr>
          <w:sz w:val="24"/>
          <w:szCs w:val="24"/>
        </w:rPr>
        <w:t>t</w:t>
      </w:r>
      <w:r w:rsidR="00D635F8">
        <w:rPr>
          <w:sz w:val="24"/>
          <w:szCs w:val="24"/>
        </w:rPr>
        <w:t xml:space="preserve">he </w:t>
      </w:r>
      <w:r w:rsidR="003146E7">
        <w:rPr>
          <w:sz w:val="24"/>
          <w:szCs w:val="24"/>
        </w:rPr>
        <w:t xml:space="preserve">important </w:t>
      </w:r>
      <w:r w:rsidR="00066A9F">
        <w:rPr>
          <w:sz w:val="24"/>
          <w:szCs w:val="24"/>
        </w:rPr>
        <w:t xml:space="preserve">question of the </w:t>
      </w:r>
      <w:r w:rsidR="00D635F8">
        <w:rPr>
          <w:sz w:val="24"/>
          <w:szCs w:val="24"/>
        </w:rPr>
        <w:t xml:space="preserve">extent to which a </w:t>
      </w:r>
      <w:r w:rsidR="003146E7">
        <w:rPr>
          <w:sz w:val="24"/>
          <w:szCs w:val="24"/>
        </w:rPr>
        <w:t xml:space="preserve">place of </w:t>
      </w:r>
      <w:r w:rsidR="00D635F8">
        <w:rPr>
          <w:sz w:val="24"/>
          <w:szCs w:val="24"/>
        </w:rPr>
        <w:t>public accommodation</w:t>
      </w:r>
      <w:r w:rsidR="00290141">
        <w:rPr>
          <w:sz w:val="24"/>
          <w:szCs w:val="24"/>
        </w:rPr>
        <w:t xml:space="preserve"> </w:t>
      </w:r>
      <w:r w:rsidR="00F444FA" w:rsidRPr="008868FE">
        <w:rPr>
          <w:sz w:val="24"/>
          <w:szCs w:val="24"/>
        </w:rPr>
        <w:t>that is constructed after the effective date of the ADA</w:t>
      </w:r>
      <w:r w:rsidR="00F444FA">
        <w:rPr>
          <w:sz w:val="24"/>
          <w:szCs w:val="24"/>
        </w:rPr>
        <w:t xml:space="preserve"> </w:t>
      </w:r>
      <w:r w:rsidR="00D635F8">
        <w:rPr>
          <w:sz w:val="24"/>
          <w:szCs w:val="24"/>
        </w:rPr>
        <w:t>must make its main entrance accessible under title III of the ADA</w:t>
      </w:r>
      <w:r w:rsidR="00467082">
        <w:rPr>
          <w:sz w:val="24"/>
          <w:szCs w:val="24"/>
        </w:rPr>
        <w:t xml:space="preserve"> and its implementing regulations</w:t>
      </w:r>
      <w:r w:rsidR="00066A9F">
        <w:rPr>
          <w:sz w:val="24"/>
          <w:szCs w:val="24"/>
        </w:rPr>
        <w:t xml:space="preserve">.  </w:t>
      </w:r>
      <w:r w:rsidR="006F62EC">
        <w:rPr>
          <w:sz w:val="24"/>
          <w:szCs w:val="24"/>
        </w:rPr>
        <w:t xml:space="preserve">As the author of the implementing regulations in question, </w:t>
      </w:r>
      <w:r w:rsidR="00F444FA" w:rsidRPr="008868FE">
        <w:rPr>
          <w:sz w:val="24"/>
          <w:szCs w:val="24"/>
        </w:rPr>
        <w:t xml:space="preserve">and the officer mandated to enforce the ADA, the Attorney General </w:t>
      </w:r>
      <w:r w:rsidR="001E4AB6">
        <w:rPr>
          <w:sz w:val="24"/>
          <w:szCs w:val="24"/>
        </w:rPr>
        <w:t xml:space="preserve">has a clear interest in </w:t>
      </w:r>
      <w:r w:rsidR="006F62EC">
        <w:rPr>
          <w:sz w:val="24"/>
          <w:szCs w:val="24"/>
        </w:rPr>
        <w:t xml:space="preserve">ensuring their proper implementation </w:t>
      </w:r>
      <w:r w:rsidR="004E67AE">
        <w:rPr>
          <w:sz w:val="24"/>
          <w:szCs w:val="24"/>
        </w:rPr>
        <w:t>and</w:t>
      </w:r>
      <w:r w:rsidR="00467082">
        <w:rPr>
          <w:sz w:val="24"/>
          <w:szCs w:val="24"/>
        </w:rPr>
        <w:t xml:space="preserve"> </w:t>
      </w:r>
      <w:r w:rsidR="003146E7">
        <w:rPr>
          <w:sz w:val="24"/>
          <w:szCs w:val="24"/>
        </w:rPr>
        <w:t xml:space="preserve">therefore submits </w:t>
      </w:r>
      <w:r w:rsidR="007A567F">
        <w:rPr>
          <w:sz w:val="24"/>
          <w:szCs w:val="24"/>
        </w:rPr>
        <w:t>this statement</w:t>
      </w:r>
      <w:r w:rsidR="000F7740">
        <w:rPr>
          <w:sz w:val="24"/>
          <w:szCs w:val="24"/>
        </w:rPr>
        <w:t xml:space="preserve"> </w:t>
      </w:r>
      <w:r w:rsidR="000F7740" w:rsidRPr="008868FE">
        <w:rPr>
          <w:sz w:val="24"/>
          <w:szCs w:val="24"/>
        </w:rPr>
        <w:t>of interest to explain its interpretation of the proper application of Department of Justice regulations in this case.</w:t>
      </w:r>
      <w:r w:rsidR="007A567F">
        <w:rPr>
          <w:sz w:val="24"/>
          <w:szCs w:val="24"/>
        </w:rPr>
        <w:t xml:space="preserve"> </w:t>
      </w:r>
    </w:p>
    <w:p w:rsidR="002E3E99" w:rsidRDefault="002E3E99" w:rsidP="002E3E99">
      <w:pPr>
        <w:spacing w:line="480" w:lineRule="auto"/>
        <w:ind w:firstLine="720"/>
        <w:rPr>
          <w:sz w:val="24"/>
          <w:szCs w:val="24"/>
        </w:rPr>
      </w:pPr>
      <w:r w:rsidRPr="00E62EFF">
        <w:rPr>
          <w:sz w:val="24"/>
          <w:szCs w:val="24"/>
          <w:lang w:val="en-CA"/>
        </w:rPr>
        <w:lastRenderedPageBreak/>
        <w:t xml:space="preserve">In </w:t>
      </w:r>
      <w:r w:rsidRPr="00E62EFF">
        <w:rPr>
          <w:sz w:val="24"/>
          <w:szCs w:val="24"/>
        </w:rPr>
        <w:t xml:space="preserve">the pending motion </w:t>
      </w:r>
      <w:r>
        <w:rPr>
          <w:sz w:val="24"/>
          <w:szCs w:val="24"/>
        </w:rPr>
        <w:t>for partial summary judgment</w:t>
      </w:r>
      <w:r w:rsidRPr="00E62EFF">
        <w:rPr>
          <w:sz w:val="24"/>
          <w:szCs w:val="24"/>
        </w:rPr>
        <w:t xml:space="preserve"> (“Motion”), </w:t>
      </w:r>
      <w:r>
        <w:rPr>
          <w:sz w:val="24"/>
          <w:szCs w:val="24"/>
        </w:rPr>
        <w:t xml:space="preserve">Plaintiffs allege that Defendant clothing stores violate title III of the ADA because the stores’ main entrances are inaccessible to people who use wheelchairs.  Defendants dispute which </w:t>
      </w:r>
      <w:r w:rsidR="00181853">
        <w:rPr>
          <w:sz w:val="24"/>
          <w:szCs w:val="24"/>
        </w:rPr>
        <w:t>entrances</w:t>
      </w:r>
      <w:r w:rsidR="001B35BC">
        <w:rPr>
          <w:sz w:val="24"/>
          <w:szCs w:val="24"/>
        </w:rPr>
        <w:t xml:space="preserve"> should be considered the </w:t>
      </w:r>
      <w:r>
        <w:rPr>
          <w:sz w:val="24"/>
          <w:szCs w:val="24"/>
        </w:rPr>
        <w:t>main entrance</w:t>
      </w:r>
      <w:r w:rsidR="001B35BC">
        <w:rPr>
          <w:sz w:val="24"/>
          <w:szCs w:val="24"/>
        </w:rPr>
        <w:t>s</w:t>
      </w:r>
      <w:r w:rsidR="00065FF8">
        <w:rPr>
          <w:sz w:val="24"/>
          <w:szCs w:val="24"/>
        </w:rPr>
        <w:t xml:space="preserve"> and, </w:t>
      </w:r>
      <w:r>
        <w:rPr>
          <w:sz w:val="24"/>
          <w:szCs w:val="24"/>
        </w:rPr>
        <w:t>alternatively, allege that the ADA implementing regulation a</w:t>
      </w:r>
      <w:r w:rsidR="006F62EC">
        <w:rPr>
          <w:sz w:val="24"/>
          <w:szCs w:val="24"/>
        </w:rPr>
        <w:t xml:space="preserve">t issue is merely “aspirational.”  </w:t>
      </w:r>
      <w:r>
        <w:rPr>
          <w:sz w:val="24"/>
          <w:szCs w:val="24"/>
        </w:rPr>
        <w:t xml:space="preserve"> </w:t>
      </w:r>
      <w:r w:rsidRPr="00E62EFF">
        <w:rPr>
          <w:sz w:val="24"/>
          <w:szCs w:val="24"/>
        </w:rPr>
        <w:t xml:space="preserve">Defendants’ arguments, however, are contrary to </w:t>
      </w:r>
      <w:r>
        <w:rPr>
          <w:sz w:val="24"/>
          <w:szCs w:val="24"/>
        </w:rPr>
        <w:t>both the undisputed facts and the plain language of the ADA implementing regulations</w:t>
      </w:r>
      <w:r w:rsidRPr="00E62EFF">
        <w:rPr>
          <w:sz w:val="24"/>
          <w:szCs w:val="24"/>
        </w:rPr>
        <w:t xml:space="preserve">.  </w:t>
      </w:r>
      <w:r w:rsidR="001E66E8" w:rsidRPr="00BB5064">
        <w:rPr>
          <w:sz w:val="24"/>
          <w:szCs w:val="24"/>
        </w:rPr>
        <w:t xml:space="preserve">Defendants have failed to meet the ADA requirements for new construction and </w:t>
      </w:r>
      <w:r w:rsidR="00065FF8">
        <w:rPr>
          <w:sz w:val="24"/>
          <w:szCs w:val="24"/>
        </w:rPr>
        <w:t xml:space="preserve">have </w:t>
      </w:r>
      <w:r w:rsidR="001E66E8" w:rsidRPr="00BB5064">
        <w:rPr>
          <w:sz w:val="24"/>
          <w:szCs w:val="24"/>
        </w:rPr>
        <w:t>violated the ADA’s prohibition against providing separate or different accommodations.</w:t>
      </w:r>
      <w:r w:rsidR="001E66E8">
        <w:rPr>
          <w:sz w:val="24"/>
          <w:szCs w:val="24"/>
        </w:rPr>
        <w:t xml:space="preserve">  </w:t>
      </w:r>
      <w:r w:rsidRPr="00E62EFF">
        <w:rPr>
          <w:sz w:val="24"/>
          <w:szCs w:val="24"/>
        </w:rPr>
        <w:t xml:space="preserve">Accordingly, for the reasons set forth in greater detail below, the United States respectfully </w:t>
      </w:r>
      <w:r w:rsidR="00E1319E">
        <w:rPr>
          <w:sz w:val="24"/>
          <w:szCs w:val="24"/>
        </w:rPr>
        <w:t>submits</w:t>
      </w:r>
      <w:r w:rsidRPr="00E62EFF">
        <w:rPr>
          <w:sz w:val="24"/>
          <w:szCs w:val="24"/>
        </w:rPr>
        <w:t xml:space="preserve"> that th</w:t>
      </w:r>
      <w:r>
        <w:rPr>
          <w:sz w:val="24"/>
          <w:szCs w:val="24"/>
        </w:rPr>
        <w:t>is Court should grant Plaintiffs’ Motion for Partial Summary Judgment</w:t>
      </w:r>
      <w:r w:rsidRPr="00E62EFF">
        <w:rPr>
          <w:sz w:val="24"/>
          <w:szCs w:val="24"/>
        </w:rPr>
        <w:t>.</w:t>
      </w:r>
    </w:p>
    <w:p w:rsidR="006D3305" w:rsidRPr="00270D25" w:rsidRDefault="009F17E7" w:rsidP="00270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 w:val="24"/>
          <w:szCs w:val="24"/>
        </w:rPr>
      </w:pPr>
      <w:r w:rsidRPr="009F17E7">
        <w:rPr>
          <w:b/>
          <w:bCs/>
          <w:sz w:val="24"/>
          <w:szCs w:val="24"/>
        </w:rPr>
        <w:t>SUMMARY OF FACTS</w:t>
      </w:r>
    </w:p>
    <w:p w:rsidR="00995F76" w:rsidRDefault="00403414" w:rsidP="00A8314E">
      <w:pPr>
        <w:spacing w:line="480" w:lineRule="auto"/>
        <w:ind w:firstLine="720"/>
        <w:rPr>
          <w:sz w:val="24"/>
          <w:szCs w:val="24"/>
        </w:rPr>
      </w:pPr>
      <w:r>
        <w:rPr>
          <w:sz w:val="24"/>
          <w:szCs w:val="24"/>
        </w:rPr>
        <w:t xml:space="preserve">Defendant Hollister LLC owns and operates two retail clothing stores located in two separate shopping malls near Denver, Colorado.  </w:t>
      </w:r>
      <w:r w:rsidR="00166E71">
        <w:rPr>
          <w:sz w:val="24"/>
          <w:szCs w:val="24"/>
        </w:rPr>
        <w:t>Defendants’ Response in Opposition to Plaintiffs’ Motion for Partial Summary Judgment (hereinafter “</w:t>
      </w:r>
      <w:r>
        <w:rPr>
          <w:sz w:val="24"/>
          <w:szCs w:val="24"/>
        </w:rPr>
        <w:t>Opp.</w:t>
      </w:r>
      <w:r w:rsidR="00166E71">
        <w:rPr>
          <w:sz w:val="24"/>
          <w:szCs w:val="24"/>
        </w:rPr>
        <w:t xml:space="preserve">”) </w:t>
      </w:r>
      <w:r>
        <w:rPr>
          <w:sz w:val="24"/>
          <w:szCs w:val="24"/>
        </w:rPr>
        <w:t>at p. 1</w:t>
      </w:r>
      <w:r w:rsidR="005D0A41">
        <w:rPr>
          <w:sz w:val="24"/>
          <w:szCs w:val="24"/>
        </w:rPr>
        <w:t>, ¶ 1</w:t>
      </w:r>
      <w:r>
        <w:rPr>
          <w:sz w:val="24"/>
          <w:szCs w:val="24"/>
        </w:rPr>
        <w:t xml:space="preserve">.  </w:t>
      </w:r>
      <w:r w:rsidR="00240724">
        <w:rPr>
          <w:sz w:val="24"/>
          <w:szCs w:val="24"/>
        </w:rPr>
        <w:t>The stores were built in 2002 and 2007, over ten years after the passage of the ADA in 1</w:t>
      </w:r>
      <w:r w:rsidR="00A8314E">
        <w:rPr>
          <w:sz w:val="24"/>
          <w:szCs w:val="24"/>
        </w:rPr>
        <w:t xml:space="preserve">990.  </w:t>
      </w:r>
      <w:r w:rsidR="00A8314E" w:rsidRPr="00403414">
        <w:rPr>
          <w:i/>
          <w:sz w:val="24"/>
          <w:szCs w:val="24"/>
        </w:rPr>
        <w:t>Id</w:t>
      </w:r>
      <w:r w:rsidR="00A8314E">
        <w:rPr>
          <w:sz w:val="24"/>
          <w:szCs w:val="24"/>
        </w:rPr>
        <w:t>. at pp. 1-2, ¶¶ 2-3</w:t>
      </w:r>
      <w:r w:rsidR="00F57B7F">
        <w:rPr>
          <w:sz w:val="24"/>
          <w:szCs w:val="24"/>
        </w:rPr>
        <w:t>;</w:t>
      </w:r>
      <w:r w:rsidR="00A8314E" w:rsidRPr="00A8314E">
        <w:t xml:space="preserve"> </w:t>
      </w:r>
      <w:r w:rsidR="001B35BC" w:rsidRPr="001B35BC">
        <w:rPr>
          <w:i/>
          <w:sz w:val="24"/>
          <w:szCs w:val="24"/>
        </w:rPr>
        <w:t xml:space="preserve">see </w:t>
      </w:r>
      <w:r w:rsidR="00A8314E" w:rsidRPr="00A8314E">
        <w:rPr>
          <w:sz w:val="24"/>
          <w:szCs w:val="24"/>
        </w:rPr>
        <w:t>42 U</w:t>
      </w:r>
      <w:r w:rsidR="00A8314E">
        <w:rPr>
          <w:sz w:val="24"/>
          <w:szCs w:val="24"/>
        </w:rPr>
        <w:t>.</w:t>
      </w:r>
      <w:r w:rsidR="00A8314E" w:rsidRPr="00A8314E">
        <w:rPr>
          <w:sz w:val="24"/>
          <w:szCs w:val="24"/>
        </w:rPr>
        <w:t>S</w:t>
      </w:r>
      <w:r w:rsidR="00A8314E">
        <w:rPr>
          <w:sz w:val="24"/>
          <w:szCs w:val="24"/>
        </w:rPr>
        <w:t>.</w:t>
      </w:r>
      <w:r w:rsidR="00A8314E" w:rsidRPr="00A8314E">
        <w:rPr>
          <w:sz w:val="24"/>
          <w:szCs w:val="24"/>
        </w:rPr>
        <w:t>C</w:t>
      </w:r>
      <w:r w:rsidR="00A8314E">
        <w:rPr>
          <w:sz w:val="24"/>
          <w:szCs w:val="24"/>
        </w:rPr>
        <w:t>.</w:t>
      </w:r>
      <w:r w:rsidR="00A8314E" w:rsidRPr="00A8314E">
        <w:rPr>
          <w:sz w:val="24"/>
          <w:szCs w:val="24"/>
        </w:rPr>
        <w:t xml:space="preserve"> § 12101</w:t>
      </w:r>
      <w:r w:rsidR="00A8314E">
        <w:rPr>
          <w:sz w:val="24"/>
          <w:szCs w:val="24"/>
        </w:rPr>
        <w:t xml:space="preserve">.  </w:t>
      </w:r>
      <w:r w:rsidR="001843D2">
        <w:rPr>
          <w:sz w:val="24"/>
          <w:szCs w:val="24"/>
        </w:rPr>
        <w:t xml:space="preserve">Both stores have three </w:t>
      </w:r>
      <w:r w:rsidR="00181853">
        <w:rPr>
          <w:sz w:val="24"/>
          <w:szCs w:val="24"/>
        </w:rPr>
        <w:t>entrances</w:t>
      </w:r>
      <w:r w:rsidR="001843D2">
        <w:rPr>
          <w:sz w:val="24"/>
          <w:szCs w:val="24"/>
        </w:rPr>
        <w:t xml:space="preserve"> </w:t>
      </w:r>
      <w:r w:rsidR="009316BD">
        <w:rPr>
          <w:sz w:val="24"/>
          <w:szCs w:val="24"/>
        </w:rPr>
        <w:t xml:space="preserve">on the front wall </w:t>
      </w:r>
      <w:r w:rsidR="001843D2">
        <w:rPr>
          <w:sz w:val="24"/>
          <w:szCs w:val="24"/>
        </w:rPr>
        <w:t xml:space="preserve">where </w:t>
      </w:r>
      <w:r w:rsidR="00843334">
        <w:rPr>
          <w:sz w:val="24"/>
          <w:szCs w:val="24"/>
        </w:rPr>
        <w:t>the center</w:t>
      </w:r>
      <w:r w:rsidR="001843D2">
        <w:rPr>
          <w:sz w:val="24"/>
          <w:szCs w:val="24"/>
        </w:rPr>
        <w:t xml:space="preserve"> </w:t>
      </w:r>
      <w:r w:rsidR="00181853">
        <w:rPr>
          <w:sz w:val="24"/>
          <w:szCs w:val="24"/>
        </w:rPr>
        <w:t>entrance</w:t>
      </w:r>
      <w:r w:rsidR="001843D2">
        <w:rPr>
          <w:sz w:val="24"/>
          <w:szCs w:val="24"/>
        </w:rPr>
        <w:t xml:space="preserve"> is “raised on a porch-like platform two steps above ground </w:t>
      </w:r>
      <w:r w:rsidR="00843334">
        <w:rPr>
          <w:sz w:val="24"/>
          <w:szCs w:val="24"/>
        </w:rPr>
        <w:t xml:space="preserve">level” and the other two </w:t>
      </w:r>
      <w:r w:rsidR="00181853">
        <w:rPr>
          <w:sz w:val="24"/>
          <w:szCs w:val="24"/>
        </w:rPr>
        <w:t>entrances</w:t>
      </w:r>
      <w:r w:rsidR="00843334">
        <w:rPr>
          <w:sz w:val="24"/>
          <w:szCs w:val="24"/>
        </w:rPr>
        <w:t xml:space="preserve"> – </w:t>
      </w:r>
      <w:r w:rsidR="001843D2">
        <w:rPr>
          <w:sz w:val="24"/>
          <w:szCs w:val="24"/>
        </w:rPr>
        <w:t xml:space="preserve">which both Plaintiffs and Defendants </w:t>
      </w:r>
      <w:r w:rsidR="00843334">
        <w:rPr>
          <w:sz w:val="24"/>
          <w:szCs w:val="24"/>
        </w:rPr>
        <w:t xml:space="preserve">assume, for purposes of the Motion, </w:t>
      </w:r>
      <w:r w:rsidR="005D0A41">
        <w:rPr>
          <w:sz w:val="24"/>
          <w:szCs w:val="24"/>
        </w:rPr>
        <w:t>are accessible per the ADA</w:t>
      </w:r>
      <w:r w:rsidR="0064118D">
        <w:rPr>
          <w:rStyle w:val="FootnoteReference"/>
          <w:sz w:val="24"/>
          <w:szCs w:val="24"/>
        </w:rPr>
        <w:footnoteReference w:id="1"/>
      </w:r>
      <w:r w:rsidR="00843334">
        <w:rPr>
          <w:sz w:val="24"/>
          <w:szCs w:val="24"/>
        </w:rPr>
        <w:t xml:space="preserve"> – are </w:t>
      </w:r>
      <w:r w:rsidR="001843D2">
        <w:rPr>
          <w:sz w:val="24"/>
          <w:szCs w:val="24"/>
        </w:rPr>
        <w:t xml:space="preserve">located </w:t>
      </w:r>
      <w:r w:rsidR="00843334">
        <w:rPr>
          <w:sz w:val="24"/>
          <w:szCs w:val="24"/>
        </w:rPr>
        <w:t xml:space="preserve">at ground level </w:t>
      </w:r>
      <w:r w:rsidR="001843D2">
        <w:rPr>
          <w:sz w:val="24"/>
          <w:szCs w:val="24"/>
        </w:rPr>
        <w:t xml:space="preserve">on either side of the raised </w:t>
      </w:r>
      <w:r w:rsidR="00843334">
        <w:rPr>
          <w:sz w:val="24"/>
          <w:szCs w:val="24"/>
        </w:rPr>
        <w:t xml:space="preserve">center </w:t>
      </w:r>
      <w:r w:rsidR="00181853">
        <w:rPr>
          <w:sz w:val="24"/>
          <w:szCs w:val="24"/>
        </w:rPr>
        <w:t>entrance</w:t>
      </w:r>
      <w:r w:rsidR="001843D2">
        <w:rPr>
          <w:sz w:val="24"/>
          <w:szCs w:val="24"/>
        </w:rPr>
        <w:t>.</w:t>
      </w:r>
      <w:r w:rsidR="005D0A41">
        <w:rPr>
          <w:sz w:val="24"/>
          <w:szCs w:val="24"/>
        </w:rPr>
        <w:t xml:space="preserve">  Motion at p. 3</w:t>
      </w:r>
      <w:r w:rsidR="00A8314E">
        <w:rPr>
          <w:sz w:val="24"/>
          <w:szCs w:val="24"/>
        </w:rPr>
        <w:t>, fn.</w:t>
      </w:r>
      <w:r w:rsidR="00F57B7F">
        <w:rPr>
          <w:sz w:val="24"/>
          <w:szCs w:val="24"/>
        </w:rPr>
        <w:t xml:space="preserve"> 2;</w:t>
      </w:r>
      <w:r w:rsidR="00A8314E">
        <w:rPr>
          <w:sz w:val="24"/>
          <w:szCs w:val="24"/>
        </w:rPr>
        <w:t xml:space="preserve"> Opp. at p. 2, ¶¶ 4-5.  </w:t>
      </w:r>
      <w:r w:rsidR="003F71FB">
        <w:rPr>
          <w:sz w:val="24"/>
          <w:szCs w:val="24"/>
        </w:rPr>
        <w:t>Defendants acknowledge that t</w:t>
      </w:r>
      <w:r w:rsidR="005D0A41">
        <w:rPr>
          <w:sz w:val="24"/>
          <w:szCs w:val="24"/>
        </w:rPr>
        <w:t xml:space="preserve">he raised platform design of the </w:t>
      </w:r>
      <w:r w:rsidR="005D0A41">
        <w:rPr>
          <w:sz w:val="24"/>
          <w:szCs w:val="24"/>
        </w:rPr>
        <w:lastRenderedPageBreak/>
        <w:t xml:space="preserve">center </w:t>
      </w:r>
      <w:r w:rsidR="00181853">
        <w:rPr>
          <w:sz w:val="24"/>
          <w:szCs w:val="24"/>
        </w:rPr>
        <w:t>entra</w:t>
      </w:r>
      <w:r w:rsidR="0064118D">
        <w:rPr>
          <w:sz w:val="24"/>
          <w:szCs w:val="24"/>
        </w:rPr>
        <w:t>n</w:t>
      </w:r>
      <w:r w:rsidR="00181853">
        <w:rPr>
          <w:sz w:val="24"/>
          <w:szCs w:val="24"/>
        </w:rPr>
        <w:t>ces</w:t>
      </w:r>
      <w:r w:rsidR="005D0A41">
        <w:rPr>
          <w:sz w:val="24"/>
          <w:szCs w:val="24"/>
        </w:rPr>
        <w:t xml:space="preserve"> </w:t>
      </w:r>
      <w:r w:rsidR="003F71FB">
        <w:rPr>
          <w:sz w:val="24"/>
          <w:szCs w:val="24"/>
        </w:rPr>
        <w:t>is purely decorative.</w:t>
      </w:r>
      <w:r w:rsidR="003F71FB">
        <w:rPr>
          <w:rStyle w:val="FootnoteReference"/>
          <w:sz w:val="24"/>
          <w:szCs w:val="24"/>
        </w:rPr>
        <w:footnoteReference w:id="2"/>
      </w:r>
      <w:r w:rsidR="003F71FB">
        <w:rPr>
          <w:sz w:val="24"/>
          <w:szCs w:val="24"/>
        </w:rPr>
        <w:t xml:space="preserve">  </w:t>
      </w:r>
      <w:r w:rsidR="005D0A41">
        <w:rPr>
          <w:sz w:val="24"/>
          <w:szCs w:val="24"/>
        </w:rPr>
        <w:t xml:space="preserve">Opp. at p. 4, ¶ 12.  </w:t>
      </w:r>
      <w:r w:rsidR="00F57B7F">
        <w:rPr>
          <w:sz w:val="24"/>
          <w:szCs w:val="24"/>
        </w:rPr>
        <w:t>Moreover, they</w:t>
      </w:r>
      <w:r w:rsidR="00240724">
        <w:rPr>
          <w:sz w:val="24"/>
          <w:szCs w:val="24"/>
        </w:rPr>
        <w:t xml:space="preserve"> recognize that </w:t>
      </w:r>
      <w:r w:rsidR="00843334">
        <w:rPr>
          <w:sz w:val="24"/>
          <w:szCs w:val="24"/>
        </w:rPr>
        <w:t xml:space="preserve">it </w:t>
      </w:r>
      <w:r w:rsidR="005D0A41">
        <w:rPr>
          <w:sz w:val="24"/>
          <w:szCs w:val="24"/>
        </w:rPr>
        <w:t xml:space="preserve">would be physically possible to construct stores that do not have an </w:t>
      </w:r>
      <w:r w:rsidR="00181853">
        <w:rPr>
          <w:sz w:val="24"/>
          <w:szCs w:val="24"/>
        </w:rPr>
        <w:t>entrance</w:t>
      </w:r>
      <w:r w:rsidR="005D0A41">
        <w:rPr>
          <w:sz w:val="24"/>
          <w:szCs w:val="24"/>
        </w:rPr>
        <w:t xml:space="preserve"> on a raised platform.  </w:t>
      </w:r>
      <w:r w:rsidR="005D0A41" w:rsidRPr="005D0A41">
        <w:rPr>
          <w:i/>
          <w:sz w:val="24"/>
          <w:szCs w:val="24"/>
        </w:rPr>
        <w:t>Id</w:t>
      </w:r>
      <w:r w:rsidR="00843334">
        <w:rPr>
          <w:sz w:val="24"/>
          <w:szCs w:val="24"/>
        </w:rPr>
        <w:t>. at p. 4, ¶</w:t>
      </w:r>
      <w:r w:rsidR="00F938CA">
        <w:rPr>
          <w:sz w:val="24"/>
          <w:szCs w:val="24"/>
        </w:rPr>
        <w:t>¶</w:t>
      </w:r>
      <w:r w:rsidR="00843334">
        <w:rPr>
          <w:sz w:val="24"/>
          <w:szCs w:val="24"/>
        </w:rPr>
        <w:t xml:space="preserve"> </w:t>
      </w:r>
      <w:r w:rsidR="00240724">
        <w:rPr>
          <w:sz w:val="24"/>
          <w:szCs w:val="24"/>
        </w:rPr>
        <w:t>11, 13</w:t>
      </w:r>
      <w:r w:rsidR="005D0A41">
        <w:rPr>
          <w:sz w:val="24"/>
          <w:szCs w:val="24"/>
        </w:rPr>
        <w:t xml:space="preserve">. </w:t>
      </w:r>
    </w:p>
    <w:p w:rsidR="00403414" w:rsidRDefault="00995F76" w:rsidP="00A8314E">
      <w:pPr>
        <w:spacing w:line="480" w:lineRule="auto"/>
        <w:ind w:firstLine="720"/>
        <w:rPr>
          <w:sz w:val="24"/>
          <w:szCs w:val="24"/>
        </w:rPr>
      </w:pPr>
      <w:r>
        <w:rPr>
          <w:sz w:val="24"/>
          <w:szCs w:val="24"/>
        </w:rPr>
        <w:t xml:space="preserve">Plaintiffs allege that the center </w:t>
      </w:r>
      <w:r w:rsidR="00181853">
        <w:rPr>
          <w:sz w:val="24"/>
          <w:szCs w:val="24"/>
        </w:rPr>
        <w:t>entrances</w:t>
      </w:r>
      <w:r>
        <w:rPr>
          <w:sz w:val="24"/>
          <w:szCs w:val="24"/>
        </w:rPr>
        <w:t xml:space="preserve"> </w:t>
      </w:r>
      <w:r w:rsidR="00BF1F15">
        <w:rPr>
          <w:sz w:val="24"/>
          <w:szCs w:val="24"/>
        </w:rPr>
        <w:t xml:space="preserve">are the main entrances to Defendants’ stores.  Motion at p. 1.  Because the center </w:t>
      </w:r>
      <w:r w:rsidR="00181853">
        <w:rPr>
          <w:sz w:val="24"/>
          <w:szCs w:val="24"/>
        </w:rPr>
        <w:t>entrances</w:t>
      </w:r>
      <w:r w:rsidR="00BF1F15">
        <w:rPr>
          <w:sz w:val="24"/>
          <w:szCs w:val="24"/>
        </w:rPr>
        <w:t xml:space="preserve"> are raised two steps above ground level, Plaintiffs allege that </w:t>
      </w:r>
      <w:r w:rsidR="00293F12">
        <w:rPr>
          <w:sz w:val="24"/>
          <w:szCs w:val="24"/>
        </w:rPr>
        <w:t>they</w:t>
      </w:r>
      <w:r w:rsidR="00BF1F15">
        <w:rPr>
          <w:sz w:val="24"/>
          <w:szCs w:val="24"/>
        </w:rPr>
        <w:t xml:space="preserve"> are “inaccessible to individuals who use wheelchairs” </w:t>
      </w:r>
      <w:r w:rsidR="00101995">
        <w:rPr>
          <w:sz w:val="24"/>
          <w:szCs w:val="24"/>
        </w:rPr>
        <w:t xml:space="preserve">and, as a result, patrons in wheelchairs </w:t>
      </w:r>
      <w:r w:rsidR="00BF1F15">
        <w:rPr>
          <w:sz w:val="24"/>
          <w:szCs w:val="24"/>
        </w:rPr>
        <w:t>must “use separate side entrances” in violation of the ADA</w:t>
      </w:r>
      <w:r w:rsidR="00101995">
        <w:rPr>
          <w:sz w:val="24"/>
          <w:szCs w:val="24"/>
        </w:rPr>
        <w:t>’s</w:t>
      </w:r>
      <w:r w:rsidR="00BF1F15">
        <w:rPr>
          <w:sz w:val="24"/>
          <w:szCs w:val="24"/>
        </w:rPr>
        <w:t xml:space="preserve"> implementing regulation “that accessible entrances, where feasible, </w:t>
      </w:r>
      <w:r w:rsidR="00101995">
        <w:rPr>
          <w:sz w:val="24"/>
          <w:szCs w:val="24"/>
        </w:rPr>
        <w:t xml:space="preserve">be those used by a majority of the public.”  </w:t>
      </w:r>
      <w:r w:rsidR="00101995" w:rsidRPr="00101995">
        <w:rPr>
          <w:i/>
          <w:sz w:val="24"/>
          <w:szCs w:val="24"/>
        </w:rPr>
        <w:t>Id</w:t>
      </w:r>
      <w:r w:rsidR="00065FF8">
        <w:rPr>
          <w:sz w:val="24"/>
          <w:szCs w:val="24"/>
        </w:rPr>
        <w:t>. (</w:t>
      </w:r>
      <w:r w:rsidR="00972B7F">
        <w:rPr>
          <w:sz w:val="24"/>
          <w:szCs w:val="24"/>
        </w:rPr>
        <w:t xml:space="preserve">referring to 28 C.F.R. Pt. 36, App. A, 4.1.3(8)(a)(iii)).  </w:t>
      </w:r>
      <w:r w:rsidR="00101995">
        <w:rPr>
          <w:sz w:val="24"/>
          <w:szCs w:val="24"/>
        </w:rPr>
        <w:t xml:space="preserve">Defendants do not </w:t>
      </w:r>
      <w:r w:rsidR="00695738">
        <w:rPr>
          <w:sz w:val="24"/>
          <w:szCs w:val="24"/>
        </w:rPr>
        <w:t>dispute that the</w:t>
      </w:r>
      <w:r w:rsidR="006F62EC">
        <w:rPr>
          <w:sz w:val="24"/>
          <w:szCs w:val="24"/>
        </w:rPr>
        <w:t>ir</w:t>
      </w:r>
      <w:r w:rsidR="00695738">
        <w:rPr>
          <w:sz w:val="24"/>
          <w:szCs w:val="24"/>
        </w:rPr>
        <w:t xml:space="preserve"> stores’ center raised </w:t>
      </w:r>
      <w:r w:rsidR="00181853">
        <w:rPr>
          <w:sz w:val="24"/>
          <w:szCs w:val="24"/>
        </w:rPr>
        <w:t>entrances</w:t>
      </w:r>
      <w:r w:rsidR="00695738">
        <w:rPr>
          <w:sz w:val="24"/>
          <w:szCs w:val="24"/>
        </w:rPr>
        <w:t xml:space="preserve"> are inaccessible to people who use wheelchairs.  Rather, they </w:t>
      </w:r>
      <w:r w:rsidR="0012699D">
        <w:rPr>
          <w:sz w:val="24"/>
          <w:szCs w:val="24"/>
        </w:rPr>
        <w:t>allege</w:t>
      </w:r>
      <w:r w:rsidR="00695738">
        <w:rPr>
          <w:sz w:val="24"/>
          <w:szCs w:val="24"/>
        </w:rPr>
        <w:t xml:space="preserve"> that “the three doors at the front of each store constitu</w:t>
      </w:r>
      <w:r w:rsidR="0012699D">
        <w:rPr>
          <w:sz w:val="24"/>
          <w:szCs w:val="24"/>
        </w:rPr>
        <w:t xml:space="preserve">te a single, accessible entrance that fully complies” with the ADA and, alternatively, that the </w:t>
      </w:r>
      <w:r w:rsidR="001B35BC">
        <w:rPr>
          <w:sz w:val="24"/>
          <w:szCs w:val="24"/>
        </w:rPr>
        <w:t>regulation</w:t>
      </w:r>
      <w:r w:rsidR="0012699D">
        <w:rPr>
          <w:sz w:val="24"/>
          <w:szCs w:val="24"/>
        </w:rPr>
        <w:t xml:space="preserve"> requiring</w:t>
      </w:r>
      <w:r w:rsidR="001B35BC">
        <w:rPr>
          <w:sz w:val="24"/>
          <w:szCs w:val="24"/>
        </w:rPr>
        <w:t xml:space="preserve"> </w:t>
      </w:r>
      <w:r w:rsidR="00972B7F">
        <w:rPr>
          <w:sz w:val="24"/>
          <w:szCs w:val="24"/>
        </w:rPr>
        <w:t>that</w:t>
      </w:r>
      <w:r w:rsidR="0012699D">
        <w:rPr>
          <w:sz w:val="24"/>
          <w:szCs w:val="24"/>
        </w:rPr>
        <w:t xml:space="preserve"> the accessible entrance be the same one used by a majority of the public</w:t>
      </w:r>
      <w:r w:rsidR="00293F12">
        <w:rPr>
          <w:sz w:val="24"/>
          <w:szCs w:val="24"/>
        </w:rPr>
        <w:t xml:space="preserve">, </w:t>
      </w:r>
      <w:r w:rsidR="005B2416">
        <w:rPr>
          <w:sz w:val="24"/>
          <w:szCs w:val="24"/>
        </w:rPr>
        <w:t>is merely “aspirational,</w:t>
      </w:r>
      <w:r w:rsidR="00293F12">
        <w:rPr>
          <w:sz w:val="24"/>
          <w:szCs w:val="24"/>
        </w:rPr>
        <w:t>”</w:t>
      </w:r>
      <w:r w:rsidR="005B2416">
        <w:rPr>
          <w:sz w:val="24"/>
          <w:szCs w:val="24"/>
        </w:rPr>
        <w:t xml:space="preserve"> and therefor</w:t>
      </w:r>
      <w:r w:rsidR="00332139">
        <w:rPr>
          <w:sz w:val="24"/>
          <w:szCs w:val="24"/>
        </w:rPr>
        <w:t>e,</w:t>
      </w:r>
      <w:r w:rsidR="00332139" w:rsidRPr="00332139">
        <w:rPr>
          <w:sz w:val="24"/>
          <w:szCs w:val="24"/>
        </w:rPr>
        <w:t xml:space="preserve"> </w:t>
      </w:r>
      <w:r w:rsidR="00332139">
        <w:rPr>
          <w:sz w:val="24"/>
          <w:szCs w:val="24"/>
        </w:rPr>
        <w:t xml:space="preserve">impliedly, </w:t>
      </w:r>
      <w:r w:rsidR="005B2416">
        <w:rPr>
          <w:sz w:val="24"/>
          <w:szCs w:val="24"/>
        </w:rPr>
        <w:t>not mandatory.</w:t>
      </w:r>
      <w:r w:rsidR="0012699D">
        <w:rPr>
          <w:sz w:val="24"/>
          <w:szCs w:val="24"/>
        </w:rPr>
        <w:t xml:space="preserve">  Opp. at pp. 5-6.</w:t>
      </w:r>
    </w:p>
    <w:p w:rsidR="00166E71" w:rsidRPr="009F17E7" w:rsidRDefault="00166E71" w:rsidP="00166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 w:val="24"/>
          <w:szCs w:val="24"/>
          <w:highlight w:val="cyan"/>
        </w:rPr>
      </w:pPr>
      <w:r>
        <w:rPr>
          <w:b/>
          <w:bCs/>
          <w:sz w:val="24"/>
          <w:szCs w:val="24"/>
        </w:rPr>
        <w:t>STANDARD OF REVIEW</w:t>
      </w:r>
    </w:p>
    <w:p w:rsidR="00166E71" w:rsidRDefault="00166E71" w:rsidP="00166E71">
      <w:pPr>
        <w:spacing w:line="480" w:lineRule="auto"/>
        <w:ind w:firstLine="720"/>
        <w:rPr>
          <w:sz w:val="24"/>
          <w:szCs w:val="24"/>
        </w:rPr>
      </w:pPr>
      <w:r w:rsidRPr="004D349E">
        <w:rPr>
          <w:sz w:val="24"/>
          <w:szCs w:val="24"/>
        </w:rPr>
        <w:t xml:space="preserve"> Summary judgment is appropriate where the Court is satisfied that “there is no genuine dispute as to any material fact” and the moving party is entitled to judgment as a matter of law.  Fed. R. Civ. P. 56(a); </w:t>
      </w:r>
      <w:r w:rsidR="00EA454E" w:rsidRPr="004D349E">
        <w:rPr>
          <w:i/>
          <w:sz w:val="24"/>
          <w:szCs w:val="24"/>
        </w:rPr>
        <w:fldChar w:fldCharType="begin"/>
      </w:r>
      <w:r w:rsidRPr="004D349E">
        <w:rPr>
          <w:i/>
          <w:sz w:val="24"/>
          <w:szCs w:val="24"/>
        </w:rPr>
        <w:instrText xml:space="preserve"> TA \l "Celotex Corp. v. Catrett,</w:instrText>
      </w:r>
      <w:r w:rsidRPr="004D349E">
        <w:rPr>
          <w:i/>
          <w:sz w:val="24"/>
          <w:szCs w:val="24"/>
        </w:rPr>
        <w:br/>
        <w:instrText xml:space="preserve">477 U.S. 317 (1986)" \s "WSFTA_55dc85aef7074e1e9285f2923c473b65" \c 3 </w:instrText>
      </w:r>
      <w:r w:rsidR="00EA454E" w:rsidRPr="004D349E">
        <w:rPr>
          <w:i/>
          <w:sz w:val="24"/>
          <w:szCs w:val="24"/>
        </w:rPr>
        <w:fldChar w:fldCharType="end"/>
      </w:r>
      <w:r w:rsidRPr="004D349E">
        <w:rPr>
          <w:i/>
          <w:sz w:val="24"/>
          <w:szCs w:val="24"/>
        </w:rPr>
        <w:t>Celotex Corp. v. Catrett</w:t>
      </w:r>
      <w:r w:rsidRPr="004D349E">
        <w:rPr>
          <w:sz w:val="24"/>
          <w:szCs w:val="24"/>
        </w:rPr>
        <w:t xml:space="preserve">, 477 U.S. 317, 322 (1986).  To deny summary judgment, there must be “sufficient evidence favoring the nonmoving party for a jury to return a verdict for that party.  If the evidence is merely colorable, or is not significantly probative, summary judgment may be granted.”  </w:t>
      </w:r>
      <w:r w:rsidRPr="004D349E">
        <w:rPr>
          <w:i/>
          <w:sz w:val="24"/>
          <w:szCs w:val="24"/>
        </w:rPr>
        <w:t>Anderson v. Liberty Lobby, Inc.</w:t>
      </w:r>
      <w:r w:rsidRPr="004D349E">
        <w:rPr>
          <w:sz w:val="24"/>
          <w:szCs w:val="24"/>
        </w:rPr>
        <w:t xml:space="preserve">, 477 U.S. 242, 249-50 (1986) (citations omitted).  </w:t>
      </w:r>
    </w:p>
    <w:p w:rsidR="002A64D0" w:rsidRPr="009F17E7" w:rsidRDefault="009F17E7" w:rsidP="00972B7F">
      <w:pPr>
        <w:autoSpaceDE/>
        <w:autoSpaceDN/>
        <w:adjustRightInd/>
        <w:jc w:val="center"/>
        <w:rPr>
          <w:sz w:val="24"/>
          <w:szCs w:val="24"/>
        </w:rPr>
      </w:pPr>
      <w:r w:rsidRPr="009F17E7">
        <w:rPr>
          <w:b/>
          <w:bCs/>
          <w:sz w:val="24"/>
          <w:szCs w:val="24"/>
        </w:rPr>
        <w:t>ARGUMENT</w:t>
      </w:r>
    </w:p>
    <w:p w:rsidR="00264218" w:rsidRDefault="000F7740" w:rsidP="00396B53">
      <w:pPr>
        <w:spacing w:before="240" w:line="480" w:lineRule="auto"/>
        <w:ind w:firstLine="720"/>
        <w:rPr>
          <w:sz w:val="24"/>
          <w:szCs w:val="24"/>
        </w:rPr>
      </w:pPr>
      <w:r w:rsidRPr="008868FE">
        <w:rPr>
          <w:sz w:val="24"/>
          <w:szCs w:val="24"/>
        </w:rPr>
        <w:t xml:space="preserve">It is not in dispute that </w:t>
      </w:r>
      <w:r w:rsidR="00264218" w:rsidRPr="008868FE">
        <w:rPr>
          <w:sz w:val="24"/>
          <w:szCs w:val="24"/>
        </w:rPr>
        <w:t>Defendants’ store</w:t>
      </w:r>
      <w:r w:rsidR="006F62EC" w:rsidRPr="008868FE">
        <w:rPr>
          <w:sz w:val="24"/>
          <w:szCs w:val="24"/>
        </w:rPr>
        <w:t xml:space="preserve">s </w:t>
      </w:r>
      <w:r w:rsidRPr="008868FE">
        <w:rPr>
          <w:sz w:val="24"/>
          <w:szCs w:val="24"/>
        </w:rPr>
        <w:t xml:space="preserve">were built after the ADA took effect, and yet the design and construction of the entrances to these two stores </w:t>
      </w:r>
      <w:r w:rsidR="001A5E39" w:rsidRPr="008868FE">
        <w:rPr>
          <w:sz w:val="24"/>
          <w:szCs w:val="24"/>
        </w:rPr>
        <w:t>violate</w:t>
      </w:r>
      <w:r w:rsidRPr="008868FE">
        <w:rPr>
          <w:sz w:val="24"/>
          <w:szCs w:val="24"/>
        </w:rPr>
        <w:t>s</w:t>
      </w:r>
      <w:r w:rsidR="001A5E39" w:rsidRPr="008868FE">
        <w:rPr>
          <w:sz w:val="24"/>
          <w:szCs w:val="24"/>
        </w:rPr>
        <w:t xml:space="preserve"> both the </w:t>
      </w:r>
      <w:r w:rsidR="00264218" w:rsidRPr="008868FE">
        <w:rPr>
          <w:sz w:val="24"/>
          <w:szCs w:val="24"/>
        </w:rPr>
        <w:t>pur</w:t>
      </w:r>
      <w:r w:rsidR="00BF68C1" w:rsidRPr="008868FE">
        <w:rPr>
          <w:sz w:val="24"/>
          <w:szCs w:val="24"/>
        </w:rPr>
        <w:t xml:space="preserve">pose and the letter of the ADA by </w:t>
      </w:r>
      <w:r w:rsidR="007466C6" w:rsidRPr="008868FE">
        <w:rPr>
          <w:sz w:val="24"/>
          <w:szCs w:val="24"/>
        </w:rPr>
        <w:t xml:space="preserve">unnecessarily </w:t>
      </w:r>
      <w:r w:rsidR="00BF68C1" w:rsidRPr="008868FE">
        <w:rPr>
          <w:sz w:val="24"/>
          <w:szCs w:val="24"/>
        </w:rPr>
        <w:t xml:space="preserve">relegating people who use wheelchairs to </w:t>
      </w:r>
      <w:r w:rsidR="007466C6" w:rsidRPr="008868FE">
        <w:rPr>
          <w:sz w:val="24"/>
          <w:szCs w:val="24"/>
        </w:rPr>
        <w:t>separate and</w:t>
      </w:r>
      <w:r w:rsidR="00181853">
        <w:rPr>
          <w:sz w:val="24"/>
          <w:szCs w:val="24"/>
        </w:rPr>
        <w:t xml:space="preserve"> objectively different entrances </w:t>
      </w:r>
      <w:r w:rsidR="007466C6" w:rsidRPr="008868FE">
        <w:rPr>
          <w:sz w:val="24"/>
          <w:szCs w:val="24"/>
        </w:rPr>
        <w:t>than those available for other people.</w:t>
      </w:r>
      <w:r w:rsidR="007466C6">
        <w:rPr>
          <w:sz w:val="24"/>
          <w:szCs w:val="24"/>
        </w:rPr>
        <w:t xml:space="preserve">  </w:t>
      </w:r>
      <w:r w:rsidR="00120A87">
        <w:rPr>
          <w:sz w:val="24"/>
          <w:szCs w:val="24"/>
        </w:rPr>
        <w:t xml:space="preserve">Title III of the ADA broadly </w:t>
      </w:r>
      <w:r w:rsidR="00D25B27">
        <w:rPr>
          <w:sz w:val="24"/>
          <w:szCs w:val="24"/>
        </w:rPr>
        <w:t>requires that “</w:t>
      </w:r>
      <w:r w:rsidR="001B35BC">
        <w:rPr>
          <w:sz w:val="24"/>
          <w:szCs w:val="24"/>
        </w:rPr>
        <w:t>[</w:t>
      </w:r>
      <w:r w:rsidR="00E1218E" w:rsidRPr="00004EAE">
        <w:rPr>
          <w:sz w:val="24"/>
          <w:szCs w:val="24"/>
        </w:rPr>
        <w:t>n</w:t>
      </w:r>
      <w:r w:rsidR="001B35BC">
        <w:rPr>
          <w:sz w:val="24"/>
          <w:szCs w:val="24"/>
        </w:rPr>
        <w:t>]</w:t>
      </w:r>
      <w:r w:rsidR="00E1218E" w:rsidRPr="00004EAE">
        <w:rPr>
          <w:sz w:val="24"/>
          <w:szCs w:val="24"/>
        </w:rPr>
        <w:t>o individual shall be discriminated against on the basis of disability in the full and equal enjoyment of the goods, services, facilities, privileges</w:t>
      </w:r>
      <w:r w:rsidR="006D7D8C">
        <w:rPr>
          <w:sz w:val="24"/>
          <w:szCs w:val="24"/>
        </w:rPr>
        <w:t xml:space="preserve">, advantages, or accommodations </w:t>
      </w:r>
      <w:r w:rsidR="00E1218E" w:rsidRPr="00004EAE">
        <w:rPr>
          <w:sz w:val="24"/>
          <w:szCs w:val="24"/>
        </w:rPr>
        <w:t>of any</w:t>
      </w:r>
      <w:r w:rsidR="00D25B27">
        <w:rPr>
          <w:sz w:val="24"/>
          <w:szCs w:val="24"/>
        </w:rPr>
        <w:t xml:space="preserve"> place of public accommodation.”</w:t>
      </w:r>
      <w:r w:rsidR="007E62F9">
        <w:rPr>
          <w:rStyle w:val="FootnoteReference"/>
          <w:sz w:val="24"/>
          <w:szCs w:val="24"/>
        </w:rPr>
        <w:footnoteReference w:id="3"/>
      </w:r>
      <w:r w:rsidR="001B35BC">
        <w:rPr>
          <w:sz w:val="24"/>
          <w:szCs w:val="24"/>
        </w:rPr>
        <w:t xml:space="preserve">  </w:t>
      </w:r>
      <w:r w:rsidR="00E1218E" w:rsidRPr="006D7D8C">
        <w:rPr>
          <w:sz w:val="24"/>
          <w:szCs w:val="24"/>
        </w:rPr>
        <w:t>42 U.S.C. § 12182(a)</w:t>
      </w:r>
      <w:r w:rsidR="00E1218E" w:rsidRPr="00004EAE">
        <w:rPr>
          <w:sz w:val="24"/>
          <w:szCs w:val="24"/>
        </w:rPr>
        <w:t>.</w:t>
      </w:r>
      <w:r w:rsidR="001B35BC">
        <w:rPr>
          <w:sz w:val="24"/>
          <w:szCs w:val="24"/>
        </w:rPr>
        <w:t xml:space="preserve">  </w:t>
      </w:r>
      <w:r w:rsidR="00F26BD6">
        <w:rPr>
          <w:sz w:val="24"/>
          <w:szCs w:val="24"/>
        </w:rPr>
        <w:t>I</w:t>
      </w:r>
      <w:r w:rsidR="00120A87">
        <w:rPr>
          <w:sz w:val="24"/>
          <w:szCs w:val="24"/>
        </w:rPr>
        <w:t xml:space="preserve">t specifically prohibits providing accommodations to people with disabilities that are “different or separate” than those provided to other people </w:t>
      </w:r>
      <w:r w:rsidR="00120A87" w:rsidRPr="00FB738D">
        <w:rPr>
          <w:i/>
          <w:sz w:val="24"/>
          <w:szCs w:val="24"/>
        </w:rPr>
        <w:t>except</w:t>
      </w:r>
      <w:r w:rsidR="00120A87">
        <w:rPr>
          <w:sz w:val="24"/>
          <w:szCs w:val="24"/>
        </w:rPr>
        <w:t xml:space="preserve"> </w:t>
      </w:r>
      <w:r w:rsidR="00120A87" w:rsidRPr="00FB738D">
        <w:rPr>
          <w:i/>
          <w:sz w:val="24"/>
          <w:szCs w:val="24"/>
        </w:rPr>
        <w:t>where n</w:t>
      </w:r>
      <w:r w:rsidR="003745E5">
        <w:rPr>
          <w:i/>
          <w:sz w:val="24"/>
          <w:szCs w:val="24"/>
        </w:rPr>
        <w:t xml:space="preserve">ecessary to match effectiveness </w:t>
      </w:r>
      <w:r w:rsidR="00120A87" w:rsidRPr="00FB738D">
        <w:rPr>
          <w:i/>
          <w:sz w:val="24"/>
          <w:szCs w:val="24"/>
        </w:rPr>
        <w:t>of the accommodation provided to others</w:t>
      </w:r>
      <w:r w:rsidR="00120A87">
        <w:rPr>
          <w:sz w:val="24"/>
          <w:szCs w:val="24"/>
        </w:rPr>
        <w:t>.  42 U.S.C.</w:t>
      </w:r>
      <w:r w:rsidR="00120A87" w:rsidRPr="00747B92">
        <w:rPr>
          <w:sz w:val="24"/>
          <w:szCs w:val="24"/>
        </w:rPr>
        <w:t xml:space="preserve"> § 12182(b)(1)(A)(iii)</w:t>
      </w:r>
      <w:r w:rsidR="000A0C33">
        <w:rPr>
          <w:sz w:val="24"/>
          <w:szCs w:val="24"/>
        </w:rPr>
        <w:t>.</w:t>
      </w:r>
      <w:r w:rsidR="000A0C33">
        <w:rPr>
          <w:rStyle w:val="FootnoteReference"/>
          <w:sz w:val="24"/>
          <w:szCs w:val="24"/>
        </w:rPr>
        <w:footnoteReference w:id="4"/>
      </w:r>
      <w:r w:rsidR="000A0C33">
        <w:rPr>
          <w:sz w:val="24"/>
          <w:szCs w:val="24"/>
        </w:rPr>
        <w:t xml:space="preserve"> </w:t>
      </w:r>
      <w:r w:rsidR="00F26BD6">
        <w:rPr>
          <w:sz w:val="24"/>
          <w:szCs w:val="24"/>
        </w:rPr>
        <w:t xml:space="preserve">  </w:t>
      </w:r>
      <w:r w:rsidR="007466C6">
        <w:rPr>
          <w:sz w:val="24"/>
          <w:szCs w:val="24"/>
        </w:rPr>
        <w:t xml:space="preserve"> </w:t>
      </w:r>
      <w:r w:rsidR="007E62F9">
        <w:rPr>
          <w:sz w:val="24"/>
          <w:szCs w:val="24"/>
        </w:rPr>
        <w:t xml:space="preserve">  </w:t>
      </w:r>
    </w:p>
    <w:p w:rsidR="008868FE" w:rsidRDefault="0015721D" w:rsidP="00264218">
      <w:pPr>
        <w:spacing w:line="480" w:lineRule="auto"/>
        <w:ind w:firstLine="720"/>
        <w:rPr>
          <w:sz w:val="24"/>
          <w:szCs w:val="24"/>
        </w:rPr>
      </w:pPr>
      <w:r>
        <w:rPr>
          <w:sz w:val="24"/>
          <w:szCs w:val="24"/>
        </w:rPr>
        <w:t xml:space="preserve">Regarding </w:t>
      </w:r>
      <w:r w:rsidR="004C49C6">
        <w:rPr>
          <w:sz w:val="24"/>
          <w:szCs w:val="24"/>
        </w:rPr>
        <w:t xml:space="preserve">new building </w:t>
      </w:r>
      <w:r w:rsidR="00264218">
        <w:rPr>
          <w:sz w:val="24"/>
          <w:szCs w:val="24"/>
        </w:rPr>
        <w:t>construction</w:t>
      </w:r>
      <w:r w:rsidR="00CE3E68">
        <w:rPr>
          <w:sz w:val="24"/>
          <w:szCs w:val="24"/>
        </w:rPr>
        <w:t xml:space="preserve"> after January 26, 1993,</w:t>
      </w:r>
      <w:r w:rsidR="00264218">
        <w:rPr>
          <w:sz w:val="24"/>
          <w:szCs w:val="24"/>
        </w:rPr>
        <w:t xml:space="preserve"> the ADA </w:t>
      </w:r>
      <w:r w:rsidR="004C49C6">
        <w:rPr>
          <w:sz w:val="24"/>
          <w:szCs w:val="24"/>
        </w:rPr>
        <w:t xml:space="preserve">mandates that </w:t>
      </w:r>
      <w:r w:rsidR="000A565F">
        <w:rPr>
          <w:sz w:val="24"/>
          <w:szCs w:val="24"/>
        </w:rPr>
        <w:t xml:space="preserve">new facilities must be </w:t>
      </w:r>
      <w:r w:rsidR="000A565F" w:rsidRPr="007E62F9">
        <w:rPr>
          <w:sz w:val="24"/>
          <w:szCs w:val="24"/>
        </w:rPr>
        <w:t>“readily accessible to and usable by individuals with disabilities</w:t>
      </w:r>
      <w:r w:rsidR="000A565F">
        <w:rPr>
          <w:sz w:val="24"/>
          <w:szCs w:val="24"/>
        </w:rPr>
        <w:t xml:space="preserve">.”  </w:t>
      </w:r>
      <w:r w:rsidR="000A565F" w:rsidRPr="007E62F9">
        <w:rPr>
          <w:sz w:val="24"/>
          <w:szCs w:val="24"/>
        </w:rPr>
        <w:t>42 U</w:t>
      </w:r>
      <w:r w:rsidR="000A565F">
        <w:rPr>
          <w:sz w:val="24"/>
          <w:szCs w:val="24"/>
        </w:rPr>
        <w:t>.</w:t>
      </w:r>
      <w:r w:rsidR="000A565F" w:rsidRPr="007E62F9">
        <w:rPr>
          <w:sz w:val="24"/>
          <w:szCs w:val="24"/>
        </w:rPr>
        <w:t>S</w:t>
      </w:r>
      <w:r w:rsidR="000A565F">
        <w:rPr>
          <w:sz w:val="24"/>
          <w:szCs w:val="24"/>
        </w:rPr>
        <w:t>.</w:t>
      </w:r>
      <w:r w:rsidR="000A565F" w:rsidRPr="007E62F9">
        <w:rPr>
          <w:sz w:val="24"/>
          <w:szCs w:val="24"/>
        </w:rPr>
        <w:t>C</w:t>
      </w:r>
      <w:r w:rsidR="000A565F">
        <w:rPr>
          <w:sz w:val="24"/>
          <w:szCs w:val="24"/>
        </w:rPr>
        <w:t>.</w:t>
      </w:r>
      <w:r w:rsidR="000A565F" w:rsidRPr="007E62F9">
        <w:rPr>
          <w:sz w:val="24"/>
          <w:szCs w:val="24"/>
        </w:rPr>
        <w:t xml:space="preserve"> § 12183</w:t>
      </w:r>
      <w:r w:rsidR="000A565F">
        <w:rPr>
          <w:sz w:val="24"/>
          <w:szCs w:val="24"/>
        </w:rPr>
        <w:t>(a)(1).</w:t>
      </w:r>
      <w:r w:rsidR="000A565F">
        <w:rPr>
          <w:rStyle w:val="FootnoteReference"/>
          <w:sz w:val="24"/>
          <w:szCs w:val="24"/>
        </w:rPr>
        <w:footnoteReference w:id="5"/>
      </w:r>
      <w:r w:rsidR="000A565F">
        <w:rPr>
          <w:sz w:val="24"/>
          <w:szCs w:val="24"/>
        </w:rPr>
        <w:t xml:space="preserve">   A</w:t>
      </w:r>
      <w:r w:rsidR="00CE3E68">
        <w:rPr>
          <w:sz w:val="24"/>
          <w:szCs w:val="24"/>
        </w:rPr>
        <w:t xml:space="preserve">ll structural elements </w:t>
      </w:r>
      <w:r w:rsidR="004C49C6" w:rsidRPr="004C49C6">
        <w:rPr>
          <w:sz w:val="24"/>
          <w:szCs w:val="24"/>
        </w:rPr>
        <w:t xml:space="preserve">required to be accessible must meet the requirements set out in the </w:t>
      </w:r>
      <w:r w:rsidR="001353E8">
        <w:rPr>
          <w:sz w:val="24"/>
          <w:szCs w:val="24"/>
        </w:rPr>
        <w:t>ADA’s implementing regulations (hereinafter “ADA Standards”)</w:t>
      </w:r>
      <w:r w:rsidR="004C49C6">
        <w:rPr>
          <w:rStyle w:val="FootnoteReference"/>
          <w:sz w:val="24"/>
          <w:szCs w:val="24"/>
        </w:rPr>
        <w:footnoteReference w:id="6"/>
      </w:r>
      <w:r w:rsidR="00972B7F">
        <w:rPr>
          <w:sz w:val="24"/>
          <w:szCs w:val="24"/>
        </w:rPr>
        <w:t xml:space="preserve"> </w:t>
      </w:r>
      <w:r w:rsidR="004C49C6">
        <w:rPr>
          <w:sz w:val="24"/>
          <w:szCs w:val="24"/>
        </w:rPr>
        <w:t>“</w:t>
      </w:r>
      <w:r w:rsidR="00264218" w:rsidRPr="00FB738D">
        <w:rPr>
          <w:i/>
          <w:sz w:val="24"/>
          <w:szCs w:val="24"/>
        </w:rPr>
        <w:t>except</w:t>
      </w:r>
      <w:r w:rsidR="00264218" w:rsidRPr="007E62F9">
        <w:rPr>
          <w:sz w:val="24"/>
          <w:szCs w:val="24"/>
        </w:rPr>
        <w:t xml:space="preserve"> </w:t>
      </w:r>
      <w:r w:rsidR="00264218" w:rsidRPr="00FB738D">
        <w:rPr>
          <w:i/>
          <w:sz w:val="24"/>
          <w:szCs w:val="24"/>
        </w:rPr>
        <w:t>where an entity can demonstrate that it is structurally impracticable</w:t>
      </w:r>
      <w:r w:rsidR="00264218">
        <w:rPr>
          <w:sz w:val="24"/>
          <w:szCs w:val="24"/>
        </w:rPr>
        <w:t xml:space="preserve">” </w:t>
      </w:r>
      <w:r w:rsidR="000A0C33">
        <w:rPr>
          <w:sz w:val="24"/>
          <w:szCs w:val="24"/>
        </w:rPr>
        <w:t>to do so</w:t>
      </w:r>
      <w:r w:rsidR="00264218">
        <w:rPr>
          <w:sz w:val="24"/>
          <w:szCs w:val="24"/>
        </w:rPr>
        <w:t>.</w:t>
      </w:r>
      <w:r w:rsidR="004C49C6">
        <w:rPr>
          <w:sz w:val="24"/>
          <w:szCs w:val="24"/>
        </w:rPr>
        <w:t xml:space="preserve">  </w:t>
      </w:r>
      <w:r w:rsidR="00264218">
        <w:rPr>
          <w:sz w:val="24"/>
          <w:szCs w:val="24"/>
        </w:rPr>
        <w:t xml:space="preserve"> </w:t>
      </w:r>
      <w:r w:rsidR="000A565F" w:rsidRPr="000A565F">
        <w:rPr>
          <w:i/>
          <w:sz w:val="24"/>
          <w:szCs w:val="24"/>
        </w:rPr>
        <w:t>Id</w:t>
      </w:r>
      <w:r w:rsidR="000A565F">
        <w:rPr>
          <w:sz w:val="24"/>
          <w:szCs w:val="24"/>
        </w:rPr>
        <w:t xml:space="preserve">. </w:t>
      </w:r>
      <w:r w:rsidR="00FB738D">
        <w:rPr>
          <w:sz w:val="24"/>
          <w:szCs w:val="24"/>
        </w:rPr>
        <w:t>(emphasis added)</w:t>
      </w:r>
      <w:r w:rsidR="00CE3E68">
        <w:rPr>
          <w:sz w:val="24"/>
          <w:szCs w:val="24"/>
        </w:rPr>
        <w:t xml:space="preserve">.  </w:t>
      </w:r>
      <w:r w:rsidR="002B6BA3" w:rsidRPr="008868FE">
        <w:rPr>
          <w:sz w:val="24"/>
          <w:szCs w:val="24"/>
        </w:rPr>
        <w:t>The regul</w:t>
      </w:r>
      <w:r w:rsidR="00CE3E68">
        <w:rPr>
          <w:sz w:val="24"/>
          <w:szCs w:val="24"/>
        </w:rPr>
        <w:t xml:space="preserve">atory language explains that this exception applies “only in those rare circumstances when the unique characteristics of terrain prevent the incorporation of accessibility features.”  28 C.F.R. </w:t>
      </w:r>
      <w:r w:rsidR="00CE3E68" w:rsidRPr="007E62F9">
        <w:rPr>
          <w:sz w:val="24"/>
          <w:szCs w:val="24"/>
        </w:rPr>
        <w:t>§</w:t>
      </w:r>
      <w:r w:rsidR="00CE3E68">
        <w:rPr>
          <w:sz w:val="24"/>
          <w:szCs w:val="24"/>
        </w:rPr>
        <w:t xml:space="preserve"> 36.401(c)(1).  </w:t>
      </w:r>
      <w:r w:rsidR="0091550E">
        <w:rPr>
          <w:sz w:val="24"/>
          <w:szCs w:val="24"/>
        </w:rPr>
        <w:t xml:space="preserve"> </w:t>
      </w:r>
      <w:r w:rsidR="002B6BA3">
        <w:rPr>
          <w:sz w:val="24"/>
          <w:szCs w:val="24"/>
        </w:rPr>
        <w:t xml:space="preserve"> </w:t>
      </w:r>
    </w:p>
    <w:p w:rsidR="00264218" w:rsidRDefault="00261F2A" w:rsidP="00264218">
      <w:pPr>
        <w:spacing w:line="480" w:lineRule="auto"/>
        <w:ind w:firstLine="720"/>
        <w:rPr>
          <w:sz w:val="24"/>
          <w:szCs w:val="24"/>
        </w:rPr>
      </w:pPr>
      <w:r>
        <w:rPr>
          <w:sz w:val="24"/>
          <w:szCs w:val="24"/>
        </w:rPr>
        <w:t>With respect to</w:t>
      </w:r>
      <w:r w:rsidR="00264218">
        <w:rPr>
          <w:sz w:val="24"/>
          <w:szCs w:val="24"/>
        </w:rPr>
        <w:t xml:space="preserve"> </w:t>
      </w:r>
      <w:r w:rsidR="001F7A79">
        <w:rPr>
          <w:sz w:val="24"/>
          <w:szCs w:val="24"/>
        </w:rPr>
        <w:t xml:space="preserve">the </w:t>
      </w:r>
      <w:r w:rsidR="00264218">
        <w:rPr>
          <w:sz w:val="24"/>
          <w:szCs w:val="24"/>
        </w:rPr>
        <w:t>entrances of new</w:t>
      </w:r>
      <w:r w:rsidR="00120A87">
        <w:rPr>
          <w:sz w:val="24"/>
          <w:szCs w:val="24"/>
        </w:rPr>
        <w:t>ly</w:t>
      </w:r>
      <w:r w:rsidR="00FD4731">
        <w:rPr>
          <w:sz w:val="24"/>
          <w:szCs w:val="24"/>
        </w:rPr>
        <w:t xml:space="preserve"> constructed facilities, the</w:t>
      </w:r>
      <w:r w:rsidR="00264218">
        <w:rPr>
          <w:sz w:val="24"/>
          <w:szCs w:val="24"/>
        </w:rPr>
        <w:t xml:space="preserve"> </w:t>
      </w:r>
      <w:r w:rsidR="00CE3E68">
        <w:rPr>
          <w:sz w:val="24"/>
          <w:szCs w:val="24"/>
        </w:rPr>
        <w:t>ADA Standards</w:t>
      </w:r>
      <w:r w:rsidR="00264218">
        <w:rPr>
          <w:sz w:val="24"/>
          <w:szCs w:val="24"/>
        </w:rPr>
        <w:t xml:space="preserve"> require that:</w:t>
      </w:r>
    </w:p>
    <w:p w:rsidR="00264218" w:rsidRDefault="00264218" w:rsidP="00264218">
      <w:pPr>
        <w:ind w:left="720" w:right="720"/>
        <w:rPr>
          <w:sz w:val="24"/>
          <w:szCs w:val="24"/>
        </w:rPr>
      </w:pPr>
      <w:r w:rsidRPr="00FB738D">
        <w:rPr>
          <w:i/>
          <w:sz w:val="24"/>
          <w:szCs w:val="24"/>
        </w:rPr>
        <w:t>Where feasible</w:t>
      </w:r>
      <w:r>
        <w:rPr>
          <w:sz w:val="24"/>
          <w:szCs w:val="24"/>
        </w:rPr>
        <w:t>, accessible entrances shall be the entrances used by the majority of the people visiting or working in the building.</w:t>
      </w:r>
    </w:p>
    <w:p w:rsidR="00264218" w:rsidRDefault="00264218" w:rsidP="00264218">
      <w:pPr>
        <w:rPr>
          <w:sz w:val="24"/>
          <w:szCs w:val="24"/>
        </w:rPr>
      </w:pPr>
    </w:p>
    <w:p w:rsidR="00264218" w:rsidRDefault="00264218" w:rsidP="00264218">
      <w:pPr>
        <w:spacing w:line="480" w:lineRule="auto"/>
        <w:rPr>
          <w:sz w:val="24"/>
          <w:szCs w:val="24"/>
        </w:rPr>
      </w:pPr>
      <w:r>
        <w:rPr>
          <w:sz w:val="24"/>
          <w:szCs w:val="24"/>
        </w:rPr>
        <w:t xml:space="preserve">28 C.F.R. Pt. 36, App. A, </w:t>
      </w:r>
      <w:r w:rsidR="00F938CA">
        <w:rPr>
          <w:sz w:val="24"/>
          <w:szCs w:val="24"/>
        </w:rPr>
        <w:t>(“</w:t>
      </w:r>
      <w:r w:rsidR="001353E8">
        <w:rPr>
          <w:sz w:val="24"/>
          <w:szCs w:val="24"/>
        </w:rPr>
        <w:t xml:space="preserve">ADA </w:t>
      </w:r>
      <w:r w:rsidR="00F938CA">
        <w:rPr>
          <w:sz w:val="24"/>
          <w:szCs w:val="24"/>
        </w:rPr>
        <w:t xml:space="preserve">Standard”) </w:t>
      </w:r>
      <w:r>
        <w:rPr>
          <w:sz w:val="24"/>
          <w:szCs w:val="24"/>
        </w:rPr>
        <w:t>4.1.3(8)(a)(iii)</w:t>
      </w:r>
      <w:r w:rsidR="00261F2A">
        <w:rPr>
          <w:sz w:val="24"/>
          <w:szCs w:val="24"/>
        </w:rPr>
        <w:t xml:space="preserve"> (emphasis added)</w:t>
      </w:r>
      <w:r>
        <w:rPr>
          <w:sz w:val="24"/>
          <w:szCs w:val="24"/>
        </w:rPr>
        <w:t>.</w:t>
      </w:r>
      <w:r w:rsidR="00F26BD6">
        <w:rPr>
          <w:sz w:val="24"/>
          <w:szCs w:val="24"/>
        </w:rPr>
        <w:t xml:space="preserve">  </w:t>
      </w:r>
    </w:p>
    <w:p w:rsidR="002F43BB" w:rsidRDefault="00952091" w:rsidP="002F43BB">
      <w:pPr>
        <w:spacing w:line="480" w:lineRule="auto"/>
        <w:ind w:firstLine="720"/>
        <w:rPr>
          <w:sz w:val="24"/>
          <w:szCs w:val="24"/>
        </w:rPr>
      </w:pPr>
      <w:r>
        <w:rPr>
          <w:sz w:val="24"/>
          <w:szCs w:val="24"/>
        </w:rPr>
        <w:t xml:space="preserve">Defendants </w:t>
      </w:r>
      <w:r w:rsidR="00261F2A">
        <w:rPr>
          <w:sz w:val="24"/>
          <w:szCs w:val="24"/>
        </w:rPr>
        <w:t xml:space="preserve">do not allege </w:t>
      </w:r>
      <w:r w:rsidR="00FB738D">
        <w:rPr>
          <w:sz w:val="24"/>
          <w:szCs w:val="24"/>
        </w:rPr>
        <w:t xml:space="preserve">that </w:t>
      </w:r>
      <w:r w:rsidR="00261F2A">
        <w:rPr>
          <w:sz w:val="24"/>
          <w:szCs w:val="24"/>
        </w:rPr>
        <w:t xml:space="preserve">they meet any of the exceptions </w:t>
      </w:r>
      <w:r w:rsidR="002F43BB">
        <w:rPr>
          <w:sz w:val="24"/>
          <w:szCs w:val="24"/>
        </w:rPr>
        <w:t xml:space="preserve">(in italics above) </w:t>
      </w:r>
      <w:r>
        <w:rPr>
          <w:sz w:val="24"/>
          <w:szCs w:val="24"/>
        </w:rPr>
        <w:t xml:space="preserve">contained in the </w:t>
      </w:r>
      <w:r w:rsidR="00972B7F">
        <w:rPr>
          <w:sz w:val="24"/>
          <w:szCs w:val="24"/>
        </w:rPr>
        <w:t xml:space="preserve">preceding </w:t>
      </w:r>
      <w:r>
        <w:rPr>
          <w:sz w:val="24"/>
          <w:szCs w:val="24"/>
        </w:rPr>
        <w:t xml:space="preserve">provisions </w:t>
      </w:r>
      <w:r w:rsidR="00261F2A">
        <w:rPr>
          <w:sz w:val="24"/>
          <w:szCs w:val="24"/>
        </w:rPr>
        <w:t>to excuse</w:t>
      </w:r>
      <w:r w:rsidR="002133AF">
        <w:rPr>
          <w:sz w:val="24"/>
          <w:szCs w:val="24"/>
        </w:rPr>
        <w:t xml:space="preserve"> their stores’ d</w:t>
      </w:r>
      <w:r w:rsidR="00FB738D">
        <w:rPr>
          <w:sz w:val="24"/>
          <w:szCs w:val="24"/>
        </w:rPr>
        <w:t xml:space="preserve">ifferent and </w:t>
      </w:r>
      <w:r w:rsidR="002133AF">
        <w:rPr>
          <w:sz w:val="24"/>
          <w:szCs w:val="24"/>
        </w:rPr>
        <w:t>separate</w:t>
      </w:r>
      <w:r w:rsidR="00FB738D">
        <w:rPr>
          <w:sz w:val="24"/>
          <w:szCs w:val="24"/>
        </w:rPr>
        <w:t xml:space="preserve"> accessible </w:t>
      </w:r>
      <w:r w:rsidR="00181853">
        <w:rPr>
          <w:sz w:val="24"/>
          <w:szCs w:val="24"/>
        </w:rPr>
        <w:t>entrances</w:t>
      </w:r>
      <w:r w:rsidR="00FB738D">
        <w:rPr>
          <w:sz w:val="24"/>
          <w:szCs w:val="24"/>
        </w:rPr>
        <w:t xml:space="preserve">.  They </w:t>
      </w:r>
      <w:r w:rsidR="00F26BD6">
        <w:rPr>
          <w:sz w:val="24"/>
          <w:szCs w:val="24"/>
        </w:rPr>
        <w:t xml:space="preserve">do not allege that their </w:t>
      </w:r>
      <w:r w:rsidR="002133AF">
        <w:rPr>
          <w:sz w:val="24"/>
          <w:szCs w:val="24"/>
        </w:rPr>
        <w:t xml:space="preserve">different and </w:t>
      </w:r>
      <w:r w:rsidR="00F26BD6">
        <w:rPr>
          <w:sz w:val="24"/>
          <w:szCs w:val="24"/>
        </w:rPr>
        <w:t>separate</w:t>
      </w:r>
      <w:r w:rsidR="00FB738D">
        <w:rPr>
          <w:sz w:val="24"/>
          <w:szCs w:val="24"/>
        </w:rPr>
        <w:t xml:space="preserve"> </w:t>
      </w:r>
      <w:r w:rsidR="00F26BD6">
        <w:rPr>
          <w:sz w:val="24"/>
          <w:szCs w:val="24"/>
        </w:rPr>
        <w:t xml:space="preserve">accessible </w:t>
      </w:r>
      <w:r w:rsidR="00181853">
        <w:rPr>
          <w:sz w:val="24"/>
          <w:szCs w:val="24"/>
        </w:rPr>
        <w:t>entrances</w:t>
      </w:r>
      <w:r w:rsidR="00F26BD6">
        <w:rPr>
          <w:sz w:val="24"/>
          <w:szCs w:val="24"/>
        </w:rPr>
        <w:t xml:space="preserve"> are necessary to match the </w:t>
      </w:r>
      <w:r w:rsidR="00FB738D">
        <w:rPr>
          <w:sz w:val="24"/>
          <w:szCs w:val="24"/>
        </w:rPr>
        <w:t>“</w:t>
      </w:r>
      <w:r w:rsidR="00F26BD6">
        <w:rPr>
          <w:sz w:val="24"/>
          <w:szCs w:val="24"/>
        </w:rPr>
        <w:t>effectiveness</w:t>
      </w:r>
      <w:r w:rsidR="00FB738D">
        <w:rPr>
          <w:sz w:val="24"/>
          <w:szCs w:val="24"/>
        </w:rPr>
        <w:t>”</w:t>
      </w:r>
      <w:r w:rsidR="00F26BD6">
        <w:rPr>
          <w:sz w:val="24"/>
          <w:szCs w:val="24"/>
        </w:rPr>
        <w:t xml:space="preserve"> of the </w:t>
      </w:r>
      <w:r w:rsidR="002133AF">
        <w:rPr>
          <w:sz w:val="24"/>
          <w:szCs w:val="24"/>
        </w:rPr>
        <w:t xml:space="preserve">inaccessible </w:t>
      </w:r>
      <w:r w:rsidR="00F26BD6">
        <w:rPr>
          <w:sz w:val="24"/>
          <w:szCs w:val="24"/>
        </w:rPr>
        <w:t xml:space="preserve">raised center </w:t>
      </w:r>
      <w:r w:rsidR="00181853">
        <w:rPr>
          <w:sz w:val="24"/>
          <w:szCs w:val="24"/>
        </w:rPr>
        <w:t>entrance</w:t>
      </w:r>
      <w:r w:rsidR="00F26BD6">
        <w:rPr>
          <w:sz w:val="24"/>
          <w:szCs w:val="24"/>
        </w:rPr>
        <w:t xml:space="preserve">.  </w:t>
      </w:r>
      <w:r w:rsidR="00261F2A">
        <w:rPr>
          <w:sz w:val="24"/>
          <w:szCs w:val="24"/>
        </w:rPr>
        <w:t xml:space="preserve">They do not allege that </w:t>
      </w:r>
      <w:r w:rsidR="00261F2A" w:rsidRPr="007E62F9">
        <w:rPr>
          <w:sz w:val="24"/>
          <w:szCs w:val="24"/>
        </w:rPr>
        <w:t xml:space="preserve">it is </w:t>
      </w:r>
      <w:r w:rsidR="00FB738D">
        <w:rPr>
          <w:sz w:val="24"/>
          <w:szCs w:val="24"/>
        </w:rPr>
        <w:t>“</w:t>
      </w:r>
      <w:r w:rsidR="00261F2A" w:rsidRPr="007E62F9">
        <w:rPr>
          <w:sz w:val="24"/>
          <w:szCs w:val="24"/>
        </w:rPr>
        <w:t>structurally impracticabl</w:t>
      </w:r>
      <w:r w:rsidR="00FB738D">
        <w:rPr>
          <w:sz w:val="24"/>
          <w:szCs w:val="24"/>
        </w:rPr>
        <w:t xml:space="preserve">e” </w:t>
      </w:r>
      <w:r w:rsidR="00261F2A">
        <w:rPr>
          <w:sz w:val="24"/>
          <w:szCs w:val="24"/>
        </w:rPr>
        <w:t>f</w:t>
      </w:r>
      <w:r w:rsidR="00510E17">
        <w:rPr>
          <w:sz w:val="24"/>
          <w:szCs w:val="24"/>
        </w:rPr>
        <w:t xml:space="preserve">or them to meet the </w:t>
      </w:r>
      <w:r w:rsidR="003020E9">
        <w:rPr>
          <w:sz w:val="24"/>
          <w:szCs w:val="24"/>
        </w:rPr>
        <w:t xml:space="preserve">ADA </w:t>
      </w:r>
      <w:r w:rsidR="00261F2A">
        <w:rPr>
          <w:sz w:val="24"/>
          <w:szCs w:val="24"/>
        </w:rPr>
        <w:t xml:space="preserve">Standards.  Nor do they allege that it is </w:t>
      </w:r>
      <w:r w:rsidR="001B35BC">
        <w:rPr>
          <w:sz w:val="24"/>
          <w:szCs w:val="24"/>
        </w:rPr>
        <w:t>infeasible</w:t>
      </w:r>
      <w:r w:rsidR="00261F2A">
        <w:rPr>
          <w:sz w:val="24"/>
          <w:szCs w:val="24"/>
        </w:rPr>
        <w:t xml:space="preserve"> for them to construct</w:t>
      </w:r>
      <w:r w:rsidR="00FB738D">
        <w:rPr>
          <w:sz w:val="24"/>
          <w:szCs w:val="24"/>
        </w:rPr>
        <w:t xml:space="preserve"> </w:t>
      </w:r>
      <w:r w:rsidR="001B35BC">
        <w:rPr>
          <w:sz w:val="24"/>
          <w:szCs w:val="24"/>
        </w:rPr>
        <w:t xml:space="preserve">stores without raised </w:t>
      </w:r>
      <w:r w:rsidR="00181853">
        <w:rPr>
          <w:sz w:val="24"/>
          <w:szCs w:val="24"/>
        </w:rPr>
        <w:t>entrances</w:t>
      </w:r>
      <w:r w:rsidR="001B35BC">
        <w:rPr>
          <w:sz w:val="24"/>
          <w:szCs w:val="24"/>
        </w:rPr>
        <w:t xml:space="preserve">.  </w:t>
      </w:r>
      <w:r w:rsidR="002133AF">
        <w:rPr>
          <w:sz w:val="24"/>
          <w:szCs w:val="24"/>
        </w:rPr>
        <w:t>I</w:t>
      </w:r>
      <w:r w:rsidR="00261F2A">
        <w:rPr>
          <w:sz w:val="24"/>
          <w:szCs w:val="24"/>
        </w:rPr>
        <w:t xml:space="preserve">nstead, </w:t>
      </w:r>
      <w:r w:rsidR="008B0679">
        <w:rPr>
          <w:sz w:val="24"/>
          <w:szCs w:val="24"/>
        </w:rPr>
        <w:t xml:space="preserve">Defendants </w:t>
      </w:r>
      <w:r w:rsidR="006170FD">
        <w:rPr>
          <w:sz w:val="24"/>
          <w:szCs w:val="24"/>
        </w:rPr>
        <w:t xml:space="preserve">argue that </w:t>
      </w:r>
      <w:r w:rsidR="006F62EC">
        <w:rPr>
          <w:sz w:val="24"/>
          <w:szCs w:val="24"/>
        </w:rPr>
        <w:t>the stores’</w:t>
      </w:r>
      <w:r w:rsidR="00396B53">
        <w:rPr>
          <w:sz w:val="24"/>
          <w:szCs w:val="24"/>
        </w:rPr>
        <w:t xml:space="preserve"> combination of </w:t>
      </w:r>
      <w:r w:rsidR="006170FD">
        <w:rPr>
          <w:sz w:val="24"/>
          <w:szCs w:val="24"/>
        </w:rPr>
        <w:t xml:space="preserve">three </w:t>
      </w:r>
      <w:r w:rsidR="008B2D58">
        <w:rPr>
          <w:sz w:val="24"/>
          <w:szCs w:val="24"/>
        </w:rPr>
        <w:t xml:space="preserve">front </w:t>
      </w:r>
      <w:r w:rsidR="00181853">
        <w:rPr>
          <w:sz w:val="24"/>
          <w:szCs w:val="24"/>
        </w:rPr>
        <w:t>entrances</w:t>
      </w:r>
      <w:r w:rsidR="0081003F">
        <w:rPr>
          <w:sz w:val="24"/>
          <w:szCs w:val="24"/>
        </w:rPr>
        <w:t xml:space="preserve"> </w:t>
      </w:r>
      <w:r w:rsidR="006170FD">
        <w:rPr>
          <w:sz w:val="24"/>
          <w:szCs w:val="24"/>
        </w:rPr>
        <w:t xml:space="preserve">should be considered one </w:t>
      </w:r>
      <w:r w:rsidR="0081003F">
        <w:rPr>
          <w:sz w:val="24"/>
          <w:szCs w:val="24"/>
        </w:rPr>
        <w:t xml:space="preserve">accessible </w:t>
      </w:r>
      <w:r w:rsidR="006170FD">
        <w:rPr>
          <w:sz w:val="24"/>
          <w:szCs w:val="24"/>
        </w:rPr>
        <w:t xml:space="preserve">entrance (Opp. at p. 6) </w:t>
      </w:r>
      <w:r w:rsidR="008B0679">
        <w:rPr>
          <w:sz w:val="24"/>
          <w:szCs w:val="24"/>
        </w:rPr>
        <w:t>and</w:t>
      </w:r>
      <w:r w:rsidR="008B2D58">
        <w:rPr>
          <w:sz w:val="24"/>
          <w:szCs w:val="24"/>
        </w:rPr>
        <w:t>,</w:t>
      </w:r>
      <w:r w:rsidR="008B0679">
        <w:rPr>
          <w:sz w:val="24"/>
          <w:szCs w:val="24"/>
        </w:rPr>
        <w:t xml:space="preserve"> alternatively, that the ADA implementing regulation at issue is merely “aspirational” </w:t>
      </w:r>
      <w:r w:rsidR="00F938CA">
        <w:rPr>
          <w:sz w:val="24"/>
          <w:szCs w:val="24"/>
        </w:rPr>
        <w:t>(Opp. at p. 8)</w:t>
      </w:r>
      <w:r w:rsidR="008B0679">
        <w:rPr>
          <w:sz w:val="24"/>
          <w:szCs w:val="24"/>
        </w:rPr>
        <w:t>.</w:t>
      </w:r>
      <w:r w:rsidR="006170FD">
        <w:rPr>
          <w:sz w:val="24"/>
          <w:szCs w:val="24"/>
        </w:rPr>
        <w:t xml:space="preserve">  These arguments fail for </w:t>
      </w:r>
      <w:r>
        <w:rPr>
          <w:sz w:val="24"/>
          <w:szCs w:val="24"/>
        </w:rPr>
        <w:t>two</w:t>
      </w:r>
      <w:r w:rsidR="006170FD">
        <w:rPr>
          <w:sz w:val="24"/>
          <w:szCs w:val="24"/>
        </w:rPr>
        <w:t xml:space="preserve"> </w:t>
      </w:r>
      <w:r w:rsidR="00F938CA">
        <w:rPr>
          <w:sz w:val="24"/>
          <w:szCs w:val="24"/>
        </w:rPr>
        <w:t xml:space="preserve">simple </w:t>
      </w:r>
      <w:r w:rsidR="006170FD">
        <w:rPr>
          <w:sz w:val="24"/>
          <w:szCs w:val="24"/>
        </w:rPr>
        <w:t xml:space="preserve">reasons.  </w:t>
      </w:r>
    </w:p>
    <w:p w:rsidR="00952091" w:rsidRDefault="008B0679" w:rsidP="002F43BB">
      <w:pPr>
        <w:spacing w:line="480" w:lineRule="auto"/>
        <w:ind w:firstLine="720"/>
        <w:rPr>
          <w:sz w:val="24"/>
          <w:szCs w:val="24"/>
        </w:rPr>
      </w:pPr>
      <w:r w:rsidRPr="008B0679">
        <w:rPr>
          <w:i/>
          <w:sz w:val="24"/>
          <w:szCs w:val="24"/>
        </w:rPr>
        <w:t>First</w:t>
      </w:r>
      <w:r w:rsidR="008B2D58">
        <w:rPr>
          <w:sz w:val="24"/>
          <w:szCs w:val="24"/>
        </w:rPr>
        <w:t xml:space="preserve">, </w:t>
      </w:r>
      <w:r w:rsidR="00952091">
        <w:rPr>
          <w:sz w:val="24"/>
          <w:szCs w:val="24"/>
        </w:rPr>
        <w:t xml:space="preserve">the </w:t>
      </w:r>
      <w:r w:rsidR="003020E9">
        <w:rPr>
          <w:sz w:val="24"/>
          <w:szCs w:val="24"/>
        </w:rPr>
        <w:t xml:space="preserve">ADA </w:t>
      </w:r>
      <w:r w:rsidR="00952091">
        <w:rPr>
          <w:sz w:val="24"/>
          <w:szCs w:val="24"/>
        </w:rPr>
        <w:t xml:space="preserve">Standard at issue is mandatory, not “aspirational” as Defendants allege.  </w:t>
      </w:r>
      <w:r w:rsidR="00952091" w:rsidRPr="008931DE">
        <w:rPr>
          <w:i/>
          <w:sz w:val="24"/>
          <w:szCs w:val="24"/>
        </w:rPr>
        <w:t>See</w:t>
      </w:r>
      <w:r w:rsidR="00952091">
        <w:rPr>
          <w:sz w:val="24"/>
          <w:szCs w:val="24"/>
        </w:rPr>
        <w:t xml:space="preserve"> Opp. at pp. 8-9.  It requires that: </w:t>
      </w:r>
    </w:p>
    <w:p w:rsidR="00952091" w:rsidRDefault="00952091" w:rsidP="00952091">
      <w:pPr>
        <w:ind w:left="720" w:right="720"/>
        <w:rPr>
          <w:sz w:val="24"/>
          <w:szCs w:val="24"/>
        </w:rPr>
      </w:pPr>
      <w:r w:rsidRPr="00952091">
        <w:rPr>
          <w:sz w:val="24"/>
          <w:szCs w:val="24"/>
        </w:rPr>
        <w:t>Where feasible,</w:t>
      </w:r>
      <w:r>
        <w:rPr>
          <w:sz w:val="24"/>
          <w:szCs w:val="24"/>
        </w:rPr>
        <w:t xml:space="preserve"> accessible entrances </w:t>
      </w:r>
      <w:r w:rsidRPr="00952091">
        <w:rPr>
          <w:sz w:val="24"/>
          <w:szCs w:val="24"/>
        </w:rPr>
        <w:t xml:space="preserve">shall </w:t>
      </w:r>
      <w:r>
        <w:rPr>
          <w:sz w:val="24"/>
          <w:szCs w:val="24"/>
        </w:rPr>
        <w:t>be the entrances used by the majority of the people visiting or working in the building.</w:t>
      </w:r>
    </w:p>
    <w:p w:rsidR="00952091" w:rsidRDefault="00952091" w:rsidP="00952091">
      <w:pPr>
        <w:rPr>
          <w:sz w:val="24"/>
          <w:szCs w:val="24"/>
        </w:rPr>
      </w:pPr>
    </w:p>
    <w:p w:rsidR="008B0679" w:rsidRPr="000C0360" w:rsidRDefault="001353E8" w:rsidP="002F43BB">
      <w:pPr>
        <w:spacing w:line="480" w:lineRule="auto"/>
        <w:rPr>
          <w:sz w:val="24"/>
          <w:szCs w:val="24"/>
        </w:rPr>
      </w:pPr>
      <w:r>
        <w:rPr>
          <w:sz w:val="24"/>
          <w:szCs w:val="24"/>
        </w:rPr>
        <w:t xml:space="preserve">ADA </w:t>
      </w:r>
      <w:r w:rsidR="00952091">
        <w:rPr>
          <w:sz w:val="24"/>
          <w:szCs w:val="24"/>
        </w:rPr>
        <w:t>Standard 4.1.3(8)(a)(iii).</w:t>
      </w:r>
      <w:r w:rsidR="00EB215E">
        <w:rPr>
          <w:rStyle w:val="FootnoteReference"/>
          <w:sz w:val="24"/>
          <w:szCs w:val="24"/>
        </w:rPr>
        <w:footnoteReference w:id="7"/>
      </w:r>
      <w:r w:rsidR="00594241">
        <w:rPr>
          <w:sz w:val="24"/>
          <w:szCs w:val="24"/>
        </w:rPr>
        <w:t xml:space="preserve">  </w:t>
      </w:r>
      <w:r w:rsidR="00952091">
        <w:rPr>
          <w:sz w:val="24"/>
          <w:szCs w:val="24"/>
        </w:rPr>
        <w:t xml:space="preserve">The </w:t>
      </w:r>
      <w:r w:rsidR="003020E9">
        <w:rPr>
          <w:sz w:val="24"/>
          <w:szCs w:val="24"/>
        </w:rPr>
        <w:t xml:space="preserve">ADA </w:t>
      </w:r>
      <w:r w:rsidR="00952091">
        <w:rPr>
          <w:sz w:val="24"/>
          <w:szCs w:val="24"/>
        </w:rPr>
        <w:t>Standards define “shall” as denoting “</w:t>
      </w:r>
      <w:r w:rsidR="00952091">
        <w:rPr>
          <w:bCs/>
          <w:sz w:val="24"/>
          <w:szCs w:val="24"/>
        </w:rPr>
        <w:t xml:space="preserve">a mandatory specification </w:t>
      </w:r>
      <w:r w:rsidR="00952091" w:rsidRPr="00747B92">
        <w:rPr>
          <w:bCs/>
          <w:sz w:val="24"/>
          <w:szCs w:val="24"/>
        </w:rPr>
        <w:t>or requirement</w:t>
      </w:r>
      <w:r w:rsidR="00952091">
        <w:rPr>
          <w:bCs/>
          <w:sz w:val="24"/>
          <w:szCs w:val="24"/>
        </w:rPr>
        <w:t>.”</w:t>
      </w:r>
      <w:r w:rsidR="00952091" w:rsidRPr="00747B92">
        <w:rPr>
          <w:bCs/>
          <w:sz w:val="24"/>
          <w:szCs w:val="24"/>
        </w:rPr>
        <w:t xml:space="preserve">  </w:t>
      </w:r>
      <w:r>
        <w:rPr>
          <w:bCs/>
          <w:sz w:val="24"/>
          <w:szCs w:val="24"/>
        </w:rPr>
        <w:t xml:space="preserve">ADA </w:t>
      </w:r>
      <w:r w:rsidR="00952091">
        <w:rPr>
          <w:bCs/>
          <w:sz w:val="24"/>
          <w:szCs w:val="24"/>
        </w:rPr>
        <w:t>Standard</w:t>
      </w:r>
      <w:r w:rsidR="00952091" w:rsidRPr="00747B92">
        <w:rPr>
          <w:bCs/>
          <w:sz w:val="24"/>
          <w:szCs w:val="24"/>
        </w:rPr>
        <w:t xml:space="preserve"> 3.4.</w:t>
      </w:r>
      <w:r w:rsidR="00952091">
        <w:rPr>
          <w:bCs/>
          <w:sz w:val="24"/>
          <w:szCs w:val="24"/>
        </w:rPr>
        <w:t xml:space="preserve">  Accordingly, a plain reading of the </w:t>
      </w:r>
      <w:r w:rsidR="003020E9">
        <w:rPr>
          <w:bCs/>
          <w:sz w:val="24"/>
          <w:szCs w:val="24"/>
        </w:rPr>
        <w:t xml:space="preserve">ADA </w:t>
      </w:r>
      <w:r w:rsidR="00952091">
        <w:rPr>
          <w:bCs/>
          <w:sz w:val="24"/>
          <w:szCs w:val="24"/>
        </w:rPr>
        <w:t xml:space="preserve">Standard </w:t>
      </w:r>
      <w:r w:rsidR="00594241">
        <w:rPr>
          <w:sz w:val="24"/>
          <w:szCs w:val="24"/>
        </w:rPr>
        <w:t>conveys</w:t>
      </w:r>
      <w:r w:rsidR="00952091">
        <w:rPr>
          <w:sz w:val="24"/>
          <w:szCs w:val="24"/>
        </w:rPr>
        <w:t xml:space="preserve"> that it is a mandatory requirement, albeit one conditioned upon feasibility.  </w:t>
      </w:r>
      <w:r w:rsidR="00952091">
        <w:rPr>
          <w:i/>
          <w:sz w:val="24"/>
          <w:szCs w:val="24"/>
        </w:rPr>
        <w:t xml:space="preserve">Cf. </w:t>
      </w:r>
      <w:r w:rsidR="00952091" w:rsidRPr="000762D0">
        <w:rPr>
          <w:sz w:val="24"/>
          <w:szCs w:val="24"/>
        </w:rPr>
        <w:t xml:space="preserve"> </w:t>
      </w:r>
      <w:r w:rsidR="00952091" w:rsidRPr="000762D0">
        <w:rPr>
          <w:i/>
          <w:sz w:val="24"/>
          <w:szCs w:val="24"/>
        </w:rPr>
        <w:t>United States v. Sprenger</w:t>
      </w:r>
      <w:r w:rsidR="00952091" w:rsidRPr="000762D0">
        <w:rPr>
          <w:sz w:val="24"/>
          <w:szCs w:val="24"/>
        </w:rPr>
        <w:t>, 625 F.3d 1305, 1307 (10th Cir. 2010)</w:t>
      </w:r>
      <w:r w:rsidR="00952091">
        <w:rPr>
          <w:sz w:val="24"/>
          <w:szCs w:val="24"/>
        </w:rPr>
        <w:t xml:space="preserve"> (</w:t>
      </w:r>
      <w:r w:rsidR="00EF6F23">
        <w:rPr>
          <w:sz w:val="24"/>
          <w:szCs w:val="24"/>
        </w:rPr>
        <w:t>“</w:t>
      </w:r>
      <w:r w:rsidR="00E26BEC">
        <w:rPr>
          <w:sz w:val="24"/>
          <w:szCs w:val="24"/>
        </w:rPr>
        <w:t>i</w:t>
      </w:r>
      <w:r w:rsidR="00952091" w:rsidRPr="000762D0">
        <w:rPr>
          <w:sz w:val="24"/>
          <w:szCs w:val="24"/>
        </w:rPr>
        <w:t>nterpretation of a statute begins with its plain language</w:t>
      </w:r>
      <w:r w:rsidR="00EF6F23">
        <w:rPr>
          <w:sz w:val="24"/>
          <w:szCs w:val="24"/>
        </w:rPr>
        <w:t>”</w:t>
      </w:r>
      <w:r w:rsidR="00952091">
        <w:rPr>
          <w:sz w:val="24"/>
          <w:szCs w:val="24"/>
        </w:rPr>
        <w:t>).   Furthermore</w:t>
      </w:r>
      <w:r w:rsidR="00952091" w:rsidRPr="002E4D26">
        <w:rPr>
          <w:sz w:val="24"/>
          <w:szCs w:val="24"/>
        </w:rPr>
        <w:t>, the Department of Justice’s interpretation of its own regulation is entitled to deference</w:t>
      </w:r>
      <w:r w:rsidR="00E26BEC">
        <w:rPr>
          <w:sz w:val="24"/>
          <w:szCs w:val="24"/>
        </w:rPr>
        <w:t>, especially where it i</w:t>
      </w:r>
      <w:r w:rsidR="001B35BC">
        <w:rPr>
          <w:sz w:val="24"/>
          <w:szCs w:val="24"/>
        </w:rPr>
        <w:t xml:space="preserve">s based upon a straightforward </w:t>
      </w:r>
      <w:r w:rsidR="00E26BEC">
        <w:rPr>
          <w:sz w:val="24"/>
          <w:szCs w:val="24"/>
        </w:rPr>
        <w:t>reading of the regulatory language, as it is here</w:t>
      </w:r>
      <w:r w:rsidR="00952091" w:rsidRPr="002E4D26">
        <w:rPr>
          <w:sz w:val="24"/>
          <w:szCs w:val="24"/>
        </w:rPr>
        <w:t xml:space="preserve">.  </w:t>
      </w:r>
      <w:r w:rsidR="00952091" w:rsidRPr="009416FE">
        <w:rPr>
          <w:i/>
          <w:sz w:val="24"/>
          <w:szCs w:val="24"/>
        </w:rPr>
        <w:t>See</w:t>
      </w:r>
      <w:r w:rsidR="00952091">
        <w:rPr>
          <w:sz w:val="24"/>
          <w:szCs w:val="24"/>
        </w:rPr>
        <w:t xml:space="preserve"> </w:t>
      </w:r>
      <w:r w:rsidR="00952091" w:rsidRPr="002E4D26">
        <w:rPr>
          <w:i/>
          <w:sz w:val="24"/>
          <w:szCs w:val="24"/>
        </w:rPr>
        <w:t>Chevron, U.S.A., Inc. v. NRDC, Inc.</w:t>
      </w:r>
      <w:r w:rsidR="00952091" w:rsidRPr="002E4D26">
        <w:rPr>
          <w:sz w:val="24"/>
          <w:szCs w:val="24"/>
        </w:rPr>
        <w:t>, 467 U.S. 837, 844 (U.S. 1984)</w:t>
      </w:r>
      <w:r w:rsidR="00952091">
        <w:rPr>
          <w:sz w:val="24"/>
          <w:szCs w:val="24"/>
        </w:rPr>
        <w:t>;</w:t>
      </w:r>
      <w:r w:rsidR="001B35BC">
        <w:rPr>
          <w:sz w:val="24"/>
          <w:szCs w:val="24"/>
        </w:rPr>
        <w:t xml:space="preserve"> </w:t>
      </w:r>
      <w:r w:rsidR="00952091" w:rsidRPr="002E4D26">
        <w:rPr>
          <w:i/>
          <w:sz w:val="24"/>
          <w:szCs w:val="24"/>
        </w:rPr>
        <w:t>Thomas Jefferson Univ. v. Shalala</w:t>
      </w:r>
      <w:r w:rsidR="00952091" w:rsidRPr="005D03E4">
        <w:rPr>
          <w:sz w:val="24"/>
          <w:szCs w:val="24"/>
        </w:rPr>
        <w:t>, 512 U.S. 504, 512 (U.S. 1994)</w:t>
      </w:r>
      <w:r w:rsidR="00952091">
        <w:rPr>
          <w:sz w:val="24"/>
          <w:szCs w:val="24"/>
        </w:rPr>
        <w:t xml:space="preserve"> (“</w:t>
      </w:r>
      <w:r w:rsidR="00952091" w:rsidRPr="005D03E4">
        <w:rPr>
          <w:sz w:val="24"/>
          <w:szCs w:val="24"/>
        </w:rPr>
        <w:t>We must give substantial deference to an agency's interp</w:t>
      </w:r>
      <w:r w:rsidR="00952091">
        <w:rPr>
          <w:sz w:val="24"/>
          <w:szCs w:val="24"/>
        </w:rPr>
        <w:t>retation of its own regulations.”).</w:t>
      </w:r>
      <w:r w:rsidR="002F43BB">
        <w:rPr>
          <w:sz w:val="24"/>
          <w:szCs w:val="24"/>
        </w:rPr>
        <w:t xml:space="preserve">  </w:t>
      </w:r>
      <w:r w:rsidR="00E26BEC">
        <w:rPr>
          <w:sz w:val="24"/>
          <w:szCs w:val="24"/>
        </w:rPr>
        <w:t xml:space="preserve">Therefore, Defendants are required to make their main store entrances accessible unless it would not be feasible to do so.  </w:t>
      </w:r>
      <w:r w:rsidR="002133AF">
        <w:rPr>
          <w:sz w:val="24"/>
          <w:szCs w:val="24"/>
        </w:rPr>
        <w:t>Defendants concede</w:t>
      </w:r>
      <w:r w:rsidR="00E26BEC">
        <w:rPr>
          <w:sz w:val="24"/>
          <w:szCs w:val="24"/>
        </w:rPr>
        <w:t xml:space="preserve"> that it would be feasible</w:t>
      </w:r>
      <w:r w:rsidR="002133AF">
        <w:rPr>
          <w:sz w:val="24"/>
          <w:szCs w:val="24"/>
        </w:rPr>
        <w:t xml:space="preserve">, stating that it would be </w:t>
      </w:r>
      <w:r w:rsidR="00181853">
        <w:rPr>
          <w:sz w:val="24"/>
          <w:szCs w:val="24"/>
        </w:rPr>
        <w:t>“</w:t>
      </w:r>
      <w:r w:rsidR="002133AF">
        <w:rPr>
          <w:sz w:val="24"/>
          <w:szCs w:val="24"/>
        </w:rPr>
        <w:t>physically possible to construct stores</w:t>
      </w:r>
      <w:r w:rsidR="00181853">
        <w:rPr>
          <w:sz w:val="24"/>
          <w:szCs w:val="24"/>
        </w:rPr>
        <w:t xml:space="preserve"> . . .</w:t>
      </w:r>
      <w:r w:rsidR="002133AF">
        <w:rPr>
          <w:sz w:val="24"/>
          <w:szCs w:val="24"/>
        </w:rPr>
        <w:t xml:space="preserve"> that do not have an entry door on a raised platform.</w:t>
      </w:r>
      <w:r w:rsidR="00181853">
        <w:rPr>
          <w:sz w:val="24"/>
          <w:szCs w:val="24"/>
        </w:rPr>
        <w:t>”</w:t>
      </w:r>
      <w:r w:rsidR="0055331F">
        <w:rPr>
          <w:rStyle w:val="FootnoteReference"/>
          <w:sz w:val="24"/>
          <w:szCs w:val="24"/>
        </w:rPr>
        <w:footnoteReference w:id="8"/>
      </w:r>
      <w:r w:rsidR="00EB215E">
        <w:rPr>
          <w:sz w:val="24"/>
          <w:szCs w:val="24"/>
        </w:rPr>
        <w:t xml:space="preserve">  </w:t>
      </w:r>
      <w:r w:rsidR="002133AF" w:rsidRPr="00E9471D">
        <w:rPr>
          <w:sz w:val="24"/>
          <w:szCs w:val="24"/>
        </w:rPr>
        <w:t>Opp.</w:t>
      </w:r>
      <w:r w:rsidR="002133AF">
        <w:rPr>
          <w:sz w:val="24"/>
          <w:szCs w:val="24"/>
        </w:rPr>
        <w:t xml:space="preserve"> at p. 4, ¶</w:t>
      </w:r>
      <w:r w:rsidR="001B35BC">
        <w:rPr>
          <w:sz w:val="24"/>
          <w:szCs w:val="24"/>
        </w:rPr>
        <w:t>¶</w:t>
      </w:r>
      <w:r w:rsidR="002133AF">
        <w:rPr>
          <w:sz w:val="24"/>
          <w:szCs w:val="24"/>
        </w:rPr>
        <w:t xml:space="preserve"> 11, 13.</w:t>
      </w:r>
      <w:r w:rsidR="008931DE">
        <w:rPr>
          <w:sz w:val="24"/>
          <w:szCs w:val="24"/>
        </w:rPr>
        <w:t xml:space="preserve">  In fact</w:t>
      </w:r>
      <w:r w:rsidR="001E66E8">
        <w:rPr>
          <w:sz w:val="24"/>
          <w:szCs w:val="24"/>
        </w:rPr>
        <w:t xml:space="preserve">, </w:t>
      </w:r>
      <w:r w:rsidR="008931DE">
        <w:rPr>
          <w:sz w:val="24"/>
          <w:szCs w:val="24"/>
        </w:rPr>
        <w:t>it appears that Defendants deliberately construct</w:t>
      </w:r>
      <w:r w:rsidR="00D50352">
        <w:rPr>
          <w:sz w:val="24"/>
          <w:szCs w:val="24"/>
        </w:rPr>
        <w:t>ed</w:t>
      </w:r>
      <w:r w:rsidR="008931DE">
        <w:rPr>
          <w:sz w:val="24"/>
          <w:szCs w:val="24"/>
        </w:rPr>
        <w:t xml:space="preserve"> inaccessible </w:t>
      </w:r>
      <w:r w:rsidR="00181853">
        <w:rPr>
          <w:sz w:val="24"/>
          <w:szCs w:val="24"/>
        </w:rPr>
        <w:t>entrances</w:t>
      </w:r>
      <w:r w:rsidR="008931DE">
        <w:rPr>
          <w:sz w:val="24"/>
          <w:szCs w:val="24"/>
        </w:rPr>
        <w:t xml:space="preserve"> since “all of the other stores in the malls adjacent to the[] stores [at issue] have only level doors along the mall corridor</w:t>
      </w:r>
      <w:r w:rsidR="00D50352">
        <w:rPr>
          <w:sz w:val="24"/>
          <w:szCs w:val="24"/>
        </w:rPr>
        <w:t xml:space="preserve">.  </w:t>
      </w:r>
      <w:r w:rsidR="00EF6F23">
        <w:rPr>
          <w:sz w:val="24"/>
          <w:szCs w:val="24"/>
        </w:rPr>
        <w:t xml:space="preserve">Opp. at pp. </w:t>
      </w:r>
      <w:r w:rsidR="008931DE">
        <w:rPr>
          <w:sz w:val="24"/>
          <w:szCs w:val="24"/>
        </w:rPr>
        <w:t xml:space="preserve">5, ¶¶ 10-11. </w:t>
      </w:r>
      <w:r w:rsidR="0081003F" w:rsidRPr="000C0360">
        <w:rPr>
          <w:sz w:val="24"/>
          <w:szCs w:val="24"/>
        </w:rPr>
        <w:t xml:space="preserve"> </w:t>
      </w:r>
      <w:r w:rsidR="003745E5" w:rsidRPr="000C0360">
        <w:rPr>
          <w:sz w:val="24"/>
          <w:szCs w:val="24"/>
        </w:rPr>
        <w:t xml:space="preserve">  </w:t>
      </w:r>
      <w:r w:rsidR="00FB738D" w:rsidRPr="000C0360">
        <w:rPr>
          <w:sz w:val="24"/>
          <w:szCs w:val="24"/>
        </w:rPr>
        <w:t xml:space="preserve"> </w:t>
      </w:r>
      <w:r w:rsidR="008B0679" w:rsidRPr="000C0360">
        <w:rPr>
          <w:sz w:val="24"/>
          <w:szCs w:val="24"/>
        </w:rPr>
        <w:t xml:space="preserve"> </w:t>
      </w:r>
    </w:p>
    <w:p w:rsidR="0045003F" w:rsidRDefault="00F2441C" w:rsidP="00270646">
      <w:pPr>
        <w:spacing w:line="480" w:lineRule="auto"/>
        <w:rPr>
          <w:b/>
          <w:bCs/>
          <w:sz w:val="24"/>
          <w:szCs w:val="24"/>
        </w:rPr>
      </w:pPr>
      <w:r w:rsidRPr="002E4D26">
        <w:rPr>
          <w:bCs/>
          <w:sz w:val="24"/>
          <w:szCs w:val="24"/>
        </w:rPr>
        <w:t xml:space="preserve"> </w:t>
      </w:r>
      <w:r w:rsidR="00952091">
        <w:rPr>
          <w:bCs/>
          <w:sz w:val="24"/>
          <w:szCs w:val="24"/>
        </w:rPr>
        <w:tab/>
      </w:r>
      <w:r w:rsidR="002F43BB">
        <w:rPr>
          <w:i/>
          <w:sz w:val="24"/>
          <w:szCs w:val="24"/>
        </w:rPr>
        <w:t>Second</w:t>
      </w:r>
      <w:r w:rsidR="008B0679">
        <w:rPr>
          <w:sz w:val="24"/>
          <w:szCs w:val="24"/>
        </w:rPr>
        <w:t xml:space="preserve">, </w:t>
      </w:r>
      <w:r>
        <w:rPr>
          <w:sz w:val="24"/>
          <w:szCs w:val="24"/>
        </w:rPr>
        <w:t xml:space="preserve">regardless of whether the three front </w:t>
      </w:r>
      <w:r w:rsidR="00181853">
        <w:rPr>
          <w:sz w:val="24"/>
          <w:szCs w:val="24"/>
        </w:rPr>
        <w:t>entrances</w:t>
      </w:r>
      <w:r>
        <w:rPr>
          <w:sz w:val="24"/>
          <w:szCs w:val="24"/>
        </w:rPr>
        <w:t xml:space="preserve"> are toge</w:t>
      </w:r>
      <w:r w:rsidR="00181853">
        <w:rPr>
          <w:sz w:val="24"/>
          <w:szCs w:val="24"/>
        </w:rPr>
        <w:t>ther considered one entrance,</w:t>
      </w:r>
      <w:r w:rsidR="00446628">
        <w:rPr>
          <w:sz w:val="24"/>
          <w:szCs w:val="24"/>
        </w:rPr>
        <w:t xml:space="preserve"> </w:t>
      </w:r>
      <w:r w:rsidR="00F938CA">
        <w:rPr>
          <w:sz w:val="24"/>
          <w:szCs w:val="24"/>
        </w:rPr>
        <w:t xml:space="preserve">as urged by the Defendants (Opp. </w:t>
      </w:r>
      <w:r w:rsidR="00D35C2C">
        <w:rPr>
          <w:sz w:val="24"/>
          <w:szCs w:val="24"/>
        </w:rPr>
        <w:t>at p. 6)</w:t>
      </w:r>
      <w:r w:rsidR="00F7702C">
        <w:rPr>
          <w:sz w:val="24"/>
          <w:szCs w:val="24"/>
        </w:rPr>
        <w:t>,</w:t>
      </w:r>
      <w:r w:rsidR="00D35C2C">
        <w:rPr>
          <w:sz w:val="24"/>
          <w:szCs w:val="24"/>
        </w:rPr>
        <w:t xml:space="preserve"> </w:t>
      </w:r>
      <w:r>
        <w:rPr>
          <w:sz w:val="24"/>
          <w:szCs w:val="24"/>
        </w:rPr>
        <w:t xml:space="preserve">the </w:t>
      </w:r>
      <w:r w:rsidR="00AB1C5C">
        <w:rPr>
          <w:sz w:val="24"/>
          <w:szCs w:val="24"/>
        </w:rPr>
        <w:t xml:space="preserve">numerous </w:t>
      </w:r>
      <w:r>
        <w:rPr>
          <w:sz w:val="24"/>
          <w:szCs w:val="24"/>
        </w:rPr>
        <w:t>differences between the accessible gr</w:t>
      </w:r>
      <w:r w:rsidR="00AB1C5C">
        <w:rPr>
          <w:sz w:val="24"/>
          <w:szCs w:val="24"/>
        </w:rPr>
        <w:t xml:space="preserve">ound level </w:t>
      </w:r>
      <w:r w:rsidR="00181853">
        <w:rPr>
          <w:sz w:val="24"/>
          <w:szCs w:val="24"/>
        </w:rPr>
        <w:t xml:space="preserve">entrances </w:t>
      </w:r>
      <w:r w:rsidR="00AB1C5C">
        <w:rPr>
          <w:sz w:val="24"/>
          <w:szCs w:val="24"/>
        </w:rPr>
        <w:t xml:space="preserve">and inaccessible raised </w:t>
      </w:r>
      <w:r w:rsidR="00181853">
        <w:rPr>
          <w:sz w:val="24"/>
          <w:szCs w:val="24"/>
        </w:rPr>
        <w:t>entrances</w:t>
      </w:r>
      <w:r w:rsidR="00AB1C5C">
        <w:rPr>
          <w:sz w:val="24"/>
          <w:szCs w:val="24"/>
        </w:rPr>
        <w:t xml:space="preserve"> remain </w:t>
      </w:r>
      <w:r>
        <w:rPr>
          <w:sz w:val="24"/>
          <w:szCs w:val="24"/>
        </w:rPr>
        <w:t>unchanged.</w:t>
      </w:r>
      <w:r w:rsidR="002B14CD">
        <w:rPr>
          <w:rStyle w:val="FootnoteReference"/>
          <w:sz w:val="24"/>
          <w:szCs w:val="24"/>
        </w:rPr>
        <w:footnoteReference w:id="9"/>
      </w:r>
      <w:r>
        <w:rPr>
          <w:sz w:val="24"/>
          <w:szCs w:val="24"/>
        </w:rPr>
        <w:t xml:space="preserve">  As shown in the photograph in the Motion (p. 4), the ground level side </w:t>
      </w:r>
      <w:r w:rsidR="00181853">
        <w:rPr>
          <w:sz w:val="24"/>
          <w:szCs w:val="24"/>
        </w:rPr>
        <w:t>entrances</w:t>
      </w:r>
      <w:r>
        <w:rPr>
          <w:sz w:val="24"/>
          <w:szCs w:val="24"/>
        </w:rPr>
        <w:t xml:space="preserve"> are qualitatively “different” from the raised center </w:t>
      </w:r>
      <w:r w:rsidR="00181853">
        <w:rPr>
          <w:sz w:val="24"/>
          <w:szCs w:val="24"/>
        </w:rPr>
        <w:t>entrance</w:t>
      </w:r>
      <w:r w:rsidRPr="00AB1C5C">
        <w:rPr>
          <w:sz w:val="24"/>
          <w:szCs w:val="24"/>
        </w:rPr>
        <w:t>.</w:t>
      </w:r>
      <w:r w:rsidR="00EF6F23">
        <w:rPr>
          <w:rStyle w:val="FootnoteReference"/>
          <w:sz w:val="24"/>
          <w:szCs w:val="24"/>
        </w:rPr>
        <w:footnoteReference w:id="10"/>
      </w:r>
      <w:r w:rsidRPr="00AB1C5C">
        <w:rPr>
          <w:sz w:val="24"/>
          <w:szCs w:val="24"/>
        </w:rPr>
        <w:t xml:space="preserve">  </w:t>
      </w:r>
      <w:r w:rsidR="006337C1">
        <w:rPr>
          <w:sz w:val="24"/>
          <w:szCs w:val="24"/>
        </w:rPr>
        <w:t>T</w:t>
      </w:r>
      <w:r w:rsidR="00AB1C5C" w:rsidRPr="00AB1C5C">
        <w:rPr>
          <w:sz w:val="24"/>
          <w:szCs w:val="24"/>
        </w:rPr>
        <w:t xml:space="preserve">he raised center </w:t>
      </w:r>
      <w:r w:rsidR="00181853">
        <w:rPr>
          <w:sz w:val="24"/>
          <w:szCs w:val="24"/>
        </w:rPr>
        <w:t>entrance</w:t>
      </w:r>
      <w:r w:rsidR="00AB1C5C" w:rsidRPr="00AB1C5C">
        <w:rPr>
          <w:sz w:val="24"/>
          <w:szCs w:val="24"/>
        </w:rPr>
        <w:t xml:space="preserve"> has a roof that extends ou</w:t>
      </w:r>
      <w:r w:rsidR="00AB1C5C">
        <w:rPr>
          <w:sz w:val="24"/>
          <w:szCs w:val="24"/>
        </w:rPr>
        <w:t xml:space="preserve">t over the porch-like platform. </w:t>
      </w:r>
      <w:r w:rsidR="00446628">
        <w:rPr>
          <w:sz w:val="24"/>
          <w:szCs w:val="24"/>
        </w:rPr>
        <w:t xml:space="preserve"> </w:t>
      </w:r>
      <w:r w:rsidR="00AB1C5C" w:rsidRPr="00AB1C5C">
        <w:rPr>
          <w:i/>
          <w:sz w:val="24"/>
          <w:szCs w:val="24"/>
        </w:rPr>
        <w:t>Id</w:t>
      </w:r>
      <w:r w:rsidR="00446628">
        <w:rPr>
          <w:sz w:val="24"/>
          <w:szCs w:val="24"/>
        </w:rPr>
        <w:t xml:space="preserve">.  </w:t>
      </w:r>
      <w:r w:rsidR="00AB1C5C" w:rsidRPr="00AB1C5C">
        <w:rPr>
          <w:sz w:val="24"/>
          <w:szCs w:val="24"/>
        </w:rPr>
        <w:t xml:space="preserve">There are </w:t>
      </w:r>
      <w:r w:rsidR="00EF6F23">
        <w:rPr>
          <w:sz w:val="24"/>
          <w:szCs w:val="24"/>
        </w:rPr>
        <w:t>large</w:t>
      </w:r>
      <w:r w:rsidR="001353E8">
        <w:rPr>
          <w:sz w:val="24"/>
          <w:szCs w:val="24"/>
        </w:rPr>
        <w:t xml:space="preserve"> plants </w:t>
      </w:r>
      <w:r w:rsidR="00AB1C5C" w:rsidRPr="00AB1C5C">
        <w:rPr>
          <w:sz w:val="24"/>
          <w:szCs w:val="24"/>
        </w:rPr>
        <w:t xml:space="preserve">on the raised platform, large pictures on the wall under the roof, and overhead lighting. </w:t>
      </w:r>
      <w:r w:rsidR="00AB1C5C" w:rsidRPr="00AB1C5C">
        <w:rPr>
          <w:i/>
          <w:sz w:val="24"/>
          <w:szCs w:val="24"/>
        </w:rPr>
        <w:t>Id</w:t>
      </w:r>
      <w:r w:rsidR="00AB1C5C" w:rsidRPr="00AB1C5C">
        <w:rPr>
          <w:sz w:val="24"/>
          <w:szCs w:val="24"/>
        </w:rPr>
        <w:t xml:space="preserve">.  In contrast, the </w:t>
      </w:r>
      <w:r w:rsidR="00181853">
        <w:rPr>
          <w:sz w:val="24"/>
          <w:szCs w:val="24"/>
        </w:rPr>
        <w:t>entrances</w:t>
      </w:r>
      <w:r w:rsidR="00AB1C5C" w:rsidRPr="00AB1C5C">
        <w:rPr>
          <w:sz w:val="24"/>
          <w:szCs w:val="24"/>
        </w:rPr>
        <w:t xml:space="preserve"> on either side of the raised </w:t>
      </w:r>
      <w:r w:rsidR="00181853">
        <w:rPr>
          <w:sz w:val="24"/>
          <w:szCs w:val="24"/>
        </w:rPr>
        <w:t>entrance</w:t>
      </w:r>
      <w:r w:rsidR="00AB1C5C" w:rsidRPr="00AB1C5C">
        <w:rPr>
          <w:sz w:val="24"/>
          <w:szCs w:val="24"/>
        </w:rPr>
        <w:t xml:space="preserve"> do not have a roof over them.  </w:t>
      </w:r>
      <w:r w:rsidR="00AB1C5C" w:rsidRPr="00AB1C5C">
        <w:rPr>
          <w:i/>
          <w:sz w:val="24"/>
          <w:szCs w:val="24"/>
        </w:rPr>
        <w:t>Id</w:t>
      </w:r>
      <w:r w:rsidR="00AB1C5C" w:rsidRPr="00AB1C5C">
        <w:rPr>
          <w:sz w:val="24"/>
          <w:szCs w:val="24"/>
        </w:rPr>
        <w:t>.  There are no plants, pictures, or dedicated lighting at them</w:t>
      </w:r>
      <w:r w:rsidR="001F7A79">
        <w:rPr>
          <w:sz w:val="24"/>
          <w:szCs w:val="24"/>
        </w:rPr>
        <w:t xml:space="preserve"> </w:t>
      </w:r>
      <w:r w:rsidR="00AB1C5C">
        <w:rPr>
          <w:sz w:val="24"/>
          <w:szCs w:val="24"/>
        </w:rPr>
        <w:t>either</w:t>
      </w:r>
      <w:r w:rsidR="00AB1C5C" w:rsidRPr="00AB1C5C">
        <w:rPr>
          <w:sz w:val="24"/>
          <w:szCs w:val="24"/>
        </w:rPr>
        <w:t>.</w:t>
      </w:r>
      <w:r w:rsidR="00F7702C">
        <w:rPr>
          <w:rStyle w:val="FootnoteReference"/>
          <w:sz w:val="24"/>
          <w:szCs w:val="24"/>
        </w:rPr>
        <w:footnoteReference w:id="11"/>
      </w:r>
      <w:r w:rsidR="00AB1C5C" w:rsidRPr="00AB1C5C">
        <w:rPr>
          <w:sz w:val="24"/>
          <w:szCs w:val="24"/>
        </w:rPr>
        <w:t xml:space="preserve">  </w:t>
      </w:r>
      <w:r w:rsidR="00AB1C5C" w:rsidRPr="00AB1C5C">
        <w:rPr>
          <w:i/>
          <w:sz w:val="24"/>
          <w:szCs w:val="24"/>
        </w:rPr>
        <w:t>Id</w:t>
      </w:r>
      <w:r w:rsidR="00AB1C5C" w:rsidRPr="00AB1C5C">
        <w:rPr>
          <w:sz w:val="24"/>
          <w:szCs w:val="24"/>
        </w:rPr>
        <w:t>.</w:t>
      </w:r>
      <w:r w:rsidR="001C79BE">
        <w:rPr>
          <w:sz w:val="24"/>
          <w:szCs w:val="24"/>
        </w:rPr>
        <w:t xml:space="preserve">  </w:t>
      </w:r>
      <w:r w:rsidR="0091550E" w:rsidRPr="0015721D">
        <w:rPr>
          <w:sz w:val="24"/>
          <w:szCs w:val="24"/>
        </w:rPr>
        <w:t xml:space="preserve">Defendants’ obvious </w:t>
      </w:r>
      <w:r w:rsidR="0091550E" w:rsidRPr="0015721D">
        <w:rPr>
          <w:i/>
          <w:sz w:val="24"/>
          <w:szCs w:val="24"/>
        </w:rPr>
        <w:t>post hoc</w:t>
      </w:r>
      <w:r w:rsidR="0091550E" w:rsidRPr="0015721D">
        <w:rPr>
          <w:sz w:val="24"/>
          <w:szCs w:val="24"/>
        </w:rPr>
        <w:t xml:space="preserve"> rationalization for a design decision that violates the ADA should be rejected by this Court. </w:t>
      </w:r>
      <w:r w:rsidR="00AB1C5C" w:rsidRPr="0015721D">
        <w:rPr>
          <w:sz w:val="24"/>
          <w:szCs w:val="24"/>
        </w:rPr>
        <w:t xml:space="preserve"> </w:t>
      </w:r>
      <w:r w:rsidRPr="0015721D">
        <w:rPr>
          <w:sz w:val="24"/>
          <w:szCs w:val="24"/>
        </w:rPr>
        <w:t>Defendants are in violation of 42 U.S.C. § 12182(b)(1)(A)(iii)</w:t>
      </w:r>
      <w:r w:rsidR="00AB1C5C" w:rsidRPr="0015721D">
        <w:rPr>
          <w:sz w:val="24"/>
          <w:szCs w:val="24"/>
        </w:rPr>
        <w:t xml:space="preserve"> (prohibiting</w:t>
      </w:r>
      <w:r w:rsidR="008931DE" w:rsidRPr="0015721D">
        <w:rPr>
          <w:sz w:val="24"/>
          <w:szCs w:val="24"/>
        </w:rPr>
        <w:t xml:space="preserve"> </w:t>
      </w:r>
      <w:r w:rsidR="00AB1C5C" w:rsidRPr="0015721D">
        <w:rPr>
          <w:sz w:val="24"/>
          <w:szCs w:val="24"/>
        </w:rPr>
        <w:t>provision of accommodations to people with disabilities that are “different or separate” from those provided to people without disabilities),</w:t>
      </w:r>
      <w:r w:rsidR="0091550E" w:rsidRPr="0015721D">
        <w:rPr>
          <w:sz w:val="24"/>
          <w:szCs w:val="24"/>
        </w:rPr>
        <w:t xml:space="preserve"> and they have failed to meet the ADA requirements for new construction</w:t>
      </w:r>
      <w:r w:rsidR="0015721D" w:rsidRPr="0015721D">
        <w:rPr>
          <w:sz w:val="24"/>
          <w:szCs w:val="24"/>
        </w:rPr>
        <w:t>.</w:t>
      </w:r>
    </w:p>
    <w:p w:rsidR="002A64D0" w:rsidRPr="009F17E7" w:rsidRDefault="008303DA" w:rsidP="0055331F">
      <w:pPr>
        <w:autoSpaceDE/>
        <w:autoSpaceDN/>
        <w:adjustRightInd/>
        <w:ind w:left="2160" w:firstLine="720"/>
        <w:rPr>
          <w:sz w:val="24"/>
          <w:szCs w:val="24"/>
          <w:highlight w:val="cyan"/>
        </w:rPr>
      </w:pPr>
      <w:r>
        <w:rPr>
          <w:b/>
          <w:bCs/>
          <w:sz w:val="24"/>
          <w:szCs w:val="24"/>
        </w:rPr>
        <w:t>C</w:t>
      </w:r>
      <w:r w:rsidR="009F17E7" w:rsidRPr="009F17E7">
        <w:rPr>
          <w:b/>
          <w:bCs/>
          <w:sz w:val="24"/>
          <w:szCs w:val="24"/>
        </w:rPr>
        <w:t>ONCLUSION</w:t>
      </w:r>
    </w:p>
    <w:p w:rsidR="00F7702C" w:rsidRDefault="002A64D0" w:rsidP="002F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480" w:lineRule="auto"/>
        <w:rPr>
          <w:sz w:val="24"/>
          <w:szCs w:val="24"/>
        </w:rPr>
      </w:pPr>
      <w:r>
        <w:rPr>
          <w:sz w:val="24"/>
          <w:szCs w:val="24"/>
        </w:rPr>
        <w:tab/>
      </w:r>
      <w:r w:rsidR="00F7702C">
        <w:rPr>
          <w:sz w:val="24"/>
          <w:szCs w:val="24"/>
        </w:rPr>
        <w:t xml:space="preserve">For the foregoing reasons, Defendants are in violation of  title III of the ADA and </w:t>
      </w:r>
      <w:r w:rsidR="006D7D8C">
        <w:rPr>
          <w:sz w:val="24"/>
          <w:szCs w:val="24"/>
        </w:rPr>
        <w:t>t</w:t>
      </w:r>
      <w:r>
        <w:rPr>
          <w:sz w:val="24"/>
          <w:szCs w:val="24"/>
        </w:rPr>
        <w:t xml:space="preserve">he Court should </w:t>
      </w:r>
      <w:r w:rsidR="006D7D8C">
        <w:rPr>
          <w:sz w:val="24"/>
          <w:szCs w:val="24"/>
        </w:rPr>
        <w:t>grant</w:t>
      </w:r>
      <w:r w:rsidR="000A63C6">
        <w:rPr>
          <w:sz w:val="24"/>
          <w:szCs w:val="24"/>
        </w:rPr>
        <w:t xml:space="preserve"> </w:t>
      </w:r>
      <w:r w:rsidR="006D7D8C">
        <w:rPr>
          <w:sz w:val="24"/>
          <w:szCs w:val="24"/>
        </w:rPr>
        <w:t>Plaintiff</w:t>
      </w:r>
      <w:r w:rsidR="000A63C6">
        <w:rPr>
          <w:sz w:val="24"/>
          <w:szCs w:val="24"/>
        </w:rPr>
        <w:t xml:space="preserve">s’ Motion </w:t>
      </w:r>
      <w:r w:rsidR="006D7D8C">
        <w:rPr>
          <w:sz w:val="24"/>
          <w:szCs w:val="24"/>
        </w:rPr>
        <w:t xml:space="preserve">for Partial Summary Judgment.  </w:t>
      </w:r>
      <w:r w:rsidR="000A63C6">
        <w:rPr>
          <w:sz w:val="24"/>
          <w:szCs w:val="24"/>
        </w:rPr>
        <w:t xml:space="preserve">  </w:t>
      </w:r>
      <w:r w:rsidR="00BA64A7">
        <w:rPr>
          <w:sz w:val="24"/>
          <w:szCs w:val="24"/>
        </w:rPr>
        <w:t xml:space="preserve">  </w:t>
      </w:r>
      <w:r w:rsidR="000A63C6">
        <w:rPr>
          <w:sz w:val="24"/>
          <w:szCs w:val="24"/>
        </w:rPr>
        <w:t xml:space="preserve">  </w:t>
      </w:r>
      <w:r>
        <w:rPr>
          <w:sz w:val="24"/>
          <w:szCs w:val="24"/>
        </w:rPr>
        <w:tab/>
      </w:r>
      <w:r>
        <w:rPr>
          <w:sz w:val="24"/>
          <w:szCs w:val="24"/>
        </w:rPr>
        <w:tab/>
      </w:r>
    </w:p>
    <w:p w:rsidR="00C25385"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r>
      <w:r>
        <w:rPr>
          <w:sz w:val="24"/>
          <w:szCs w:val="24"/>
        </w:rPr>
        <w:tab/>
      </w:r>
      <w:r>
        <w:rPr>
          <w:sz w:val="24"/>
          <w:szCs w:val="24"/>
        </w:rPr>
        <w:tab/>
      </w:r>
      <w:r>
        <w:rPr>
          <w:sz w:val="24"/>
          <w:szCs w:val="24"/>
        </w:rPr>
        <w:tab/>
      </w:r>
    </w:p>
    <w:p w:rsidR="0091353A" w:rsidRDefault="00C25385"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r>
      <w:r>
        <w:rPr>
          <w:sz w:val="24"/>
          <w:szCs w:val="24"/>
        </w:rPr>
        <w:tab/>
      </w:r>
      <w:r>
        <w:rPr>
          <w:sz w:val="24"/>
          <w:szCs w:val="24"/>
        </w:rPr>
        <w:tab/>
      </w:r>
      <w:r>
        <w:rPr>
          <w:sz w:val="24"/>
          <w:szCs w:val="24"/>
        </w:rPr>
        <w:tab/>
      </w:r>
      <w:r w:rsidR="0091353A">
        <w:rPr>
          <w:sz w:val="24"/>
          <w:szCs w:val="24"/>
        </w:rPr>
        <w:t>Respectfully submitted,</w:t>
      </w:r>
      <w:r w:rsidR="0091353A">
        <w:rPr>
          <w:sz w:val="24"/>
          <w:szCs w:val="24"/>
        </w:rPr>
        <w:tab/>
      </w:r>
      <w:r w:rsidR="0091353A">
        <w:rPr>
          <w:sz w:val="24"/>
          <w:szCs w:val="24"/>
        </w:rPr>
        <w:tab/>
      </w:r>
      <w:r w:rsidR="0091353A">
        <w:rPr>
          <w:sz w:val="24"/>
          <w:szCs w:val="24"/>
        </w:rPr>
        <w:tab/>
      </w:r>
      <w:r w:rsidR="0091353A">
        <w:rPr>
          <w:sz w:val="24"/>
          <w:szCs w:val="24"/>
        </w:rPr>
        <w:tab/>
      </w:r>
      <w:r w:rsidR="0091353A">
        <w:rPr>
          <w:sz w:val="24"/>
          <w:szCs w:val="24"/>
        </w:rPr>
        <w:tab/>
      </w:r>
    </w:p>
    <w:p w:rsidR="0091353A" w:rsidRPr="00AA5BAF" w:rsidRDefault="008868FE" w:rsidP="0091353A">
      <w:pPr>
        <w:rPr>
          <w:sz w:val="24"/>
          <w:szCs w:val="24"/>
        </w:rPr>
      </w:pPr>
      <w:r>
        <w:rPr>
          <w:sz w:val="24"/>
          <w:szCs w:val="24"/>
        </w:rPr>
        <w:tab/>
      </w:r>
      <w:r>
        <w:rPr>
          <w:sz w:val="24"/>
          <w:szCs w:val="24"/>
        </w:rPr>
        <w:tab/>
      </w:r>
      <w:r>
        <w:rPr>
          <w:sz w:val="24"/>
          <w:szCs w:val="24"/>
        </w:rPr>
        <w:tab/>
      </w:r>
      <w:r>
        <w:rPr>
          <w:sz w:val="24"/>
          <w:szCs w:val="24"/>
        </w:rPr>
        <w:tab/>
      </w:r>
      <w:r w:rsidR="0091353A" w:rsidRPr="00AA5BAF">
        <w:rPr>
          <w:sz w:val="24"/>
          <w:szCs w:val="24"/>
        </w:rPr>
        <w:t>THOMAS E. PEREZ</w:t>
      </w:r>
    </w:p>
    <w:p w:rsidR="0091353A" w:rsidRPr="00AA5BAF" w:rsidRDefault="0091353A" w:rsidP="008868FE">
      <w:pPr>
        <w:ind w:left="2160" w:firstLine="720"/>
        <w:rPr>
          <w:sz w:val="24"/>
          <w:szCs w:val="24"/>
        </w:rPr>
      </w:pPr>
      <w:r w:rsidRPr="00AA5BAF">
        <w:rPr>
          <w:sz w:val="24"/>
          <w:szCs w:val="24"/>
        </w:rPr>
        <w:t>Assistant Attorney General</w:t>
      </w:r>
    </w:p>
    <w:p w:rsidR="0091353A" w:rsidRDefault="008868FE" w:rsidP="0091353A">
      <w:pPr>
        <w:rPr>
          <w:sz w:val="24"/>
          <w:szCs w:val="24"/>
        </w:rPr>
      </w:pPr>
      <w:r>
        <w:rPr>
          <w:sz w:val="24"/>
          <w:szCs w:val="24"/>
        </w:rPr>
        <w:tab/>
      </w:r>
      <w:r>
        <w:rPr>
          <w:sz w:val="24"/>
          <w:szCs w:val="24"/>
        </w:rPr>
        <w:tab/>
      </w:r>
      <w:r>
        <w:rPr>
          <w:sz w:val="24"/>
          <w:szCs w:val="24"/>
        </w:rPr>
        <w:tab/>
      </w:r>
      <w:r>
        <w:rPr>
          <w:sz w:val="24"/>
          <w:szCs w:val="24"/>
        </w:rPr>
        <w:tab/>
      </w:r>
      <w:r w:rsidR="0091353A" w:rsidRPr="00AA5BAF">
        <w:rPr>
          <w:sz w:val="24"/>
          <w:szCs w:val="24"/>
        </w:rPr>
        <w:t>Civil Rights Division</w:t>
      </w:r>
    </w:p>
    <w:p w:rsidR="0091550E" w:rsidRDefault="0091550E" w:rsidP="0091353A">
      <w:pPr>
        <w:rPr>
          <w:sz w:val="24"/>
          <w:szCs w:val="24"/>
        </w:rPr>
      </w:pPr>
    </w:p>
    <w:p w:rsidR="0091550E" w:rsidRDefault="008868FE" w:rsidP="0091353A">
      <w:pPr>
        <w:rPr>
          <w:sz w:val="24"/>
          <w:szCs w:val="24"/>
        </w:rPr>
      </w:pPr>
      <w:r>
        <w:rPr>
          <w:sz w:val="24"/>
          <w:szCs w:val="24"/>
        </w:rPr>
        <w:tab/>
      </w:r>
      <w:r>
        <w:rPr>
          <w:sz w:val="24"/>
          <w:szCs w:val="24"/>
        </w:rPr>
        <w:tab/>
      </w:r>
      <w:r>
        <w:rPr>
          <w:sz w:val="24"/>
          <w:szCs w:val="24"/>
        </w:rPr>
        <w:tab/>
      </w:r>
      <w:r>
        <w:rPr>
          <w:sz w:val="24"/>
          <w:szCs w:val="24"/>
        </w:rPr>
        <w:tab/>
      </w:r>
      <w:r w:rsidR="0091550E">
        <w:rPr>
          <w:sz w:val="24"/>
          <w:szCs w:val="24"/>
        </w:rPr>
        <w:t>SAMUEL R. BAGENSTOS</w:t>
      </w:r>
    </w:p>
    <w:p w:rsidR="0091550E" w:rsidRDefault="008868FE" w:rsidP="0091353A">
      <w:pPr>
        <w:rPr>
          <w:sz w:val="24"/>
          <w:szCs w:val="24"/>
        </w:rPr>
      </w:pPr>
      <w:r>
        <w:rPr>
          <w:sz w:val="24"/>
          <w:szCs w:val="24"/>
        </w:rPr>
        <w:tab/>
      </w:r>
      <w:r>
        <w:rPr>
          <w:sz w:val="24"/>
          <w:szCs w:val="24"/>
        </w:rPr>
        <w:tab/>
      </w:r>
      <w:r>
        <w:rPr>
          <w:sz w:val="24"/>
          <w:szCs w:val="24"/>
        </w:rPr>
        <w:tab/>
      </w:r>
      <w:r>
        <w:rPr>
          <w:sz w:val="24"/>
          <w:szCs w:val="24"/>
        </w:rPr>
        <w:tab/>
      </w:r>
      <w:r w:rsidR="0091550E">
        <w:rPr>
          <w:sz w:val="24"/>
          <w:szCs w:val="24"/>
        </w:rPr>
        <w:t>Principal Deputy Assistant Attorney General</w:t>
      </w:r>
    </w:p>
    <w:p w:rsidR="0091550E" w:rsidRDefault="0091550E" w:rsidP="0091353A">
      <w:pPr>
        <w:rPr>
          <w:sz w:val="24"/>
          <w:szCs w:val="24"/>
        </w:rPr>
      </w:pPr>
    </w:p>
    <w:p w:rsidR="0091550E" w:rsidRDefault="008868FE" w:rsidP="0091353A">
      <w:pPr>
        <w:rPr>
          <w:sz w:val="24"/>
          <w:szCs w:val="24"/>
        </w:rPr>
      </w:pPr>
      <w:r>
        <w:rPr>
          <w:sz w:val="24"/>
          <w:szCs w:val="24"/>
        </w:rPr>
        <w:tab/>
      </w:r>
      <w:r>
        <w:rPr>
          <w:sz w:val="24"/>
          <w:szCs w:val="24"/>
        </w:rPr>
        <w:tab/>
      </w:r>
      <w:r>
        <w:rPr>
          <w:sz w:val="24"/>
          <w:szCs w:val="24"/>
        </w:rPr>
        <w:tab/>
      </w:r>
      <w:r>
        <w:rPr>
          <w:sz w:val="24"/>
          <w:szCs w:val="24"/>
        </w:rPr>
        <w:tab/>
      </w:r>
      <w:r w:rsidR="0091550E">
        <w:rPr>
          <w:sz w:val="24"/>
          <w:szCs w:val="24"/>
        </w:rPr>
        <w:t>JOHN  L. WODATCH</w:t>
      </w:r>
    </w:p>
    <w:p w:rsidR="0091550E" w:rsidRPr="00AA5BAF" w:rsidRDefault="008868FE" w:rsidP="0091353A">
      <w:pPr>
        <w:rPr>
          <w:sz w:val="24"/>
          <w:szCs w:val="24"/>
        </w:rPr>
      </w:pPr>
      <w:r>
        <w:rPr>
          <w:sz w:val="24"/>
          <w:szCs w:val="24"/>
        </w:rPr>
        <w:tab/>
      </w:r>
      <w:r>
        <w:rPr>
          <w:sz w:val="24"/>
          <w:szCs w:val="24"/>
        </w:rPr>
        <w:tab/>
      </w:r>
      <w:r>
        <w:rPr>
          <w:sz w:val="24"/>
          <w:szCs w:val="24"/>
        </w:rPr>
        <w:tab/>
      </w:r>
      <w:r>
        <w:rPr>
          <w:sz w:val="24"/>
          <w:szCs w:val="24"/>
        </w:rPr>
        <w:tab/>
      </w:r>
      <w:r w:rsidR="0091550E">
        <w:rPr>
          <w:sz w:val="24"/>
          <w:szCs w:val="24"/>
        </w:rPr>
        <w:t>Deputy Assistant Attorney General</w:t>
      </w:r>
    </w:p>
    <w:p w:rsidR="0091353A" w:rsidRPr="00AA5BAF" w:rsidRDefault="0091353A" w:rsidP="0091353A">
      <w:pPr>
        <w:rPr>
          <w:sz w:val="24"/>
          <w:szCs w:val="24"/>
        </w:rPr>
      </w:pPr>
    </w:p>
    <w:p w:rsidR="0091353A" w:rsidRPr="00AA5BAF" w:rsidRDefault="008868FE" w:rsidP="0091353A">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r>
      <w:r w:rsidR="0091353A">
        <w:rPr>
          <w:sz w:val="24"/>
          <w:szCs w:val="24"/>
        </w:rPr>
        <w:t>ALLISON NICHOL</w:t>
      </w:r>
      <w:r w:rsidR="0091353A" w:rsidRPr="00AA5BAF">
        <w:rPr>
          <w:sz w:val="24"/>
          <w:szCs w:val="24"/>
        </w:rPr>
        <w:t>, Chief</w:t>
      </w:r>
    </w:p>
    <w:p w:rsidR="0091353A" w:rsidRDefault="008868FE" w:rsidP="0091353A">
      <w:pPr>
        <w:rPr>
          <w:sz w:val="24"/>
          <w:szCs w:val="24"/>
        </w:rPr>
      </w:pPr>
      <w:r>
        <w:rPr>
          <w:sz w:val="24"/>
          <w:szCs w:val="24"/>
        </w:rPr>
        <w:tab/>
      </w:r>
      <w:r>
        <w:rPr>
          <w:sz w:val="24"/>
          <w:szCs w:val="24"/>
        </w:rPr>
        <w:tab/>
      </w:r>
      <w:r>
        <w:rPr>
          <w:sz w:val="24"/>
          <w:szCs w:val="24"/>
        </w:rPr>
        <w:tab/>
      </w:r>
      <w:r>
        <w:rPr>
          <w:sz w:val="24"/>
          <w:szCs w:val="24"/>
        </w:rPr>
        <w:tab/>
      </w:r>
      <w:r w:rsidR="0091353A">
        <w:rPr>
          <w:sz w:val="24"/>
          <w:szCs w:val="24"/>
        </w:rPr>
        <w:t xml:space="preserve">RENEE M. WOHLENHAUS, </w:t>
      </w:r>
      <w:r w:rsidR="0091353A" w:rsidRPr="00AA5BAF">
        <w:rPr>
          <w:sz w:val="24"/>
          <w:szCs w:val="24"/>
        </w:rPr>
        <w:t>Deputy Chief</w:t>
      </w:r>
    </w:p>
    <w:p w:rsidR="0091353A" w:rsidRPr="00AA5BAF" w:rsidRDefault="0091353A" w:rsidP="008868FE">
      <w:pPr>
        <w:ind w:left="2160" w:firstLine="720"/>
        <w:rPr>
          <w:sz w:val="24"/>
          <w:szCs w:val="24"/>
        </w:rPr>
      </w:pPr>
      <w:r>
        <w:rPr>
          <w:sz w:val="24"/>
          <w:szCs w:val="24"/>
        </w:rPr>
        <w:t>KATHLEEN P. WOLFE, Acting</w:t>
      </w:r>
      <w:r w:rsidR="008868FE">
        <w:rPr>
          <w:sz w:val="24"/>
          <w:szCs w:val="24"/>
        </w:rPr>
        <w:t xml:space="preserve"> Special Legal Counsel               </w:t>
      </w:r>
    </w:p>
    <w:p w:rsidR="0091353A" w:rsidRDefault="0091353A"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1353A" w:rsidRDefault="0091353A"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p>
    <w:p w:rsidR="00C25385" w:rsidRDefault="0091353A" w:rsidP="008868FE">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p>
    <w:p w:rsidR="00C25385" w:rsidRDefault="00C25385">
      <w:pPr>
        <w:autoSpaceDE/>
        <w:autoSpaceDN/>
        <w:adjustRightInd/>
        <w:rPr>
          <w:sz w:val="24"/>
          <w:szCs w:val="24"/>
        </w:rPr>
      </w:pPr>
      <w:r>
        <w:rPr>
          <w:sz w:val="24"/>
          <w:szCs w:val="24"/>
        </w:rPr>
        <w:br w:type="page"/>
      </w:r>
    </w:p>
    <w:p w:rsidR="0091353A" w:rsidRDefault="00C25385" w:rsidP="00C25385">
      <w:pPr>
        <w:tabs>
          <w:tab w:val="left" w:pos="720"/>
          <w:tab w:val="left" w:pos="1440"/>
          <w:tab w:val="left" w:pos="2160"/>
          <w:tab w:val="left" w:pos="2880"/>
          <w:tab w:val="left" w:pos="4320"/>
          <w:tab w:val="left" w:pos="5040"/>
          <w:tab w:val="left" w:pos="5760"/>
          <w:tab w:val="left" w:pos="6480"/>
          <w:tab w:val="left" w:pos="7200"/>
          <w:tab w:val="left" w:pos="7920"/>
          <w:tab w:val="left" w:pos="8640"/>
        </w:tabs>
        <w:rPr>
          <w:sz w:val="24"/>
          <w:szCs w:val="24"/>
        </w:rPr>
      </w:pPr>
      <w:r w:rsidRPr="00C25385">
        <w:rPr>
          <w:sz w:val="24"/>
          <w:szCs w:val="24"/>
          <w:lang w:val="en-CA"/>
        </w:rPr>
        <w:tab/>
      </w:r>
      <w:r w:rsidRPr="00C25385">
        <w:rPr>
          <w:sz w:val="24"/>
          <w:szCs w:val="24"/>
          <w:lang w:val="en-CA"/>
        </w:rPr>
        <w:tab/>
      </w:r>
      <w:r w:rsidRPr="00C25385">
        <w:rPr>
          <w:sz w:val="24"/>
          <w:szCs w:val="24"/>
          <w:lang w:val="en-CA"/>
        </w:rPr>
        <w:tab/>
      </w:r>
      <w:r w:rsidRPr="00C25385">
        <w:rPr>
          <w:sz w:val="24"/>
          <w:szCs w:val="24"/>
          <w:lang w:val="en-CA"/>
        </w:rPr>
        <w:tab/>
      </w:r>
      <w:r w:rsidR="00EA454E" w:rsidRPr="002D723E">
        <w:rPr>
          <w:sz w:val="24"/>
          <w:szCs w:val="24"/>
          <w:u w:val="single"/>
          <w:lang w:val="en-CA"/>
        </w:rPr>
        <w:fldChar w:fldCharType="begin"/>
      </w:r>
      <w:r w:rsidR="0091353A" w:rsidRPr="002D723E">
        <w:rPr>
          <w:sz w:val="24"/>
          <w:szCs w:val="24"/>
          <w:u w:val="single"/>
          <w:lang w:val="en-CA"/>
        </w:rPr>
        <w:instrText xml:space="preserve"> SEQ CHAPTER \h \r 1</w:instrText>
      </w:r>
      <w:r w:rsidR="00EA454E" w:rsidRPr="002D723E">
        <w:rPr>
          <w:sz w:val="24"/>
          <w:szCs w:val="24"/>
          <w:u w:val="single"/>
          <w:lang w:val="en-CA"/>
        </w:rPr>
        <w:fldChar w:fldCharType="end"/>
      </w:r>
      <w:r w:rsidR="00EA454E" w:rsidRPr="002D723E">
        <w:rPr>
          <w:sz w:val="24"/>
          <w:szCs w:val="24"/>
          <w:lang w:val="en-CA"/>
        </w:rPr>
        <w:fldChar w:fldCharType="begin"/>
      </w:r>
      <w:r w:rsidR="0091353A" w:rsidRPr="002D723E">
        <w:rPr>
          <w:sz w:val="24"/>
          <w:szCs w:val="24"/>
          <w:lang w:val="en-CA"/>
        </w:rPr>
        <w:instrText xml:space="preserve"> SEQ CHAPTER \h \r 1</w:instrText>
      </w:r>
      <w:r w:rsidR="00EA454E" w:rsidRPr="002D723E">
        <w:rPr>
          <w:sz w:val="24"/>
          <w:szCs w:val="24"/>
          <w:lang w:val="en-CA"/>
        </w:rPr>
        <w:fldChar w:fldCharType="end"/>
      </w:r>
      <w:r w:rsidR="0091353A" w:rsidRPr="002D723E">
        <w:rPr>
          <w:sz w:val="24"/>
          <w:szCs w:val="24"/>
          <w:u w:val="single"/>
        </w:rPr>
        <w:t xml:space="preserve">/s/ </w:t>
      </w:r>
      <w:r w:rsidR="0091353A">
        <w:rPr>
          <w:sz w:val="24"/>
          <w:szCs w:val="24"/>
          <w:u w:val="single"/>
        </w:rPr>
        <w:t xml:space="preserve">Nabina J. Sinha                   </w:t>
      </w:r>
      <w:r w:rsidR="0091353A" w:rsidRPr="002D723E">
        <w:rPr>
          <w:sz w:val="24"/>
          <w:szCs w:val="24"/>
          <w:u w:val="single"/>
        </w:rPr>
        <w:t xml:space="preserve">            </w:t>
      </w:r>
      <w:r w:rsidR="0091353A">
        <w:rPr>
          <w:sz w:val="24"/>
          <w:szCs w:val="24"/>
        </w:rPr>
        <w:tab/>
      </w:r>
      <w:r w:rsidR="0091353A">
        <w:rPr>
          <w:sz w:val="24"/>
          <w:szCs w:val="24"/>
        </w:rPr>
        <w:tab/>
      </w:r>
      <w:r w:rsidR="0091353A">
        <w:rPr>
          <w:sz w:val="24"/>
          <w:szCs w:val="24"/>
        </w:rPr>
        <w:tab/>
      </w:r>
      <w:r w:rsidR="0091353A">
        <w:rPr>
          <w:sz w:val="24"/>
          <w:szCs w:val="24"/>
        </w:rPr>
        <w:tab/>
      </w:r>
      <w:r w:rsidR="0091353A">
        <w:rPr>
          <w:sz w:val="24"/>
          <w:szCs w:val="24"/>
        </w:rPr>
        <w:tab/>
      </w:r>
    </w:p>
    <w:p w:rsidR="0091353A" w:rsidRDefault="0091353A"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EA454E">
        <w:rPr>
          <w:sz w:val="24"/>
          <w:szCs w:val="24"/>
          <w:lang w:val="en-CA"/>
        </w:rPr>
        <w:fldChar w:fldCharType="begin"/>
      </w:r>
      <w:r>
        <w:rPr>
          <w:sz w:val="24"/>
          <w:szCs w:val="24"/>
          <w:lang w:val="en-CA"/>
        </w:rPr>
        <w:instrText xml:space="preserve"> SEQ CHAPTER \h \r 1</w:instrText>
      </w:r>
      <w:r w:rsidR="00EA454E">
        <w:rPr>
          <w:sz w:val="24"/>
          <w:szCs w:val="24"/>
          <w:lang w:val="en-CA"/>
        </w:rPr>
        <w:fldChar w:fldCharType="end"/>
      </w:r>
      <w:r>
        <w:rPr>
          <w:sz w:val="24"/>
          <w:szCs w:val="24"/>
          <w:lang w:val="en-CA"/>
        </w:rPr>
        <w:t>NABINA J. SINHA</w:t>
      </w:r>
      <w:r>
        <w:rPr>
          <w:sz w:val="24"/>
          <w:szCs w:val="24"/>
        </w:rPr>
        <w:t>, Trial Attorney</w:t>
      </w:r>
      <w:r>
        <w:rPr>
          <w:sz w:val="24"/>
          <w:szCs w:val="24"/>
        </w:rPr>
        <w:tab/>
      </w:r>
      <w:r>
        <w:rPr>
          <w:sz w:val="24"/>
          <w:szCs w:val="24"/>
        </w:rPr>
        <w:tab/>
      </w:r>
      <w:r>
        <w:rPr>
          <w:sz w:val="24"/>
          <w:szCs w:val="24"/>
        </w:rPr>
        <w:tab/>
      </w:r>
      <w:r>
        <w:rPr>
          <w:sz w:val="24"/>
          <w:szCs w:val="24"/>
        </w:rPr>
        <w:tab/>
      </w:r>
      <w:r>
        <w:rPr>
          <w:sz w:val="24"/>
          <w:szCs w:val="24"/>
        </w:rPr>
        <w:tab/>
      </w:r>
    </w:p>
    <w:p w:rsidR="0091353A" w:rsidRDefault="0091353A"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 w:val="24"/>
          <w:szCs w:val="24"/>
        </w:rPr>
      </w:pPr>
      <w:r>
        <w:rPr>
          <w:sz w:val="24"/>
          <w:szCs w:val="24"/>
        </w:rPr>
        <w:tab/>
      </w:r>
      <w:r>
        <w:rPr>
          <w:sz w:val="24"/>
          <w:szCs w:val="24"/>
        </w:rPr>
        <w:tab/>
      </w:r>
      <w:r w:rsidR="008868FE">
        <w:rPr>
          <w:sz w:val="24"/>
          <w:szCs w:val="24"/>
        </w:rPr>
        <w:tab/>
      </w:r>
      <w:r w:rsidR="008868FE">
        <w:rPr>
          <w:sz w:val="24"/>
          <w:szCs w:val="24"/>
        </w:rPr>
        <w:tab/>
      </w:r>
      <w:r>
        <w:rPr>
          <w:sz w:val="24"/>
          <w:szCs w:val="24"/>
        </w:rPr>
        <w:t>Disability Rights Section</w:t>
      </w:r>
      <w:r>
        <w:rPr>
          <w:sz w:val="24"/>
          <w:szCs w:val="24"/>
        </w:rPr>
        <w:tab/>
      </w:r>
      <w:r>
        <w:rPr>
          <w:sz w:val="24"/>
          <w:szCs w:val="24"/>
        </w:rPr>
        <w:tab/>
      </w:r>
      <w:r>
        <w:rPr>
          <w:sz w:val="24"/>
          <w:szCs w:val="24"/>
        </w:rPr>
        <w:tab/>
      </w:r>
    </w:p>
    <w:p w:rsidR="0091353A"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91353A">
        <w:rPr>
          <w:sz w:val="24"/>
          <w:szCs w:val="24"/>
        </w:rPr>
        <w:t>Civil Rights Division</w:t>
      </w:r>
      <w:r w:rsidR="0091353A">
        <w:rPr>
          <w:sz w:val="24"/>
          <w:szCs w:val="24"/>
        </w:rPr>
        <w:tab/>
        <w:t xml:space="preserve">          </w:t>
      </w:r>
      <w:r w:rsidR="0091353A">
        <w:rPr>
          <w:sz w:val="24"/>
          <w:szCs w:val="24"/>
        </w:rPr>
        <w:tab/>
      </w:r>
      <w:r w:rsidR="0091353A">
        <w:rPr>
          <w:sz w:val="24"/>
          <w:szCs w:val="24"/>
        </w:rPr>
        <w:tab/>
      </w:r>
      <w:r w:rsidR="0091353A">
        <w:rPr>
          <w:sz w:val="24"/>
          <w:szCs w:val="24"/>
        </w:rPr>
        <w:tab/>
      </w:r>
      <w:r w:rsidR="0091353A">
        <w:rPr>
          <w:sz w:val="24"/>
          <w:szCs w:val="24"/>
        </w:rPr>
        <w:tab/>
      </w:r>
    </w:p>
    <w:p w:rsidR="0091353A"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Pr>
          <w:sz w:val="24"/>
          <w:szCs w:val="24"/>
        </w:rPr>
        <w:tab/>
      </w:r>
      <w:r>
        <w:rPr>
          <w:sz w:val="24"/>
          <w:szCs w:val="24"/>
        </w:rPr>
        <w:tab/>
      </w:r>
      <w:r>
        <w:rPr>
          <w:sz w:val="24"/>
          <w:szCs w:val="24"/>
        </w:rPr>
        <w:tab/>
      </w:r>
      <w:r>
        <w:rPr>
          <w:sz w:val="24"/>
          <w:szCs w:val="24"/>
        </w:rPr>
        <w:tab/>
      </w:r>
      <w:r w:rsidR="0091353A">
        <w:rPr>
          <w:sz w:val="24"/>
          <w:szCs w:val="24"/>
        </w:rPr>
        <w:t>U.S. Department of Justice</w:t>
      </w:r>
      <w:r w:rsidR="0091353A">
        <w:rPr>
          <w:sz w:val="24"/>
          <w:szCs w:val="24"/>
        </w:rPr>
        <w:tab/>
      </w:r>
      <w:r w:rsidR="0091353A">
        <w:rPr>
          <w:sz w:val="24"/>
          <w:szCs w:val="24"/>
        </w:rPr>
        <w:tab/>
      </w:r>
      <w:r w:rsidR="0091353A">
        <w:rPr>
          <w:sz w:val="24"/>
          <w:szCs w:val="24"/>
        </w:rPr>
        <w:tab/>
        <w:t xml:space="preserve">          </w:t>
      </w:r>
    </w:p>
    <w:p w:rsidR="0091353A"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
      </w:pPr>
      <w:r>
        <w:rPr>
          <w:sz w:val="24"/>
          <w:szCs w:val="24"/>
        </w:rPr>
        <w:tab/>
      </w:r>
      <w:r>
        <w:rPr>
          <w:sz w:val="24"/>
          <w:szCs w:val="24"/>
        </w:rPr>
        <w:tab/>
      </w:r>
      <w:r>
        <w:rPr>
          <w:sz w:val="24"/>
          <w:szCs w:val="24"/>
        </w:rPr>
        <w:tab/>
      </w:r>
      <w:r>
        <w:rPr>
          <w:sz w:val="24"/>
          <w:szCs w:val="24"/>
        </w:rPr>
        <w:tab/>
      </w:r>
      <w:r w:rsidR="0091353A">
        <w:rPr>
          <w:sz w:val="24"/>
          <w:szCs w:val="24"/>
        </w:rPr>
        <w:t>950 Pennsylvania Avenue, N.W. - NYA</w:t>
      </w:r>
    </w:p>
    <w:p w:rsidR="0091353A"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91353A">
        <w:rPr>
          <w:sz w:val="24"/>
          <w:szCs w:val="24"/>
        </w:rPr>
        <w:t>Washington, D.C. 20530</w:t>
      </w:r>
    </w:p>
    <w:p w:rsidR="0091353A"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Pr>
          <w:sz w:val="24"/>
          <w:szCs w:val="24"/>
        </w:rPr>
        <w:tab/>
      </w:r>
      <w:r>
        <w:rPr>
          <w:sz w:val="24"/>
          <w:szCs w:val="24"/>
        </w:rPr>
        <w:tab/>
      </w:r>
      <w:r>
        <w:rPr>
          <w:sz w:val="24"/>
          <w:szCs w:val="24"/>
        </w:rPr>
        <w:tab/>
      </w:r>
      <w:r>
        <w:rPr>
          <w:sz w:val="24"/>
          <w:szCs w:val="24"/>
        </w:rPr>
        <w:tab/>
      </w:r>
      <w:r w:rsidR="0091353A">
        <w:rPr>
          <w:sz w:val="24"/>
          <w:szCs w:val="24"/>
        </w:rPr>
        <w:t>Telephone:</w:t>
      </w:r>
      <w:r w:rsidR="0091353A">
        <w:rPr>
          <w:sz w:val="24"/>
          <w:szCs w:val="24"/>
        </w:rPr>
        <w:tab/>
        <w:t>(202) 616-2730</w:t>
      </w:r>
    </w:p>
    <w:p w:rsidR="0091353A"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Pr>
          <w:sz w:val="24"/>
          <w:szCs w:val="24"/>
        </w:rPr>
        <w:tab/>
      </w:r>
      <w:r>
        <w:rPr>
          <w:sz w:val="24"/>
          <w:szCs w:val="24"/>
        </w:rPr>
        <w:tab/>
      </w:r>
      <w:r>
        <w:rPr>
          <w:sz w:val="24"/>
          <w:szCs w:val="24"/>
        </w:rPr>
        <w:tab/>
      </w:r>
      <w:r>
        <w:rPr>
          <w:sz w:val="24"/>
          <w:szCs w:val="24"/>
        </w:rPr>
        <w:tab/>
      </w:r>
      <w:r w:rsidR="0091353A">
        <w:rPr>
          <w:sz w:val="24"/>
          <w:szCs w:val="24"/>
        </w:rPr>
        <w:t>Facsimile:</w:t>
      </w:r>
      <w:r w:rsidR="0091353A">
        <w:rPr>
          <w:sz w:val="24"/>
          <w:szCs w:val="24"/>
        </w:rPr>
        <w:tab/>
      </w:r>
      <w:r w:rsidR="0091353A" w:rsidRPr="00AA5BAF">
        <w:rPr>
          <w:sz w:val="24"/>
          <w:szCs w:val="24"/>
        </w:rPr>
        <w:t>(202) 305-9775</w:t>
      </w:r>
    </w:p>
    <w:p w:rsidR="0091353A" w:rsidRDefault="0091353A"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00EA454E">
        <w:rPr>
          <w:sz w:val="24"/>
          <w:szCs w:val="24"/>
          <w:lang w:val="en-CA"/>
        </w:rPr>
        <w:fldChar w:fldCharType="begin"/>
      </w:r>
      <w:r>
        <w:rPr>
          <w:sz w:val="24"/>
          <w:szCs w:val="24"/>
          <w:lang w:val="en-CA"/>
        </w:rPr>
        <w:instrText xml:space="preserve"> SEQ CHAPTER \h \r 1</w:instrText>
      </w:r>
      <w:r w:rsidR="00EA454E">
        <w:rPr>
          <w:sz w:val="24"/>
          <w:szCs w:val="24"/>
          <w:lang w:val="en-CA"/>
        </w:rPr>
        <w:fldChar w:fldCharType="end"/>
      </w:r>
      <w:r>
        <w:rPr>
          <w:sz w:val="24"/>
          <w:szCs w:val="24"/>
          <w:lang w:val="en-CA"/>
        </w:rPr>
        <w:t>nabina.sinha</w:t>
      </w:r>
      <w:r>
        <w:rPr>
          <w:sz w:val="24"/>
          <w:szCs w:val="24"/>
        </w:rPr>
        <w:t>@usdoj.gov</w:t>
      </w:r>
      <w:r>
        <w:rPr>
          <w:sz w:val="24"/>
          <w:szCs w:val="24"/>
        </w:rPr>
        <w:tab/>
      </w:r>
    </w:p>
    <w:p w:rsidR="0091353A" w:rsidRDefault="0091353A"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868FE" w:rsidRDefault="008868FE"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805FC" w:rsidRDefault="00582860"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Dated:  May 31</w:t>
      </w:r>
      <w:r w:rsidR="0091353A">
        <w:rPr>
          <w:sz w:val="24"/>
          <w:szCs w:val="24"/>
        </w:rPr>
        <w:t>, 2011</w:t>
      </w:r>
    </w:p>
    <w:p w:rsidR="0015721D" w:rsidRDefault="0015721D"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E3E68" w:rsidRDefault="00CE3E68"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55656" w:rsidRDefault="00655656">
      <w:pPr>
        <w:autoSpaceDE/>
        <w:autoSpaceDN/>
        <w:adjustRightInd/>
      </w:pPr>
      <w:r>
        <w:br w:type="page"/>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 w:val="24"/>
          <w:szCs w:val="24"/>
        </w:rPr>
      </w:pPr>
      <w:r w:rsidRPr="00BE2D9B">
        <w:rPr>
          <w:sz w:val="24"/>
          <w:szCs w:val="24"/>
          <w:u w:val="single"/>
        </w:rPr>
        <w:t>CERTIFICATE OF SERVICE</w:t>
      </w:r>
    </w:p>
    <w:p w:rsidR="00655656" w:rsidRPr="00BE2D9B" w:rsidRDefault="0055331F"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 h</w:t>
      </w:r>
      <w:r w:rsidR="00582860">
        <w:rPr>
          <w:sz w:val="24"/>
          <w:szCs w:val="24"/>
        </w:rPr>
        <w:t>ereby certify that on May 31</w:t>
      </w:r>
      <w:r w:rsidR="00655656" w:rsidRPr="00BE2D9B">
        <w:rPr>
          <w:sz w:val="24"/>
          <w:szCs w:val="24"/>
        </w:rPr>
        <w:t>, 2011, a copy of foregoing was filed electronically.  Notice of this filing will be sent by e-mail to all parties by operation of the Court’s electronic filing system.  Parties may access this filing through the Court’s CM/ECF System.</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sz w:val="24"/>
          <w:szCs w:val="24"/>
        </w:rPr>
      </w:pP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sidRPr="00BE2D9B">
        <w:rPr>
          <w:sz w:val="24"/>
          <w:szCs w:val="24"/>
        </w:rPr>
        <w:tab/>
      </w:r>
      <w:r w:rsidRPr="00BE2D9B">
        <w:rPr>
          <w:sz w:val="24"/>
          <w:szCs w:val="24"/>
        </w:rPr>
        <w:tab/>
      </w:r>
      <w:r w:rsidRPr="00BE2D9B">
        <w:rPr>
          <w:sz w:val="24"/>
          <w:szCs w:val="24"/>
        </w:rPr>
        <w:tab/>
      </w:r>
      <w:r w:rsidRPr="00BE2D9B">
        <w:rPr>
          <w:sz w:val="24"/>
          <w:szCs w:val="24"/>
        </w:rPr>
        <w:tab/>
      </w:r>
      <w:r w:rsidRPr="00BE2D9B">
        <w:rPr>
          <w:sz w:val="24"/>
          <w:szCs w:val="24"/>
        </w:rPr>
        <w:tab/>
      </w:r>
      <w:r w:rsidRPr="00BE2D9B">
        <w:rPr>
          <w:sz w:val="24"/>
          <w:szCs w:val="24"/>
        </w:rPr>
        <w:tab/>
      </w:r>
      <w:r w:rsidRPr="00BE2D9B">
        <w:rPr>
          <w:sz w:val="24"/>
          <w:szCs w:val="24"/>
          <w:highlight w:val="white"/>
          <w:u w:val="single"/>
        </w:rPr>
        <w:t xml:space="preserve">/s/ Nabina J. Sinha________________                              </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t>NABINA J. SINHA</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t>Trial Attorney</w:t>
      </w:r>
      <w:r w:rsidRPr="00BE2D9B">
        <w:rPr>
          <w:sz w:val="24"/>
          <w:szCs w:val="24"/>
          <w:highlight w:val="white"/>
        </w:rPr>
        <w:tab/>
      </w:r>
      <w:r w:rsidRPr="00BE2D9B">
        <w:rPr>
          <w:sz w:val="24"/>
          <w:szCs w:val="24"/>
          <w:highlight w:val="white"/>
        </w:rPr>
        <w:tab/>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r>
      <w:r w:rsidRPr="00BE2D9B">
        <w:rPr>
          <w:sz w:val="24"/>
          <w:szCs w:val="24"/>
          <w:highlight w:val="white"/>
        </w:rPr>
        <w:tab/>
        <w:t>Disability Rights Section</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sidRPr="00BE2D9B">
        <w:rPr>
          <w:sz w:val="24"/>
          <w:szCs w:val="24"/>
          <w:highlight w:val="white"/>
        </w:rPr>
        <w:t>Civil Rights Division</w:t>
      </w:r>
      <w:r w:rsidRPr="00BE2D9B">
        <w:rPr>
          <w:sz w:val="24"/>
          <w:szCs w:val="24"/>
          <w:highlight w:val="white"/>
        </w:rPr>
        <w:tab/>
        <w:t xml:space="preserve">          </w:t>
      </w:r>
      <w:r w:rsidRPr="00BE2D9B">
        <w:rPr>
          <w:sz w:val="24"/>
          <w:szCs w:val="24"/>
          <w:highlight w:val="white"/>
        </w:rPr>
        <w:tab/>
      </w:r>
      <w:r w:rsidRPr="00BE2D9B">
        <w:rPr>
          <w:sz w:val="24"/>
          <w:szCs w:val="24"/>
          <w:highlight w:val="white"/>
        </w:rPr>
        <w:tab/>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sidRPr="00BE2D9B">
        <w:rPr>
          <w:sz w:val="24"/>
          <w:szCs w:val="24"/>
          <w:highlight w:val="white"/>
        </w:rPr>
        <w:t>U.S. Department of Justice</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sidRPr="00BE2D9B">
        <w:rPr>
          <w:sz w:val="24"/>
          <w:szCs w:val="24"/>
          <w:highlight w:val="white"/>
        </w:rPr>
        <w:t>950 Pennsylvania Avenue, N.W. - NYA</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sidRPr="00BE2D9B">
        <w:rPr>
          <w:sz w:val="24"/>
          <w:szCs w:val="24"/>
          <w:highlight w:val="white"/>
        </w:rPr>
        <w:t>Washington, D.C. 20530</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sidRPr="00BE2D9B">
        <w:rPr>
          <w:sz w:val="24"/>
          <w:szCs w:val="24"/>
          <w:highlight w:val="white"/>
        </w:rPr>
        <w:t>Telephone:  (202) 616-2730</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cyan"/>
        </w:rPr>
      </w:pPr>
      <w:r w:rsidRPr="00BE2D9B">
        <w:rPr>
          <w:sz w:val="24"/>
          <w:szCs w:val="24"/>
          <w:highlight w:val="white"/>
        </w:rPr>
        <w:t xml:space="preserve">Facsimile:  (202) </w:t>
      </w:r>
      <w:r w:rsidRPr="00BE2D9B">
        <w:rPr>
          <w:sz w:val="24"/>
          <w:szCs w:val="24"/>
        </w:rPr>
        <w:t>305-9775</w:t>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rPr>
      </w:pPr>
      <w:r w:rsidRPr="00BE2D9B">
        <w:rPr>
          <w:sz w:val="24"/>
          <w:szCs w:val="24"/>
          <w:highlight w:val="white"/>
        </w:rPr>
        <w:t>nabina.sinha@</w:t>
      </w:r>
      <w:r w:rsidRPr="00BE2D9B">
        <w:rPr>
          <w:sz w:val="24"/>
          <w:szCs w:val="24"/>
        </w:rPr>
        <w:t>usdoj.gov</w:t>
      </w:r>
      <w:r w:rsidRPr="00BE2D9B">
        <w:rPr>
          <w:sz w:val="24"/>
          <w:szCs w:val="24"/>
        </w:rPr>
        <w:tab/>
      </w:r>
      <w:r w:rsidRPr="00BE2D9B">
        <w:rPr>
          <w:sz w:val="24"/>
          <w:szCs w:val="24"/>
        </w:rPr>
        <w:tab/>
      </w: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sz w:val="24"/>
          <w:szCs w:val="24"/>
        </w:rPr>
      </w:pPr>
    </w:p>
    <w:p w:rsidR="00655656" w:rsidRPr="00BE2D9B" w:rsidRDefault="00655656" w:rsidP="0065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E2D9B">
        <w:rPr>
          <w:sz w:val="24"/>
          <w:szCs w:val="24"/>
        </w:rPr>
        <w:tab/>
      </w:r>
      <w:r w:rsidRPr="00BE2D9B">
        <w:rPr>
          <w:sz w:val="24"/>
          <w:szCs w:val="24"/>
        </w:rPr>
        <w:tab/>
      </w:r>
      <w:r w:rsidRPr="00BE2D9B">
        <w:rPr>
          <w:sz w:val="24"/>
          <w:szCs w:val="24"/>
        </w:rPr>
        <w:tab/>
      </w:r>
      <w:r w:rsidRPr="00BE2D9B">
        <w:rPr>
          <w:sz w:val="24"/>
          <w:szCs w:val="24"/>
        </w:rPr>
        <w:tab/>
      </w:r>
      <w:r w:rsidRPr="00BE2D9B">
        <w:rPr>
          <w:sz w:val="24"/>
          <w:szCs w:val="24"/>
        </w:rPr>
        <w:tab/>
      </w:r>
      <w:r w:rsidRPr="00BE2D9B">
        <w:rPr>
          <w:sz w:val="24"/>
          <w:szCs w:val="24"/>
        </w:rPr>
        <w:tab/>
        <w:t>Counsel for United States</w:t>
      </w:r>
    </w:p>
    <w:p w:rsidR="00CE3E68" w:rsidRDefault="00CE3E68" w:rsidP="00913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CE3E68" w:rsidSect="001A5E3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9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C5" w:rsidRDefault="00B82EC5" w:rsidP="002A64D0">
      <w:r>
        <w:separator/>
      </w:r>
    </w:p>
  </w:endnote>
  <w:endnote w:type="continuationSeparator" w:id="0">
    <w:p w:rsidR="00B82EC5" w:rsidRDefault="00B82EC5" w:rsidP="002A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A8" w:rsidRDefault="009C0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C5" w:rsidRDefault="00EA454E">
    <w:pPr>
      <w:pStyle w:val="Footer"/>
      <w:jc w:val="center"/>
    </w:pPr>
    <w:fldSimple w:instr=" PAGE   \* MERGEFORMAT ">
      <w:r w:rsidR="00D56911">
        <w:rPr>
          <w:noProof/>
        </w:rPr>
        <w:t>10</w:t>
      </w:r>
    </w:fldSimple>
  </w:p>
  <w:p w:rsidR="00B82EC5" w:rsidRDefault="00B82E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A8" w:rsidRDefault="009C0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C5" w:rsidRDefault="00B82EC5" w:rsidP="002A64D0">
      <w:r>
        <w:separator/>
      </w:r>
    </w:p>
  </w:footnote>
  <w:footnote w:type="continuationSeparator" w:id="0">
    <w:p w:rsidR="00B82EC5" w:rsidRDefault="00B82EC5" w:rsidP="002A64D0">
      <w:r>
        <w:continuationSeparator/>
      </w:r>
    </w:p>
  </w:footnote>
  <w:footnote w:id="1">
    <w:p w:rsidR="00B82EC5" w:rsidRPr="0064118D" w:rsidRDefault="00B82EC5">
      <w:pPr>
        <w:pStyle w:val="FootnoteText"/>
        <w:rPr>
          <w:sz w:val="22"/>
          <w:szCs w:val="22"/>
        </w:rPr>
      </w:pPr>
      <w:r>
        <w:rPr>
          <w:rStyle w:val="FootnoteReference"/>
        </w:rPr>
        <w:footnoteRef/>
      </w:r>
      <w:r>
        <w:t xml:space="preserve"> </w:t>
      </w:r>
      <w:r w:rsidRPr="0064118D">
        <w:rPr>
          <w:sz w:val="22"/>
          <w:szCs w:val="22"/>
        </w:rPr>
        <w:t>Plaintiffs note that they believe the side entrances are actu</w:t>
      </w:r>
      <w:r w:rsidR="00D50352">
        <w:rPr>
          <w:sz w:val="22"/>
          <w:szCs w:val="22"/>
        </w:rPr>
        <w:t xml:space="preserve">ally inaccessible.  Motion at p. </w:t>
      </w:r>
      <w:r w:rsidRPr="0064118D">
        <w:rPr>
          <w:sz w:val="22"/>
          <w:szCs w:val="22"/>
        </w:rPr>
        <w:t xml:space="preserve">3, fn. 2.  Based </w:t>
      </w:r>
      <w:r>
        <w:rPr>
          <w:sz w:val="22"/>
          <w:szCs w:val="22"/>
        </w:rPr>
        <w:t xml:space="preserve">upon </w:t>
      </w:r>
      <w:r w:rsidRPr="0064118D">
        <w:rPr>
          <w:sz w:val="22"/>
          <w:szCs w:val="22"/>
        </w:rPr>
        <w:t>the picture</w:t>
      </w:r>
      <w:r w:rsidR="00D50352">
        <w:rPr>
          <w:sz w:val="22"/>
          <w:szCs w:val="22"/>
        </w:rPr>
        <w:t>s</w:t>
      </w:r>
      <w:r w:rsidRPr="0064118D">
        <w:rPr>
          <w:sz w:val="22"/>
          <w:szCs w:val="22"/>
        </w:rPr>
        <w:t xml:space="preserve"> in the Motion</w:t>
      </w:r>
      <w:r w:rsidR="00D50352">
        <w:rPr>
          <w:sz w:val="22"/>
          <w:szCs w:val="22"/>
        </w:rPr>
        <w:t xml:space="preserve"> and accompanying declarations</w:t>
      </w:r>
      <w:r w:rsidRPr="0064118D">
        <w:rPr>
          <w:sz w:val="22"/>
          <w:szCs w:val="22"/>
        </w:rPr>
        <w:t xml:space="preserve">, the United States also believes that the side entrances are inaccessible.  </w:t>
      </w:r>
    </w:p>
  </w:footnote>
  <w:footnote w:id="2">
    <w:p w:rsidR="00B82EC5" w:rsidRPr="00F362A0" w:rsidRDefault="00B82EC5" w:rsidP="003F71FB">
      <w:pPr>
        <w:pStyle w:val="FootnoteText"/>
        <w:rPr>
          <w:sz w:val="22"/>
          <w:szCs w:val="22"/>
        </w:rPr>
      </w:pPr>
      <w:r>
        <w:rPr>
          <w:rStyle w:val="FootnoteReference"/>
        </w:rPr>
        <w:footnoteRef/>
      </w:r>
      <w:r>
        <w:t xml:space="preserve"> </w:t>
      </w:r>
      <w:r w:rsidRPr="00F362A0">
        <w:rPr>
          <w:sz w:val="22"/>
          <w:szCs w:val="22"/>
        </w:rPr>
        <w:t>A photograph of one of the stores shows that the raised cente</w:t>
      </w:r>
      <w:r>
        <w:rPr>
          <w:sz w:val="22"/>
          <w:szCs w:val="22"/>
        </w:rPr>
        <w:t>r entrance</w:t>
      </w:r>
      <w:r w:rsidRPr="00F362A0">
        <w:rPr>
          <w:sz w:val="22"/>
          <w:szCs w:val="22"/>
        </w:rPr>
        <w:t xml:space="preserve"> has a roof that extends out over the porch-like platform.  </w:t>
      </w:r>
      <w:r w:rsidRPr="00F362A0">
        <w:rPr>
          <w:i/>
          <w:sz w:val="22"/>
          <w:szCs w:val="22"/>
        </w:rPr>
        <w:t>See</w:t>
      </w:r>
      <w:r w:rsidRPr="00F362A0">
        <w:rPr>
          <w:sz w:val="22"/>
          <w:szCs w:val="22"/>
        </w:rPr>
        <w:t xml:space="preserve"> Motion at p. 4, photograph.  </w:t>
      </w:r>
      <w:r>
        <w:rPr>
          <w:sz w:val="22"/>
          <w:szCs w:val="22"/>
        </w:rPr>
        <w:t xml:space="preserve">It appears that there are </w:t>
      </w:r>
      <w:r w:rsidRPr="00F362A0">
        <w:rPr>
          <w:sz w:val="22"/>
          <w:szCs w:val="22"/>
        </w:rPr>
        <w:t>l</w:t>
      </w:r>
      <w:r>
        <w:rPr>
          <w:sz w:val="22"/>
          <w:szCs w:val="22"/>
        </w:rPr>
        <w:t>arge potted plants on the porch</w:t>
      </w:r>
      <w:r w:rsidRPr="00F362A0">
        <w:rPr>
          <w:sz w:val="22"/>
          <w:szCs w:val="22"/>
        </w:rPr>
        <w:t xml:space="preserve">-like platform that extend as high as the roof, large pictures on the wall under the roof, and overhead lighting. </w:t>
      </w:r>
      <w:r w:rsidRPr="00F362A0">
        <w:rPr>
          <w:i/>
          <w:sz w:val="22"/>
          <w:szCs w:val="22"/>
        </w:rPr>
        <w:t>Id</w:t>
      </w:r>
      <w:r w:rsidRPr="00F362A0">
        <w:rPr>
          <w:sz w:val="22"/>
          <w:szCs w:val="22"/>
        </w:rPr>
        <w:t xml:space="preserve">.  In contrast, the </w:t>
      </w:r>
      <w:r>
        <w:rPr>
          <w:sz w:val="22"/>
          <w:szCs w:val="22"/>
        </w:rPr>
        <w:t>entrances</w:t>
      </w:r>
      <w:r w:rsidRPr="00F362A0">
        <w:rPr>
          <w:sz w:val="22"/>
          <w:szCs w:val="22"/>
        </w:rPr>
        <w:t xml:space="preserve"> on either side of the raised </w:t>
      </w:r>
      <w:r>
        <w:rPr>
          <w:sz w:val="22"/>
          <w:szCs w:val="22"/>
        </w:rPr>
        <w:t>entrance</w:t>
      </w:r>
      <w:r w:rsidRPr="00F362A0">
        <w:rPr>
          <w:sz w:val="22"/>
          <w:szCs w:val="22"/>
        </w:rPr>
        <w:t xml:space="preserve"> do not have a roof over them.  </w:t>
      </w:r>
      <w:r w:rsidRPr="00F362A0">
        <w:rPr>
          <w:i/>
          <w:sz w:val="22"/>
          <w:szCs w:val="22"/>
        </w:rPr>
        <w:t>Id</w:t>
      </w:r>
      <w:r w:rsidRPr="00F362A0">
        <w:rPr>
          <w:sz w:val="22"/>
          <w:szCs w:val="22"/>
        </w:rPr>
        <w:t xml:space="preserve">.  There are no plants, pictures, or dedicated lighting at them.  </w:t>
      </w:r>
      <w:r w:rsidRPr="00F362A0">
        <w:rPr>
          <w:i/>
          <w:sz w:val="22"/>
          <w:szCs w:val="22"/>
        </w:rPr>
        <w:t>Id</w:t>
      </w:r>
      <w:r w:rsidRPr="00F362A0">
        <w:rPr>
          <w:sz w:val="22"/>
          <w:szCs w:val="22"/>
        </w:rPr>
        <w:t>.</w:t>
      </w:r>
    </w:p>
  </w:footnote>
  <w:footnote w:id="3">
    <w:p w:rsidR="00B82EC5" w:rsidRPr="00F362A0" w:rsidRDefault="00B82EC5">
      <w:pPr>
        <w:pStyle w:val="FootnoteText"/>
        <w:rPr>
          <w:sz w:val="22"/>
          <w:szCs w:val="22"/>
        </w:rPr>
      </w:pPr>
      <w:r w:rsidRPr="00396B53">
        <w:rPr>
          <w:rStyle w:val="FootnoteReference"/>
          <w:sz w:val="22"/>
          <w:szCs w:val="22"/>
        </w:rPr>
        <w:footnoteRef/>
      </w:r>
      <w:r w:rsidRPr="00396B53">
        <w:rPr>
          <w:sz w:val="22"/>
          <w:szCs w:val="22"/>
        </w:rPr>
        <w:t xml:space="preserve"> </w:t>
      </w:r>
      <w:r w:rsidRPr="00F362A0">
        <w:rPr>
          <w:sz w:val="22"/>
          <w:szCs w:val="22"/>
        </w:rPr>
        <w:t xml:space="preserve">Defendants do not dispute that their stores are places of public accommodation and subject to title III of the ADA.  </w:t>
      </w:r>
      <w:r w:rsidRPr="00F362A0">
        <w:rPr>
          <w:i/>
          <w:sz w:val="22"/>
          <w:szCs w:val="22"/>
        </w:rPr>
        <w:t>See</w:t>
      </w:r>
      <w:r w:rsidRPr="00F362A0">
        <w:rPr>
          <w:sz w:val="22"/>
          <w:szCs w:val="22"/>
        </w:rPr>
        <w:t xml:space="preserve"> 42 U.S.C. § 12181(7)(E)</w:t>
      </w:r>
      <w:r>
        <w:rPr>
          <w:sz w:val="22"/>
          <w:szCs w:val="22"/>
        </w:rPr>
        <w:t xml:space="preserve">; </w:t>
      </w:r>
      <w:r w:rsidRPr="00F362A0">
        <w:rPr>
          <w:sz w:val="22"/>
          <w:szCs w:val="22"/>
        </w:rPr>
        <w:t>Opp. at p. 4.</w:t>
      </w:r>
    </w:p>
  </w:footnote>
  <w:footnote w:id="4">
    <w:p w:rsidR="00B82EC5" w:rsidRDefault="00B82EC5">
      <w:pPr>
        <w:pStyle w:val="FootnoteText"/>
      </w:pPr>
      <w:r>
        <w:rPr>
          <w:rStyle w:val="FootnoteReference"/>
        </w:rPr>
        <w:footnoteRef/>
      </w:r>
      <w:r>
        <w:t xml:space="preserve"> </w:t>
      </w:r>
      <w:r w:rsidRPr="000A0C33">
        <w:rPr>
          <w:sz w:val="22"/>
          <w:szCs w:val="22"/>
        </w:rPr>
        <w:t>“It shall be discriminatory to provide an individual or class of individuals, on the basis of a disability or disabilities of such individual or class, directly, or through contractual, licensing, or other arrangements with a good, service, facility, privilege, advantage, or accommodation that is different or separate from that provided to other individuals, unless such action is necessary to provide the individual or class of individuals with a good, service, facility, privilege, advantage, or accommodation, or other opportunity that is as effective</w:t>
      </w:r>
      <w:r>
        <w:rPr>
          <w:sz w:val="22"/>
          <w:szCs w:val="22"/>
        </w:rPr>
        <w:t xml:space="preserve"> as that provided to others.” </w:t>
      </w:r>
      <w:r w:rsidRPr="000A0C33">
        <w:rPr>
          <w:sz w:val="22"/>
          <w:szCs w:val="22"/>
        </w:rPr>
        <w:t>42 U.S.C. § 12182(b)(1)(A)(iii)</w:t>
      </w:r>
      <w:r>
        <w:t>.</w:t>
      </w:r>
    </w:p>
  </w:footnote>
  <w:footnote w:id="5">
    <w:p w:rsidR="00B82EC5" w:rsidRDefault="00B82EC5" w:rsidP="000A565F">
      <w:pPr>
        <w:pStyle w:val="FootnoteText"/>
      </w:pPr>
      <w:r>
        <w:rPr>
          <w:rStyle w:val="FootnoteReference"/>
        </w:rPr>
        <w:footnoteRef/>
      </w:r>
      <w:r>
        <w:t xml:space="preserve"> </w:t>
      </w:r>
      <w:r w:rsidRPr="000A565F">
        <w:rPr>
          <w:sz w:val="22"/>
          <w:szCs w:val="22"/>
        </w:rPr>
        <w:t>The preamble to the 1991 ADA title III regulation provides, “[to be readily accessible to and usable by individuals with disabilities] means, with respect to a facility or a portion of a facility, that it can be approached, entered, and exited, and used by persons with disabilities…easily and conveniently…To the extent that a particular type or element of a facility is not specifically addressed by the standards, the language of this section is the safest guide.”  56  Fed. Reg. 144 at 35576 (July 26, 1991).</w:t>
      </w:r>
    </w:p>
  </w:footnote>
  <w:footnote w:id="6">
    <w:p w:rsidR="00B82EC5" w:rsidRPr="00F362A0" w:rsidRDefault="00B82EC5" w:rsidP="004C49C6">
      <w:pPr>
        <w:pStyle w:val="FootnoteText"/>
        <w:rPr>
          <w:sz w:val="22"/>
          <w:szCs w:val="22"/>
        </w:rPr>
      </w:pPr>
      <w:r w:rsidRPr="00F362A0">
        <w:rPr>
          <w:rStyle w:val="FootnoteReference"/>
          <w:sz w:val="22"/>
          <w:szCs w:val="22"/>
        </w:rPr>
        <w:footnoteRef/>
      </w:r>
      <w:r w:rsidRPr="00F362A0">
        <w:rPr>
          <w:sz w:val="22"/>
          <w:szCs w:val="22"/>
        </w:rPr>
        <w:t xml:space="preserve"> Congress authorized the Department of J</w:t>
      </w:r>
      <w:r>
        <w:rPr>
          <w:sz w:val="22"/>
          <w:szCs w:val="22"/>
        </w:rPr>
        <w:t xml:space="preserve">ustice to promulgate regulations </w:t>
      </w:r>
      <w:r w:rsidRPr="00F362A0">
        <w:rPr>
          <w:rStyle w:val="term"/>
          <w:sz w:val="22"/>
          <w:szCs w:val="22"/>
        </w:rPr>
        <w:t>implementing</w:t>
      </w:r>
      <w:r w:rsidRPr="00F362A0">
        <w:rPr>
          <w:sz w:val="22"/>
          <w:szCs w:val="22"/>
        </w:rPr>
        <w:t xml:space="preserve"> the provisions of </w:t>
      </w:r>
      <w:r w:rsidRPr="00F362A0">
        <w:rPr>
          <w:rStyle w:val="term"/>
          <w:sz w:val="22"/>
          <w:szCs w:val="22"/>
        </w:rPr>
        <w:t>title III</w:t>
      </w:r>
      <w:r w:rsidRPr="00F362A0">
        <w:rPr>
          <w:sz w:val="22"/>
          <w:szCs w:val="22"/>
        </w:rPr>
        <w:t xml:space="preserve"> of the </w:t>
      </w:r>
      <w:r w:rsidRPr="00F362A0">
        <w:rPr>
          <w:rStyle w:val="term"/>
          <w:sz w:val="22"/>
          <w:szCs w:val="22"/>
        </w:rPr>
        <w:t>ADA regarding physical structures.</w:t>
      </w:r>
      <w:r w:rsidRPr="00F362A0">
        <w:rPr>
          <w:sz w:val="22"/>
          <w:szCs w:val="22"/>
        </w:rPr>
        <w:t xml:space="preserve">  </w:t>
      </w:r>
      <w:r w:rsidRPr="00F362A0">
        <w:rPr>
          <w:i/>
          <w:iCs/>
          <w:sz w:val="22"/>
          <w:szCs w:val="22"/>
        </w:rPr>
        <w:t>See</w:t>
      </w:r>
      <w:r w:rsidRPr="00F362A0">
        <w:rPr>
          <w:sz w:val="22"/>
          <w:szCs w:val="22"/>
        </w:rPr>
        <w:t xml:space="preserve"> 42 U.S.C. § 12186(b); 28 C.F.R. 36.406(a); 28 C.F.R. Pt. 36, App. A.  </w:t>
      </w:r>
      <w:r>
        <w:rPr>
          <w:sz w:val="22"/>
          <w:szCs w:val="22"/>
        </w:rPr>
        <w:t xml:space="preserve">The regulations, titled “ADA Accessibility Guidelines for Buildings and Facilities,” were revised in 2010 but the parties agree that the original regulations were those in effect at the time Defendants built the stores at issue and therefore are the operative regulations for this matter.  </w:t>
      </w:r>
      <w:r w:rsidRPr="00594241">
        <w:rPr>
          <w:i/>
          <w:sz w:val="22"/>
          <w:szCs w:val="22"/>
        </w:rPr>
        <w:t>See</w:t>
      </w:r>
      <w:r>
        <w:rPr>
          <w:sz w:val="22"/>
          <w:szCs w:val="22"/>
        </w:rPr>
        <w:t xml:space="preserve"> </w:t>
      </w:r>
      <w:r w:rsidRPr="00F362A0">
        <w:rPr>
          <w:sz w:val="22"/>
          <w:szCs w:val="22"/>
        </w:rPr>
        <w:t xml:space="preserve">28 C.F.R. 36.406(a)(1).  </w:t>
      </w:r>
    </w:p>
  </w:footnote>
  <w:footnote w:id="7">
    <w:p w:rsidR="00B82EC5" w:rsidRDefault="00B82EC5">
      <w:pPr>
        <w:pStyle w:val="FootnoteText"/>
      </w:pPr>
      <w:r>
        <w:rPr>
          <w:rStyle w:val="FootnoteReference"/>
        </w:rPr>
        <w:footnoteRef/>
      </w:r>
      <w:r>
        <w:t xml:space="preserve"> </w:t>
      </w:r>
      <w:r w:rsidRPr="00EB215E">
        <w:rPr>
          <w:sz w:val="22"/>
          <w:szCs w:val="22"/>
        </w:rPr>
        <w:t xml:space="preserve">It is not contradictory to require public accommodations to comply with both </w:t>
      </w:r>
      <w:r>
        <w:rPr>
          <w:sz w:val="22"/>
          <w:szCs w:val="22"/>
        </w:rPr>
        <w:t xml:space="preserve">ADA </w:t>
      </w:r>
      <w:r w:rsidRPr="00EB215E">
        <w:rPr>
          <w:sz w:val="22"/>
          <w:szCs w:val="22"/>
        </w:rPr>
        <w:t>Standards 4.1.3.8(a)(ii) (“At least fifty percent of all public entrances . . . must be accessible”) and 4.1.3(8)(a)(iii).  Read together, they require that at least 50% of the public entrances must be acce</w:t>
      </w:r>
      <w:r>
        <w:rPr>
          <w:sz w:val="22"/>
          <w:szCs w:val="22"/>
        </w:rPr>
        <w:t>ssible and that the entrance</w:t>
      </w:r>
      <w:r w:rsidRPr="00EB215E">
        <w:rPr>
          <w:sz w:val="22"/>
          <w:szCs w:val="22"/>
        </w:rPr>
        <w:t xml:space="preserve"> used by the major</w:t>
      </w:r>
      <w:r>
        <w:rPr>
          <w:sz w:val="22"/>
          <w:szCs w:val="22"/>
        </w:rPr>
        <w:t>ity of people be</w:t>
      </w:r>
      <w:r w:rsidRPr="00EB215E">
        <w:rPr>
          <w:sz w:val="22"/>
          <w:szCs w:val="22"/>
        </w:rPr>
        <w:t xml:space="preserve"> included in this 50% unless that is not feasible. </w:t>
      </w:r>
      <w:r w:rsidRPr="00F362A0">
        <w:rPr>
          <w:sz w:val="22"/>
          <w:szCs w:val="22"/>
        </w:rPr>
        <w:t xml:space="preserve"> </w:t>
      </w:r>
    </w:p>
  </w:footnote>
  <w:footnote w:id="8">
    <w:p w:rsidR="00B82EC5" w:rsidRPr="008868FE" w:rsidRDefault="00B82EC5" w:rsidP="0055331F">
      <w:pPr>
        <w:rPr>
          <w:sz w:val="22"/>
          <w:szCs w:val="22"/>
        </w:rPr>
      </w:pPr>
      <w:r>
        <w:rPr>
          <w:rStyle w:val="FootnoteReference"/>
        </w:rPr>
        <w:footnoteRef/>
      </w:r>
      <w:r>
        <w:t xml:space="preserve"> </w:t>
      </w:r>
      <w:r w:rsidRPr="008868FE">
        <w:rPr>
          <w:sz w:val="22"/>
          <w:szCs w:val="22"/>
        </w:rPr>
        <w:t>Although the term “feasible” is not defined, the phrase “maximum extent feasible” is defined:</w:t>
      </w:r>
    </w:p>
    <w:p w:rsidR="00B82EC5" w:rsidRDefault="00B82EC5" w:rsidP="0055331F">
      <w:pPr>
        <w:ind w:left="720" w:right="630"/>
        <w:rPr>
          <w:sz w:val="22"/>
          <w:szCs w:val="22"/>
        </w:rPr>
      </w:pPr>
      <w:r w:rsidRPr="008868FE">
        <w:rPr>
          <w:sz w:val="22"/>
          <w:szCs w:val="22"/>
        </w:rPr>
        <w:t xml:space="preserve">Any alteration to a place of public accommodation . . . shall be made so as to ensure that, </w:t>
      </w:r>
      <w:r w:rsidRPr="008868FE">
        <w:rPr>
          <w:i/>
          <w:sz w:val="22"/>
          <w:szCs w:val="22"/>
        </w:rPr>
        <w:t>to the maximum extent feasible</w:t>
      </w:r>
      <w:r w:rsidRPr="008868FE">
        <w:rPr>
          <w:sz w:val="22"/>
          <w:szCs w:val="22"/>
        </w:rPr>
        <w:t>, the altered portions . . . are readily accessible</w:t>
      </w:r>
      <w:r>
        <w:rPr>
          <w:sz w:val="22"/>
          <w:szCs w:val="22"/>
        </w:rPr>
        <w:t>…</w:t>
      </w:r>
    </w:p>
    <w:p w:rsidR="00B82EC5" w:rsidRPr="008868FE" w:rsidRDefault="00B82EC5" w:rsidP="0055331F">
      <w:pPr>
        <w:ind w:right="630"/>
        <w:jc w:val="center"/>
        <w:rPr>
          <w:sz w:val="22"/>
          <w:szCs w:val="22"/>
        </w:rPr>
      </w:pPr>
      <w:r w:rsidRPr="008868FE">
        <w:rPr>
          <w:sz w:val="22"/>
          <w:szCs w:val="22"/>
        </w:rPr>
        <w:t>*     *     *</w:t>
      </w:r>
    </w:p>
    <w:p w:rsidR="00B82EC5" w:rsidRPr="008868FE" w:rsidRDefault="00B82EC5" w:rsidP="0055331F">
      <w:pPr>
        <w:ind w:left="720" w:right="630"/>
        <w:rPr>
          <w:sz w:val="22"/>
          <w:szCs w:val="22"/>
        </w:rPr>
      </w:pPr>
      <w:r w:rsidRPr="008868FE">
        <w:rPr>
          <w:sz w:val="22"/>
          <w:szCs w:val="22"/>
        </w:rPr>
        <w:t>The phrase “to the maximum extent feasible” . . . appl</w:t>
      </w:r>
      <w:r>
        <w:rPr>
          <w:sz w:val="22"/>
          <w:szCs w:val="22"/>
        </w:rPr>
        <w:t xml:space="preserve">ies </w:t>
      </w:r>
      <w:r w:rsidRPr="008868FE">
        <w:rPr>
          <w:sz w:val="22"/>
          <w:szCs w:val="22"/>
        </w:rPr>
        <w:t>to the occasional case where the nature of an existing facility makes it virtually impossible to comply fully with applicable accessibility standa</w:t>
      </w:r>
      <w:r>
        <w:rPr>
          <w:sz w:val="22"/>
          <w:szCs w:val="22"/>
        </w:rPr>
        <w:t>rds through planned alteration.</w:t>
      </w:r>
    </w:p>
    <w:p w:rsidR="00B82EC5" w:rsidRDefault="00B82EC5" w:rsidP="0055331F">
      <w:pPr>
        <w:pStyle w:val="FootnoteText"/>
      </w:pPr>
      <w:r w:rsidRPr="008868FE">
        <w:rPr>
          <w:sz w:val="22"/>
          <w:szCs w:val="22"/>
        </w:rPr>
        <w:t>28 C.F.R. § 36.402 (emphasis added).</w:t>
      </w:r>
    </w:p>
  </w:footnote>
  <w:footnote w:id="9">
    <w:p w:rsidR="00B82EC5" w:rsidRDefault="00B82EC5">
      <w:pPr>
        <w:pStyle w:val="FootnoteText"/>
      </w:pPr>
      <w:r w:rsidRPr="00D50352">
        <w:rPr>
          <w:rStyle w:val="FootnoteReference"/>
        </w:rPr>
        <w:footnoteRef/>
      </w:r>
      <w:r w:rsidRPr="00D50352">
        <w:t xml:space="preserve"> </w:t>
      </w:r>
      <w:r w:rsidRPr="00D50352">
        <w:rPr>
          <w:sz w:val="22"/>
          <w:szCs w:val="22"/>
        </w:rPr>
        <w:t xml:space="preserve">Defendants are correct that the definition of “entrance” provides that one entrance may consist of more than one entry door (Opp. at p. 7) but their conclusion is incorrect.  The definition reads in part that “[a]n entrance includes the approach walk, the vertical access leading to the entrance platform, </w:t>
      </w:r>
      <w:r w:rsidR="00C25B44">
        <w:rPr>
          <w:sz w:val="22"/>
          <w:szCs w:val="22"/>
        </w:rPr>
        <w:t xml:space="preserve">the entrance platform itself, </w:t>
      </w:r>
      <w:r w:rsidRPr="00D50352">
        <w:rPr>
          <w:sz w:val="22"/>
          <w:szCs w:val="22"/>
        </w:rPr>
        <w:t>vestibules if provided, the entry door(s) or gate(s), and the hardware of the entry door(s) or gate(s).”  Even without analyzing the decorative differences between the center entrance and the side entrances, the different elevations of the “entrance platform” and “vestibule” of the middle raised entrance and the ground level side entrances, preclude their being considered together as one entrance under the definition.</w:t>
      </w:r>
      <w:r>
        <w:rPr>
          <w:sz w:val="22"/>
          <w:szCs w:val="22"/>
        </w:rPr>
        <w:t xml:space="preserve"> </w:t>
      </w:r>
      <w:r>
        <w:t xml:space="preserve">    </w:t>
      </w:r>
    </w:p>
  </w:footnote>
  <w:footnote w:id="10">
    <w:p w:rsidR="00B82EC5" w:rsidRDefault="00B82EC5">
      <w:pPr>
        <w:pStyle w:val="FootnoteText"/>
      </w:pPr>
      <w:r>
        <w:rPr>
          <w:rStyle w:val="FootnoteReference"/>
        </w:rPr>
        <w:footnoteRef/>
      </w:r>
      <w:r>
        <w:t xml:space="preserve"> </w:t>
      </w:r>
      <w:r w:rsidRPr="00EF6F23">
        <w:rPr>
          <w:sz w:val="22"/>
          <w:szCs w:val="22"/>
        </w:rPr>
        <w:t xml:space="preserve">Defendants’ raised porch-like entrances were designed in order to give </w:t>
      </w:r>
      <w:r>
        <w:rPr>
          <w:sz w:val="22"/>
          <w:szCs w:val="22"/>
        </w:rPr>
        <w:t xml:space="preserve">the stores </w:t>
      </w:r>
      <w:r w:rsidRPr="00EF6F23">
        <w:rPr>
          <w:sz w:val="22"/>
          <w:szCs w:val="22"/>
        </w:rPr>
        <w:t>“the aesthetic appearance of a Southern California surf shack.”  Motion at p. 5, ¶ 12.</w:t>
      </w:r>
    </w:p>
  </w:footnote>
  <w:footnote w:id="11">
    <w:p w:rsidR="00B82EC5" w:rsidRDefault="00B82EC5">
      <w:pPr>
        <w:pStyle w:val="FootnoteText"/>
      </w:pPr>
      <w:r>
        <w:rPr>
          <w:rStyle w:val="FootnoteReference"/>
        </w:rPr>
        <w:footnoteRef/>
      </w:r>
      <w:r>
        <w:t xml:space="preserve"> </w:t>
      </w:r>
      <w:r w:rsidRPr="003A63A0">
        <w:rPr>
          <w:sz w:val="22"/>
          <w:szCs w:val="22"/>
        </w:rPr>
        <w:t xml:space="preserve">Had Defendants incorporated the ground level side </w:t>
      </w:r>
      <w:r>
        <w:rPr>
          <w:sz w:val="22"/>
          <w:szCs w:val="22"/>
        </w:rPr>
        <w:t>entrances</w:t>
      </w:r>
      <w:r w:rsidRPr="003A63A0">
        <w:rPr>
          <w:sz w:val="22"/>
          <w:szCs w:val="22"/>
        </w:rPr>
        <w:t xml:space="preserve"> into the overall design by extending the roof over the side </w:t>
      </w:r>
      <w:r>
        <w:rPr>
          <w:sz w:val="22"/>
          <w:szCs w:val="22"/>
        </w:rPr>
        <w:t>entrances</w:t>
      </w:r>
      <w:r w:rsidRPr="003A63A0">
        <w:rPr>
          <w:sz w:val="22"/>
          <w:szCs w:val="22"/>
        </w:rPr>
        <w:t xml:space="preserve"> and decorating all three </w:t>
      </w:r>
      <w:r>
        <w:rPr>
          <w:sz w:val="22"/>
          <w:szCs w:val="22"/>
        </w:rPr>
        <w:t>entrances</w:t>
      </w:r>
      <w:r w:rsidRPr="003A63A0">
        <w:rPr>
          <w:sz w:val="22"/>
          <w:szCs w:val="22"/>
        </w:rPr>
        <w:t xml:space="preserve"> similarly with plants, etc., their argument that all three </w:t>
      </w:r>
      <w:r>
        <w:rPr>
          <w:sz w:val="22"/>
          <w:szCs w:val="22"/>
        </w:rPr>
        <w:t>entrances</w:t>
      </w:r>
      <w:r w:rsidRPr="003A63A0">
        <w:rPr>
          <w:sz w:val="22"/>
          <w:szCs w:val="22"/>
        </w:rPr>
        <w:t xml:space="preserve"> are one cohesive entrance might be more persuasive.</w:t>
      </w:r>
      <w:r>
        <w:rPr>
          <w:sz w:val="22"/>
          <w:szCs w:val="22"/>
        </w:rPr>
        <w:t xml:space="preserve">  </w:t>
      </w:r>
      <w:r w:rsidRPr="003A63A0">
        <w:rPr>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A8" w:rsidRDefault="009C0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C5" w:rsidRDefault="00B82EC5">
    <w:pPr>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A8" w:rsidRDefault="009C0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983"/>
    <w:multiLevelType w:val="hybridMultilevel"/>
    <w:tmpl w:val="452E6D3A"/>
    <w:lvl w:ilvl="0" w:tplc="214E20A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4F62"/>
    <w:multiLevelType w:val="hybridMultilevel"/>
    <w:tmpl w:val="1666BC36"/>
    <w:lvl w:ilvl="0" w:tplc="4B9E5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6682"/>
    <w:multiLevelType w:val="hybridMultilevel"/>
    <w:tmpl w:val="39EA2D30"/>
    <w:lvl w:ilvl="0" w:tplc="1214D69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63BD"/>
    <w:multiLevelType w:val="hybridMultilevel"/>
    <w:tmpl w:val="93E4F7BE"/>
    <w:lvl w:ilvl="0" w:tplc="F17CCB8E">
      <w:start w:val="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2F7E1C"/>
    <w:multiLevelType w:val="hybridMultilevel"/>
    <w:tmpl w:val="21CCFB9C"/>
    <w:lvl w:ilvl="0" w:tplc="373C8378">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C70464"/>
    <w:multiLevelType w:val="hybridMultilevel"/>
    <w:tmpl w:val="294EE7E8"/>
    <w:lvl w:ilvl="0" w:tplc="13A4E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65176"/>
    <w:multiLevelType w:val="hybridMultilevel"/>
    <w:tmpl w:val="8A6A9938"/>
    <w:lvl w:ilvl="0" w:tplc="2918C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C7F7D"/>
    <w:multiLevelType w:val="hybridMultilevel"/>
    <w:tmpl w:val="64A8E042"/>
    <w:lvl w:ilvl="0" w:tplc="22C672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71F25"/>
    <w:multiLevelType w:val="hybridMultilevel"/>
    <w:tmpl w:val="C54CA9EA"/>
    <w:lvl w:ilvl="0" w:tplc="8B1C1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2C60E5"/>
    <w:multiLevelType w:val="hybridMultilevel"/>
    <w:tmpl w:val="96DC244E"/>
    <w:lvl w:ilvl="0" w:tplc="F6EE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503236"/>
    <w:multiLevelType w:val="hybridMultilevel"/>
    <w:tmpl w:val="D5AA6A58"/>
    <w:lvl w:ilvl="0" w:tplc="5152332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74F6F"/>
    <w:multiLevelType w:val="hybridMultilevel"/>
    <w:tmpl w:val="F2EE5A60"/>
    <w:lvl w:ilvl="0" w:tplc="93EEB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C22EF"/>
    <w:multiLevelType w:val="hybridMultilevel"/>
    <w:tmpl w:val="D4E29D22"/>
    <w:lvl w:ilvl="0" w:tplc="2E82B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7"/>
  </w:num>
  <w:num w:numId="5">
    <w:abstractNumId w:val="5"/>
  </w:num>
  <w:num w:numId="6">
    <w:abstractNumId w:val="1"/>
  </w:num>
  <w:num w:numId="7">
    <w:abstractNumId w:val="10"/>
  </w:num>
  <w:num w:numId="8">
    <w:abstractNumId w:val="4"/>
  </w:num>
  <w:num w:numId="9">
    <w:abstractNumId w:val="6"/>
  </w:num>
  <w:num w:numId="10">
    <w:abstractNumId w:val="12"/>
  </w:num>
  <w:num w:numId="11">
    <w:abstractNumId w:val="3"/>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2A64D0"/>
    <w:rsid w:val="0000055F"/>
    <w:rsid w:val="00002B77"/>
    <w:rsid w:val="00004EAE"/>
    <w:rsid w:val="000100A5"/>
    <w:rsid w:val="00013BD8"/>
    <w:rsid w:val="0002365F"/>
    <w:rsid w:val="0002624F"/>
    <w:rsid w:val="00027120"/>
    <w:rsid w:val="000304F5"/>
    <w:rsid w:val="000324F4"/>
    <w:rsid w:val="0003447F"/>
    <w:rsid w:val="00041040"/>
    <w:rsid w:val="00053190"/>
    <w:rsid w:val="00056340"/>
    <w:rsid w:val="00057A83"/>
    <w:rsid w:val="00057FDF"/>
    <w:rsid w:val="00065FF8"/>
    <w:rsid w:val="00066A9F"/>
    <w:rsid w:val="000762D0"/>
    <w:rsid w:val="00081061"/>
    <w:rsid w:val="000854A8"/>
    <w:rsid w:val="00094005"/>
    <w:rsid w:val="0009732D"/>
    <w:rsid w:val="000A0C33"/>
    <w:rsid w:val="000A1594"/>
    <w:rsid w:val="000A53CE"/>
    <w:rsid w:val="000A565F"/>
    <w:rsid w:val="000A63C6"/>
    <w:rsid w:val="000A6E33"/>
    <w:rsid w:val="000B33ED"/>
    <w:rsid w:val="000C0360"/>
    <w:rsid w:val="000C14EE"/>
    <w:rsid w:val="000C23A3"/>
    <w:rsid w:val="000C6B17"/>
    <w:rsid w:val="000D2512"/>
    <w:rsid w:val="000D761F"/>
    <w:rsid w:val="000F5947"/>
    <w:rsid w:val="000F7740"/>
    <w:rsid w:val="0010111F"/>
    <w:rsid w:val="00101995"/>
    <w:rsid w:val="0011234E"/>
    <w:rsid w:val="00113A2F"/>
    <w:rsid w:val="00120A87"/>
    <w:rsid w:val="00122EF5"/>
    <w:rsid w:val="001240FF"/>
    <w:rsid w:val="0012699D"/>
    <w:rsid w:val="001324A5"/>
    <w:rsid w:val="001353E8"/>
    <w:rsid w:val="001421CB"/>
    <w:rsid w:val="00150F4C"/>
    <w:rsid w:val="0015721D"/>
    <w:rsid w:val="00161D48"/>
    <w:rsid w:val="00163D15"/>
    <w:rsid w:val="00166E71"/>
    <w:rsid w:val="00171295"/>
    <w:rsid w:val="00172E85"/>
    <w:rsid w:val="001749BD"/>
    <w:rsid w:val="00176A2C"/>
    <w:rsid w:val="00181853"/>
    <w:rsid w:val="001843D2"/>
    <w:rsid w:val="00184E3C"/>
    <w:rsid w:val="00191A87"/>
    <w:rsid w:val="00191B01"/>
    <w:rsid w:val="00195DE5"/>
    <w:rsid w:val="00197018"/>
    <w:rsid w:val="001A0229"/>
    <w:rsid w:val="001A0551"/>
    <w:rsid w:val="001A5043"/>
    <w:rsid w:val="001A5E39"/>
    <w:rsid w:val="001B3163"/>
    <w:rsid w:val="001B35BC"/>
    <w:rsid w:val="001B4056"/>
    <w:rsid w:val="001B5FCF"/>
    <w:rsid w:val="001C79BE"/>
    <w:rsid w:val="001E279D"/>
    <w:rsid w:val="001E2984"/>
    <w:rsid w:val="001E4AB6"/>
    <w:rsid w:val="001E4F96"/>
    <w:rsid w:val="001E66E8"/>
    <w:rsid w:val="001E7A4B"/>
    <w:rsid w:val="001F7A79"/>
    <w:rsid w:val="00202D78"/>
    <w:rsid w:val="002133AF"/>
    <w:rsid w:val="002139E5"/>
    <w:rsid w:val="0021466A"/>
    <w:rsid w:val="00215BC1"/>
    <w:rsid w:val="00221C6F"/>
    <w:rsid w:val="002246BA"/>
    <w:rsid w:val="00227C40"/>
    <w:rsid w:val="00234B7D"/>
    <w:rsid w:val="00235D9D"/>
    <w:rsid w:val="00236C10"/>
    <w:rsid w:val="002373CB"/>
    <w:rsid w:val="00240724"/>
    <w:rsid w:val="0024083F"/>
    <w:rsid w:val="0024123E"/>
    <w:rsid w:val="00242CBF"/>
    <w:rsid w:val="0025570E"/>
    <w:rsid w:val="00256F11"/>
    <w:rsid w:val="00256FA9"/>
    <w:rsid w:val="00261D2F"/>
    <w:rsid w:val="00261F2A"/>
    <w:rsid w:val="00262999"/>
    <w:rsid w:val="002637B5"/>
    <w:rsid w:val="00264218"/>
    <w:rsid w:val="00266551"/>
    <w:rsid w:val="00267533"/>
    <w:rsid w:val="00270646"/>
    <w:rsid w:val="00270D25"/>
    <w:rsid w:val="0027757F"/>
    <w:rsid w:val="002809A4"/>
    <w:rsid w:val="0028355F"/>
    <w:rsid w:val="002900BA"/>
    <w:rsid w:val="00290141"/>
    <w:rsid w:val="00293F12"/>
    <w:rsid w:val="002A0AA6"/>
    <w:rsid w:val="002A5BC6"/>
    <w:rsid w:val="002A5DFA"/>
    <w:rsid w:val="002A64D0"/>
    <w:rsid w:val="002B14CD"/>
    <w:rsid w:val="002B3DA5"/>
    <w:rsid w:val="002B6310"/>
    <w:rsid w:val="002B6BA3"/>
    <w:rsid w:val="002C16AD"/>
    <w:rsid w:val="002C51BF"/>
    <w:rsid w:val="002C556F"/>
    <w:rsid w:val="002C6460"/>
    <w:rsid w:val="002C7379"/>
    <w:rsid w:val="002C7B04"/>
    <w:rsid w:val="002D00D6"/>
    <w:rsid w:val="002D343E"/>
    <w:rsid w:val="002D3454"/>
    <w:rsid w:val="002D6DA6"/>
    <w:rsid w:val="002D723E"/>
    <w:rsid w:val="002E3E99"/>
    <w:rsid w:val="002E4D26"/>
    <w:rsid w:val="002F43BB"/>
    <w:rsid w:val="00301647"/>
    <w:rsid w:val="003020E9"/>
    <w:rsid w:val="00306B60"/>
    <w:rsid w:val="0030703F"/>
    <w:rsid w:val="003126F1"/>
    <w:rsid w:val="003146E7"/>
    <w:rsid w:val="00314742"/>
    <w:rsid w:val="00332139"/>
    <w:rsid w:val="00332AA9"/>
    <w:rsid w:val="003341D3"/>
    <w:rsid w:val="00345956"/>
    <w:rsid w:val="00353450"/>
    <w:rsid w:val="003552AF"/>
    <w:rsid w:val="00355D4E"/>
    <w:rsid w:val="00360B83"/>
    <w:rsid w:val="003635FF"/>
    <w:rsid w:val="00370FFB"/>
    <w:rsid w:val="00371998"/>
    <w:rsid w:val="00372D12"/>
    <w:rsid w:val="003732E5"/>
    <w:rsid w:val="003745E5"/>
    <w:rsid w:val="003774B2"/>
    <w:rsid w:val="00381BA9"/>
    <w:rsid w:val="00391BCB"/>
    <w:rsid w:val="00393704"/>
    <w:rsid w:val="00396B53"/>
    <w:rsid w:val="003A39BD"/>
    <w:rsid w:val="003A5554"/>
    <w:rsid w:val="003A63A0"/>
    <w:rsid w:val="003B1741"/>
    <w:rsid w:val="003B4526"/>
    <w:rsid w:val="003B5957"/>
    <w:rsid w:val="003B66A1"/>
    <w:rsid w:val="003C26BD"/>
    <w:rsid w:val="003C6F4E"/>
    <w:rsid w:val="003D0769"/>
    <w:rsid w:val="003D2A7C"/>
    <w:rsid w:val="003E0403"/>
    <w:rsid w:val="003F52CB"/>
    <w:rsid w:val="003F71FB"/>
    <w:rsid w:val="00400426"/>
    <w:rsid w:val="00402063"/>
    <w:rsid w:val="00402D38"/>
    <w:rsid w:val="00403414"/>
    <w:rsid w:val="00413039"/>
    <w:rsid w:val="00414EA1"/>
    <w:rsid w:val="00417B7B"/>
    <w:rsid w:val="00426EA7"/>
    <w:rsid w:val="004318E9"/>
    <w:rsid w:val="004328F8"/>
    <w:rsid w:val="0044085F"/>
    <w:rsid w:val="00440F79"/>
    <w:rsid w:val="00446628"/>
    <w:rsid w:val="00447BDE"/>
    <w:rsid w:val="0045003F"/>
    <w:rsid w:val="004611D1"/>
    <w:rsid w:val="00467082"/>
    <w:rsid w:val="004744D4"/>
    <w:rsid w:val="004773A2"/>
    <w:rsid w:val="004806E7"/>
    <w:rsid w:val="00480F1A"/>
    <w:rsid w:val="00481414"/>
    <w:rsid w:val="004818F5"/>
    <w:rsid w:val="00481ACC"/>
    <w:rsid w:val="00484B78"/>
    <w:rsid w:val="00493B70"/>
    <w:rsid w:val="00495763"/>
    <w:rsid w:val="004A2408"/>
    <w:rsid w:val="004A5F60"/>
    <w:rsid w:val="004A6623"/>
    <w:rsid w:val="004B5257"/>
    <w:rsid w:val="004B6393"/>
    <w:rsid w:val="004B69FF"/>
    <w:rsid w:val="004C41BA"/>
    <w:rsid w:val="004C49C6"/>
    <w:rsid w:val="004D1A2C"/>
    <w:rsid w:val="004D2C57"/>
    <w:rsid w:val="004D349E"/>
    <w:rsid w:val="004D5BCD"/>
    <w:rsid w:val="004E63AB"/>
    <w:rsid w:val="004E67AE"/>
    <w:rsid w:val="004F0386"/>
    <w:rsid w:val="004F4FFA"/>
    <w:rsid w:val="004F61F0"/>
    <w:rsid w:val="00500B37"/>
    <w:rsid w:val="00502F9E"/>
    <w:rsid w:val="00510E17"/>
    <w:rsid w:val="00522976"/>
    <w:rsid w:val="0052761F"/>
    <w:rsid w:val="0052793C"/>
    <w:rsid w:val="00536760"/>
    <w:rsid w:val="005416A7"/>
    <w:rsid w:val="00545CFD"/>
    <w:rsid w:val="00551CE9"/>
    <w:rsid w:val="0055331F"/>
    <w:rsid w:val="00554475"/>
    <w:rsid w:val="005608CE"/>
    <w:rsid w:val="00567C79"/>
    <w:rsid w:val="00577BF9"/>
    <w:rsid w:val="005805FC"/>
    <w:rsid w:val="00582860"/>
    <w:rsid w:val="00582D96"/>
    <w:rsid w:val="005903FE"/>
    <w:rsid w:val="00594241"/>
    <w:rsid w:val="005A50E7"/>
    <w:rsid w:val="005A57CA"/>
    <w:rsid w:val="005A79F3"/>
    <w:rsid w:val="005B2416"/>
    <w:rsid w:val="005B4827"/>
    <w:rsid w:val="005C5592"/>
    <w:rsid w:val="005C5B71"/>
    <w:rsid w:val="005D03E4"/>
    <w:rsid w:val="005D0A41"/>
    <w:rsid w:val="005D2FF4"/>
    <w:rsid w:val="005D52E3"/>
    <w:rsid w:val="005D5E90"/>
    <w:rsid w:val="005E76C4"/>
    <w:rsid w:val="005E7D48"/>
    <w:rsid w:val="005F5A4F"/>
    <w:rsid w:val="005F67FB"/>
    <w:rsid w:val="006028C8"/>
    <w:rsid w:val="00607599"/>
    <w:rsid w:val="006170FD"/>
    <w:rsid w:val="00617EBF"/>
    <w:rsid w:val="00622BA9"/>
    <w:rsid w:val="00624BE8"/>
    <w:rsid w:val="006337C1"/>
    <w:rsid w:val="00633E5F"/>
    <w:rsid w:val="0063766A"/>
    <w:rsid w:val="0064118D"/>
    <w:rsid w:val="00643409"/>
    <w:rsid w:val="00643756"/>
    <w:rsid w:val="006463BD"/>
    <w:rsid w:val="00651087"/>
    <w:rsid w:val="006511B6"/>
    <w:rsid w:val="00652C45"/>
    <w:rsid w:val="00655656"/>
    <w:rsid w:val="006609B9"/>
    <w:rsid w:val="00663703"/>
    <w:rsid w:val="00663C3E"/>
    <w:rsid w:val="00680D9C"/>
    <w:rsid w:val="00683EB5"/>
    <w:rsid w:val="0068651D"/>
    <w:rsid w:val="00686F37"/>
    <w:rsid w:val="00687072"/>
    <w:rsid w:val="00695738"/>
    <w:rsid w:val="006A69F0"/>
    <w:rsid w:val="006B651E"/>
    <w:rsid w:val="006B7994"/>
    <w:rsid w:val="006C5D3C"/>
    <w:rsid w:val="006D1042"/>
    <w:rsid w:val="006D1AAC"/>
    <w:rsid w:val="006D3305"/>
    <w:rsid w:val="006D7D8C"/>
    <w:rsid w:val="006E0A95"/>
    <w:rsid w:val="006E76C8"/>
    <w:rsid w:val="006F418D"/>
    <w:rsid w:val="006F597B"/>
    <w:rsid w:val="006F62EC"/>
    <w:rsid w:val="00700E20"/>
    <w:rsid w:val="007020A5"/>
    <w:rsid w:val="007025F2"/>
    <w:rsid w:val="00713F13"/>
    <w:rsid w:val="007225B5"/>
    <w:rsid w:val="007353B9"/>
    <w:rsid w:val="007416E0"/>
    <w:rsid w:val="00742735"/>
    <w:rsid w:val="0074660B"/>
    <w:rsid w:val="007466C6"/>
    <w:rsid w:val="00747B92"/>
    <w:rsid w:val="00750BC7"/>
    <w:rsid w:val="00752B70"/>
    <w:rsid w:val="007579B0"/>
    <w:rsid w:val="00757FF6"/>
    <w:rsid w:val="00771820"/>
    <w:rsid w:val="00774C3E"/>
    <w:rsid w:val="00775573"/>
    <w:rsid w:val="00780EBC"/>
    <w:rsid w:val="00782765"/>
    <w:rsid w:val="00790A0D"/>
    <w:rsid w:val="00791CEF"/>
    <w:rsid w:val="007A026F"/>
    <w:rsid w:val="007A4111"/>
    <w:rsid w:val="007A567F"/>
    <w:rsid w:val="007A6FD6"/>
    <w:rsid w:val="007B6508"/>
    <w:rsid w:val="007B73F9"/>
    <w:rsid w:val="007C20B6"/>
    <w:rsid w:val="007D19DA"/>
    <w:rsid w:val="007D663C"/>
    <w:rsid w:val="007D7D6D"/>
    <w:rsid w:val="007E62F9"/>
    <w:rsid w:val="007F231A"/>
    <w:rsid w:val="007F3F4E"/>
    <w:rsid w:val="007F48B9"/>
    <w:rsid w:val="00801A66"/>
    <w:rsid w:val="00805682"/>
    <w:rsid w:val="0081003F"/>
    <w:rsid w:val="00813ABD"/>
    <w:rsid w:val="00816FC1"/>
    <w:rsid w:val="00822B88"/>
    <w:rsid w:val="00823BFA"/>
    <w:rsid w:val="008247A0"/>
    <w:rsid w:val="008263CA"/>
    <w:rsid w:val="00827293"/>
    <w:rsid w:val="008303DA"/>
    <w:rsid w:val="00831497"/>
    <w:rsid w:val="008326D6"/>
    <w:rsid w:val="00836338"/>
    <w:rsid w:val="00843334"/>
    <w:rsid w:val="008559CC"/>
    <w:rsid w:val="00862390"/>
    <w:rsid w:val="008758C1"/>
    <w:rsid w:val="008868FE"/>
    <w:rsid w:val="00891E00"/>
    <w:rsid w:val="008931DE"/>
    <w:rsid w:val="008938F9"/>
    <w:rsid w:val="008A509D"/>
    <w:rsid w:val="008A57AF"/>
    <w:rsid w:val="008B0679"/>
    <w:rsid w:val="008B2D58"/>
    <w:rsid w:val="008E1189"/>
    <w:rsid w:val="008E4E8A"/>
    <w:rsid w:val="008E4F3B"/>
    <w:rsid w:val="008F04E0"/>
    <w:rsid w:val="008F5985"/>
    <w:rsid w:val="00904017"/>
    <w:rsid w:val="0091353A"/>
    <w:rsid w:val="00914D68"/>
    <w:rsid w:val="0091550E"/>
    <w:rsid w:val="00921490"/>
    <w:rsid w:val="00925339"/>
    <w:rsid w:val="00931012"/>
    <w:rsid w:val="009316BD"/>
    <w:rsid w:val="009318F0"/>
    <w:rsid w:val="00934774"/>
    <w:rsid w:val="00936A68"/>
    <w:rsid w:val="00937BEA"/>
    <w:rsid w:val="009416FE"/>
    <w:rsid w:val="0094201F"/>
    <w:rsid w:val="00945505"/>
    <w:rsid w:val="00950095"/>
    <w:rsid w:val="00951E8D"/>
    <w:rsid w:val="00952091"/>
    <w:rsid w:val="00952647"/>
    <w:rsid w:val="00972B7F"/>
    <w:rsid w:val="00973E02"/>
    <w:rsid w:val="00974D6D"/>
    <w:rsid w:val="009770EF"/>
    <w:rsid w:val="00986FDA"/>
    <w:rsid w:val="0099052C"/>
    <w:rsid w:val="00995F76"/>
    <w:rsid w:val="0099660E"/>
    <w:rsid w:val="009A2329"/>
    <w:rsid w:val="009A423C"/>
    <w:rsid w:val="009B259A"/>
    <w:rsid w:val="009B27AB"/>
    <w:rsid w:val="009B5058"/>
    <w:rsid w:val="009C07A8"/>
    <w:rsid w:val="009C0D5A"/>
    <w:rsid w:val="009D6618"/>
    <w:rsid w:val="009E1C37"/>
    <w:rsid w:val="009E76C0"/>
    <w:rsid w:val="009F17E7"/>
    <w:rsid w:val="009F18BE"/>
    <w:rsid w:val="009F3889"/>
    <w:rsid w:val="009F5AAB"/>
    <w:rsid w:val="00A01B44"/>
    <w:rsid w:val="00A06FF3"/>
    <w:rsid w:val="00A07793"/>
    <w:rsid w:val="00A12AC6"/>
    <w:rsid w:val="00A14519"/>
    <w:rsid w:val="00A23647"/>
    <w:rsid w:val="00A31971"/>
    <w:rsid w:val="00A32161"/>
    <w:rsid w:val="00A47A6B"/>
    <w:rsid w:val="00A52FAA"/>
    <w:rsid w:val="00A56850"/>
    <w:rsid w:val="00A679CC"/>
    <w:rsid w:val="00A72641"/>
    <w:rsid w:val="00A72B8D"/>
    <w:rsid w:val="00A76AAB"/>
    <w:rsid w:val="00A77BA3"/>
    <w:rsid w:val="00A8314E"/>
    <w:rsid w:val="00A92244"/>
    <w:rsid w:val="00A93A15"/>
    <w:rsid w:val="00A94721"/>
    <w:rsid w:val="00AA0EC3"/>
    <w:rsid w:val="00AA5BAF"/>
    <w:rsid w:val="00AA6EF5"/>
    <w:rsid w:val="00AA7E17"/>
    <w:rsid w:val="00AB1C5C"/>
    <w:rsid w:val="00AB25F3"/>
    <w:rsid w:val="00AB39DC"/>
    <w:rsid w:val="00AB4FE3"/>
    <w:rsid w:val="00AC0E9C"/>
    <w:rsid w:val="00AC42B4"/>
    <w:rsid w:val="00AC72D3"/>
    <w:rsid w:val="00AD5961"/>
    <w:rsid w:val="00AE7A03"/>
    <w:rsid w:val="00AF1ED5"/>
    <w:rsid w:val="00AF4A18"/>
    <w:rsid w:val="00B018F3"/>
    <w:rsid w:val="00B02E61"/>
    <w:rsid w:val="00B06549"/>
    <w:rsid w:val="00B121AD"/>
    <w:rsid w:val="00B21413"/>
    <w:rsid w:val="00B24936"/>
    <w:rsid w:val="00B24EDC"/>
    <w:rsid w:val="00B271C3"/>
    <w:rsid w:val="00B278B5"/>
    <w:rsid w:val="00B31899"/>
    <w:rsid w:val="00B31B5D"/>
    <w:rsid w:val="00B3264C"/>
    <w:rsid w:val="00B35AFA"/>
    <w:rsid w:val="00B4006E"/>
    <w:rsid w:val="00B44A64"/>
    <w:rsid w:val="00B4603C"/>
    <w:rsid w:val="00B508AE"/>
    <w:rsid w:val="00B52BBF"/>
    <w:rsid w:val="00B54CF8"/>
    <w:rsid w:val="00B54E27"/>
    <w:rsid w:val="00B55E89"/>
    <w:rsid w:val="00B60553"/>
    <w:rsid w:val="00B6574F"/>
    <w:rsid w:val="00B65A9C"/>
    <w:rsid w:val="00B66471"/>
    <w:rsid w:val="00B67C21"/>
    <w:rsid w:val="00B82EC5"/>
    <w:rsid w:val="00B833F4"/>
    <w:rsid w:val="00B913F9"/>
    <w:rsid w:val="00B91C35"/>
    <w:rsid w:val="00B9431D"/>
    <w:rsid w:val="00B956BF"/>
    <w:rsid w:val="00B96139"/>
    <w:rsid w:val="00B961B7"/>
    <w:rsid w:val="00B974C1"/>
    <w:rsid w:val="00BA1C27"/>
    <w:rsid w:val="00BA3F7A"/>
    <w:rsid w:val="00BA64A7"/>
    <w:rsid w:val="00BB5064"/>
    <w:rsid w:val="00BB6285"/>
    <w:rsid w:val="00BB7A81"/>
    <w:rsid w:val="00BC15CE"/>
    <w:rsid w:val="00BC4287"/>
    <w:rsid w:val="00BD0A99"/>
    <w:rsid w:val="00BD174D"/>
    <w:rsid w:val="00BE2B62"/>
    <w:rsid w:val="00BF1F15"/>
    <w:rsid w:val="00BF68C1"/>
    <w:rsid w:val="00BF6AEA"/>
    <w:rsid w:val="00C04942"/>
    <w:rsid w:val="00C066D5"/>
    <w:rsid w:val="00C06D67"/>
    <w:rsid w:val="00C20AA2"/>
    <w:rsid w:val="00C21D6C"/>
    <w:rsid w:val="00C25385"/>
    <w:rsid w:val="00C25B44"/>
    <w:rsid w:val="00C27BCF"/>
    <w:rsid w:val="00C3134D"/>
    <w:rsid w:val="00C365ED"/>
    <w:rsid w:val="00C41C26"/>
    <w:rsid w:val="00C46D7F"/>
    <w:rsid w:val="00C50F34"/>
    <w:rsid w:val="00C54A9E"/>
    <w:rsid w:val="00C606AD"/>
    <w:rsid w:val="00C82DAF"/>
    <w:rsid w:val="00C84D0E"/>
    <w:rsid w:val="00C97262"/>
    <w:rsid w:val="00CA61D4"/>
    <w:rsid w:val="00CB0F75"/>
    <w:rsid w:val="00CB381E"/>
    <w:rsid w:val="00CC3799"/>
    <w:rsid w:val="00CC3DEA"/>
    <w:rsid w:val="00CD5196"/>
    <w:rsid w:val="00CD65EC"/>
    <w:rsid w:val="00CD6A25"/>
    <w:rsid w:val="00CE0281"/>
    <w:rsid w:val="00CE2FD4"/>
    <w:rsid w:val="00CE323C"/>
    <w:rsid w:val="00CE38EA"/>
    <w:rsid w:val="00CE3E68"/>
    <w:rsid w:val="00CF50C9"/>
    <w:rsid w:val="00CF7382"/>
    <w:rsid w:val="00D00009"/>
    <w:rsid w:val="00D0587A"/>
    <w:rsid w:val="00D10B5F"/>
    <w:rsid w:val="00D17ACD"/>
    <w:rsid w:val="00D21E92"/>
    <w:rsid w:val="00D25B27"/>
    <w:rsid w:val="00D30FB4"/>
    <w:rsid w:val="00D35C2C"/>
    <w:rsid w:val="00D35EB3"/>
    <w:rsid w:val="00D50352"/>
    <w:rsid w:val="00D56911"/>
    <w:rsid w:val="00D57DD1"/>
    <w:rsid w:val="00D57F91"/>
    <w:rsid w:val="00D635F8"/>
    <w:rsid w:val="00D7126B"/>
    <w:rsid w:val="00D71E68"/>
    <w:rsid w:val="00D73079"/>
    <w:rsid w:val="00D754C4"/>
    <w:rsid w:val="00D75AA1"/>
    <w:rsid w:val="00D81344"/>
    <w:rsid w:val="00D875ED"/>
    <w:rsid w:val="00D91B21"/>
    <w:rsid w:val="00D91CED"/>
    <w:rsid w:val="00DA2D0B"/>
    <w:rsid w:val="00DA3518"/>
    <w:rsid w:val="00DB3D43"/>
    <w:rsid w:val="00DB59B7"/>
    <w:rsid w:val="00DC4983"/>
    <w:rsid w:val="00DD117F"/>
    <w:rsid w:val="00DD2B67"/>
    <w:rsid w:val="00DD6003"/>
    <w:rsid w:val="00DE27D0"/>
    <w:rsid w:val="00DE2F20"/>
    <w:rsid w:val="00DF4FEE"/>
    <w:rsid w:val="00E055BA"/>
    <w:rsid w:val="00E07775"/>
    <w:rsid w:val="00E107C2"/>
    <w:rsid w:val="00E1143D"/>
    <w:rsid w:val="00E1218E"/>
    <w:rsid w:val="00E12D4C"/>
    <w:rsid w:val="00E1319E"/>
    <w:rsid w:val="00E1512E"/>
    <w:rsid w:val="00E2343D"/>
    <w:rsid w:val="00E26BEC"/>
    <w:rsid w:val="00E26DE4"/>
    <w:rsid w:val="00E325C1"/>
    <w:rsid w:val="00E33108"/>
    <w:rsid w:val="00E33527"/>
    <w:rsid w:val="00E364E1"/>
    <w:rsid w:val="00E3778C"/>
    <w:rsid w:val="00E45AAE"/>
    <w:rsid w:val="00E56D5A"/>
    <w:rsid w:val="00E57EFF"/>
    <w:rsid w:val="00E61D45"/>
    <w:rsid w:val="00E62EFF"/>
    <w:rsid w:val="00E6588B"/>
    <w:rsid w:val="00E70D70"/>
    <w:rsid w:val="00E748D8"/>
    <w:rsid w:val="00E76E4D"/>
    <w:rsid w:val="00E86A0B"/>
    <w:rsid w:val="00E92428"/>
    <w:rsid w:val="00E9471D"/>
    <w:rsid w:val="00E95382"/>
    <w:rsid w:val="00EA0FE4"/>
    <w:rsid w:val="00EA454E"/>
    <w:rsid w:val="00EA7D38"/>
    <w:rsid w:val="00EB005E"/>
    <w:rsid w:val="00EB215E"/>
    <w:rsid w:val="00EB7C4C"/>
    <w:rsid w:val="00EC0736"/>
    <w:rsid w:val="00EC7B4A"/>
    <w:rsid w:val="00ED1BC9"/>
    <w:rsid w:val="00ED5A35"/>
    <w:rsid w:val="00EF058F"/>
    <w:rsid w:val="00EF5D48"/>
    <w:rsid w:val="00EF5E6C"/>
    <w:rsid w:val="00EF6EB7"/>
    <w:rsid w:val="00EF6F23"/>
    <w:rsid w:val="00F0002E"/>
    <w:rsid w:val="00F05341"/>
    <w:rsid w:val="00F145BC"/>
    <w:rsid w:val="00F165CB"/>
    <w:rsid w:val="00F2441C"/>
    <w:rsid w:val="00F26BD6"/>
    <w:rsid w:val="00F27822"/>
    <w:rsid w:val="00F321EB"/>
    <w:rsid w:val="00F326DA"/>
    <w:rsid w:val="00F362A0"/>
    <w:rsid w:val="00F40E01"/>
    <w:rsid w:val="00F444FA"/>
    <w:rsid w:val="00F45478"/>
    <w:rsid w:val="00F46B34"/>
    <w:rsid w:val="00F53FD0"/>
    <w:rsid w:val="00F55DC0"/>
    <w:rsid w:val="00F57B7F"/>
    <w:rsid w:val="00F670A4"/>
    <w:rsid w:val="00F74B05"/>
    <w:rsid w:val="00F75AE2"/>
    <w:rsid w:val="00F75E24"/>
    <w:rsid w:val="00F7702C"/>
    <w:rsid w:val="00F843A0"/>
    <w:rsid w:val="00F92FF2"/>
    <w:rsid w:val="00F938CA"/>
    <w:rsid w:val="00F938D1"/>
    <w:rsid w:val="00F93D77"/>
    <w:rsid w:val="00F94C3A"/>
    <w:rsid w:val="00FA20C3"/>
    <w:rsid w:val="00FB2930"/>
    <w:rsid w:val="00FB738D"/>
    <w:rsid w:val="00FC51A5"/>
    <w:rsid w:val="00FD4731"/>
    <w:rsid w:val="00FD7A8F"/>
    <w:rsid w:val="00FE02F3"/>
    <w:rsid w:val="00FE6773"/>
    <w:rsid w:val="00FF3513"/>
    <w:rsid w:val="00FF3938"/>
    <w:rsid w:val="00FF6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D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32D"/>
    <w:pPr>
      <w:tabs>
        <w:tab w:val="center" w:pos="4680"/>
        <w:tab w:val="right" w:pos="9360"/>
      </w:tabs>
    </w:pPr>
  </w:style>
  <w:style w:type="character" w:customStyle="1" w:styleId="HeaderChar">
    <w:name w:val="Header Char"/>
    <w:basedOn w:val="DefaultParagraphFont"/>
    <w:link w:val="Header"/>
    <w:uiPriority w:val="99"/>
    <w:semiHidden/>
    <w:rsid w:val="0009732D"/>
    <w:rPr>
      <w:rFonts w:ascii="Times New Roman" w:hAnsi="Times New Roman"/>
    </w:rPr>
  </w:style>
  <w:style w:type="paragraph" w:styleId="Footer">
    <w:name w:val="footer"/>
    <w:basedOn w:val="Normal"/>
    <w:link w:val="FooterChar"/>
    <w:uiPriority w:val="99"/>
    <w:unhideWhenUsed/>
    <w:rsid w:val="0009732D"/>
    <w:pPr>
      <w:tabs>
        <w:tab w:val="center" w:pos="4680"/>
        <w:tab w:val="right" w:pos="9360"/>
      </w:tabs>
    </w:pPr>
  </w:style>
  <w:style w:type="character" w:customStyle="1" w:styleId="FooterChar">
    <w:name w:val="Footer Char"/>
    <w:basedOn w:val="DefaultParagraphFont"/>
    <w:link w:val="Footer"/>
    <w:uiPriority w:val="99"/>
    <w:rsid w:val="0009732D"/>
    <w:rPr>
      <w:rFonts w:ascii="Times New Roman" w:hAnsi="Times New Roman"/>
    </w:rPr>
  </w:style>
  <w:style w:type="character" w:styleId="Hyperlink">
    <w:name w:val="Hyperlink"/>
    <w:basedOn w:val="DefaultParagraphFont"/>
    <w:uiPriority w:val="99"/>
    <w:unhideWhenUsed/>
    <w:rsid w:val="00E748D8"/>
    <w:rPr>
      <w:color w:val="0000FF"/>
      <w:u w:val="single"/>
    </w:rPr>
  </w:style>
  <w:style w:type="paragraph" w:styleId="FootnoteText">
    <w:name w:val="footnote text"/>
    <w:basedOn w:val="Normal"/>
    <w:link w:val="FootnoteTextChar"/>
    <w:uiPriority w:val="99"/>
    <w:unhideWhenUsed/>
    <w:rsid w:val="007B6508"/>
  </w:style>
  <w:style w:type="character" w:customStyle="1" w:styleId="FootnoteTextChar">
    <w:name w:val="Footnote Text Char"/>
    <w:basedOn w:val="DefaultParagraphFont"/>
    <w:link w:val="FootnoteText"/>
    <w:uiPriority w:val="99"/>
    <w:rsid w:val="007B6508"/>
    <w:rPr>
      <w:rFonts w:ascii="Times New Roman" w:hAnsi="Times New Roman"/>
    </w:rPr>
  </w:style>
  <w:style w:type="character" w:styleId="FootnoteReference">
    <w:name w:val="footnote reference"/>
    <w:basedOn w:val="DefaultParagraphFont"/>
    <w:uiPriority w:val="99"/>
    <w:semiHidden/>
    <w:unhideWhenUsed/>
    <w:rsid w:val="007B6508"/>
    <w:rPr>
      <w:vertAlign w:val="superscript"/>
    </w:rPr>
  </w:style>
  <w:style w:type="paragraph" w:styleId="EndnoteText">
    <w:name w:val="endnote text"/>
    <w:basedOn w:val="Normal"/>
    <w:link w:val="EndnoteTextChar"/>
    <w:uiPriority w:val="99"/>
    <w:semiHidden/>
    <w:unhideWhenUsed/>
    <w:rsid w:val="00262999"/>
  </w:style>
  <w:style w:type="character" w:customStyle="1" w:styleId="EndnoteTextChar">
    <w:name w:val="Endnote Text Char"/>
    <w:basedOn w:val="DefaultParagraphFont"/>
    <w:link w:val="EndnoteText"/>
    <w:uiPriority w:val="99"/>
    <w:semiHidden/>
    <w:rsid w:val="00262999"/>
    <w:rPr>
      <w:rFonts w:ascii="Times New Roman" w:hAnsi="Times New Roman"/>
    </w:rPr>
  </w:style>
  <w:style w:type="character" w:styleId="EndnoteReference">
    <w:name w:val="endnote reference"/>
    <w:basedOn w:val="DefaultParagraphFont"/>
    <w:uiPriority w:val="99"/>
    <w:semiHidden/>
    <w:unhideWhenUsed/>
    <w:rsid w:val="00262999"/>
    <w:rPr>
      <w:vertAlign w:val="superscript"/>
    </w:rPr>
  </w:style>
  <w:style w:type="paragraph" w:styleId="ListParagraph">
    <w:name w:val="List Paragraph"/>
    <w:basedOn w:val="Normal"/>
    <w:uiPriority w:val="34"/>
    <w:qFormat/>
    <w:rsid w:val="009F17E7"/>
    <w:pPr>
      <w:ind w:left="720"/>
      <w:contextualSpacing/>
    </w:pPr>
  </w:style>
  <w:style w:type="character" w:customStyle="1" w:styleId="term">
    <w:name w:val="term"/>
    <w:basedOn w:val="DefaultParagraphFont"/>
    <w:rsid w:val="000100A5"/>
  </w:style>
  <w:style w:type="character" w:customStyle="1" w:styleId="pmterms3">
    <w:name w:val="pmterms3"/>
    <w:basedOn w:val="DefaultParagraphFont"/>
    <w:rsid w:val="0028355F"/>
  </w:style>
  <w:style w:type="character" w:customStyle="1" w:styleId="pmterms2">
    <w:name w:val="pmterms2"/>
    <w:basedOn w:val="DefaultParagraphFont"/>
    <w:rsid w:val="0028355F"/>
  </w:style>
  <w:style w:type="character" w:customStyle="1" w:styleId="pmterms1">
    <w:name w:val="pmterms1"/>
    <w:basedOn w:val="DefaultParagraphFont"/>
    <w:rsid w:val="00BC42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F3A5-2C13-4F08-9F67-F1A220D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10538</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2011-06-24T21:32:00Z</dcterms:created>
  <dcterms:modified xsi:type="dcterms:W3CDTF">2011-06-24T21:33:00Z</dcterms:modified>
</cp:coreProperties>
</file>