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4E" w:rsidRDefault="00A8674E" w:rsidP="004B4E15">
      <w:bookmarkStart w:id="0" w:name="_GoBack"/>
      <w:bookmarkEnd w:id="0"/>
    </w:p>
    <w:p w:rsidR="00A8674E" w:rsidRDefault="00A8674E" w:rsidP="004B4E15"/>
    <w:p w:rsidR="00B02B3C" w:rsidRPr="00F95A66" w:rsidRDefault="007F3462" w:rsidP="00F95A66">
      <w:pPr>
        <w:pStyle w:val="Date"/>
      </w:pPr>
      <w:r w:rsidRPr="00F95A66">
        <w:tab/>
      </w:r>
      <w:r w:rsidRPr="00F95A66">
        <w:tab/>
      </w:r>
      <w:r w:rsidRPr="00F95A66">
        <w:tab/>
      </w:r>
      <w:r w:rsidRPr="00F95A66">
        <w:tab/>
      </w:r>
      <w:r w:rsidRPr="00F95A66">
        <w:tab/>
      </w:r>
      <w:r w:rsidRPr="00F95A66">
        <w:tab/>
      </w:r>
      <w:r w:rsidRPr="00F95A66">
        <w:tab/>
        <w:t>April 13, 2015</w:t>
      </w:r>
      <w:r w:rsidR="00B059F8" w:rsidRPr="00F95A66">
        <w:tab/>
      </w:r>
    </w:p>
    <w:p w:rsidR="00831F81" w:rsidRDefault="00831F81" w:rsidP="004B4E15"/>
    <w:p w:rsidR="00632EBB" w:rsidRDefault="00632EBB" w:rsidP="004B4E15">
      <w:pPr>
        <w:rPr>
          <w:b/>
        </w:rPr>
      </w:pPr>
    </w:p>
    <w:p w:rsidR="00632EBB" w:rsidRDefault="00632EBB" w:rsidP="004B4E15">
      <w:pPr>
        <w:rPr>
          <w:b/>
        </w:rPr>
      </w:pPr>
    </w:p>
    <w:p w:rsidR="0042776E" w:rsidRDefault="0042776E" w:rsidP="004B4E15">
      <w:pPr>
        <w:rPr>
          <w:b/>
        </w:rPr>
      </w:pPr>
    </w:p>
    <w:p w:rsidR="0042776E" w:rsidRDefault="0042776E" w:rsidP="004B4E15">
      <w:pPr>
        <w:rPr>
          <w:b/>
        </w:rPr>
      </w:pPr>
    </w:p>
    <w:p w:rsidR="00E24A6B" w:rsidRPr="00F95A66" w:rsidRDefault="00E24A6B" w:rsidP="00F95A66">
      <w:pPr>
        <w:pStyle w:val="EnvelopeAddress"/>
      </w:pPr>
      <w:r w:rsidRPr="00F95A66">
        <w:t xml:space="preserve">VIA EMAIL:DOakes@HarrisBeach.com </w:t>
      </w:r>
    </w:p>
    <w:p w:rsidR="00E24A6B" w:rsidRPr="00F95A66" w:rsidRDefault="00E24A6B" w:rsidP="00F95A66">
      <w:pPr>
        <w:pStyle w:val="EnvelopeAddress"/>
      </w:pPr>
    </w:p>
    <w:p w:rsidR="00E24A6B" w:rsidRPr="00F95A66" w:rsidRDefault="00E24A6B" w:rsidP="00F95A66">
      <w:pPr>
        <w:pStyle w:val="EnvelopeAddress"/>
        <w:rPr>
          <w:b w:val="0"/>
        </w:rPr>
      </w:pPr>
      <w:r w:rsidRPr="00F95A66">
        <w:rPr>
          <w:b w:val="0"/>
        </w:rPr>
        <w:t>David W. Oakes, Esq.</w:t>
      </w:r>
    </w:p>
    <w:p w:rsidR="00E24A6B" w:rsidRPr="00F95A66" w:rsidRDefault="00E24A6B" w:rsidP="00F95A66">
      <w:pPr>
        <w:pStyle w:val="EnvelopeAddress"/>
        <w:rPr>
          <w:b w:val="0"/>
        </w:rPr>
      </w:pPr>
      <w:r w:rsidRPr="00F95A66">
        <w:rPr>
          <w:b w:val="0"/>
        </w:rPr>
        <w:t>Harris Beach, PLLC</w:t>
      </w:r>
    </w:p>
    <w:p w:rsidR="00E24A6B" w:rsidRPr="00F95A66" w:rsidRDefault="00E24A6B" w:rsidP="00F95A66">
      <w:pPr>
        <w:pStyle w:val="EnvelopeAddress"/>
        <w:rPr>
          <w:b w:val="0"/>
        </w:rPr>
      </w:pPr>
      <w:r w:rsidRPr="00F95A66">
        <w:rPr>
          <w:b w:val="0"/>
        </w:rPr>
        <w:t xml:space="preserve">99 </w:t>
      </w:r>
      <w:proofErr w:type="spellStart"/>
      <w:r w:rsidRPr="00F95A66">
        <w:rPr>
          <w:b w:val="0"/>
        </w:rPr>
        <w:t>Garnsey</w:t>
      </w:r>
      <w:proofErr w:type="spellEnd"/>
      <w:r w:rsidRPr="00F95A66">
        <w:rPr>
          <w:b w:val="0"/>
        </w:rPr>
        <w:t xml:space="preserve"> Road</w:t>
      </w:r>
    </w:p>
    <w:p w:rsidR="00E24A6B" w:rsidRPr="00F95A66" w:rsidRDefault="00E24A6B" w:rsidP="00F95A66">
      <w:pPr>
        <w:pStyle w:val="EnvelopeAddress"/>
        <w:rPr>
          <w:b w:val="0"/>
        </w:rPr>
      </w:pPr>
      <w:r w:rsidRPr="00F95A66">
        <w:rPr>
          <w:b w:val="0"/>
        </w:rPr>
        <w:t>Pittsford, New York 14534</w:t>
      </w:r>
    </w:p>
    <w:p w:rsidR="00B02B3C" w:rsidRDefault="00B02B3C" w:rsidP="004B4E15"/>
    <w:p w:rsidR="00B02B3C" w:rsidRDefault="00B02B3C" w:rsidP="00B02B3C"/>
    <w:p w:rsidR="00B02B3C" w:rsidRPr="00F95A66" w:rsidRDefault="00B02B3C" w:rsidP="00F95A66">
      <w:pPr>
        <w:pStyle w:val="Heading1"/>
      </w:pPr>
      <w:r w:rsidRPr="00F95A66">
        <w:t xml:space="preserve">Re: </w:t>
      </w:r>
      <w:bookmarkStart w:id="1" w:name="OLE_LINK1"/>
      <w:bookmarkStart w:id="2" w:name="OLE_LINK2"/>
      <w:r w:rsidR="00AA06DE" w:rsidRPr="00F95A66">
        <w:t>Investigation of Gates-Chili Central School District</w:t>
      </w:r>
      <w:bookmarkEnd w:id="1"/>
      <w:bookmarkEnd w:id="2"/>
      <w:r w:rsidR="005C3279" w:rsidRPr="00F95A66">
        <w:t>,</w:t>
      </w:r>
      <w:r w:rsidRPr="00F95A66">
        <w:t xml:space="preserve"> DJ No. 204-53-128</w:t>
      </w:r>
      <w:r w:rsidR="00632EBB" w:rsidRPr="00F95A66">
        <w:t xml:space="preserve">                                      </w:t>
      </w:r>
    </w:p>
    <w:p w:rsidR="00B02B3C" w:rsidRPr="00AA06DE" w:rsidRDefault="00B02B3C" w:rsidP="00B02B3C"/>
    <w:p w:rsidR="00B02B3C" w:rsidRPr="00F95A66" w:rsidRDefault="00AA06DE" w:rsidP="00F95A66">
      <w:pPr>
        <w:pStyle w:val="Salutation"/>
      </w:pPr>
      <w:r w:rsidRPr="00F95A66">
        <w:t>Dear M</w:t>
      </w:r>
      <w:r w:rsidR="00E24A6B" w:rsidRPr="00F95A66">
        <w:t>r</w:t>
      </w:r>
      <w:r w:rsidR="00B02B3C" w:rsidRPr="00F95A66">
        <w:t xml:space="preserve">. </w:t>
      </w:r>
      <w:r w:rsidR="00E24A6B" w:rsidRPr="00F95A66">
        <w:t>Oakes:</w:t>
      </w:r>
    </w:p>
    <w:p w:rsidR="00B02B3C" w:rsidRDefault="00B02B3C" w:rsidP="00B02B3C"/>
    <w:p w:rsidR="003E512D" w:rsidRDefault="00B02B3C" w:rsidP="00B02B3C">
      <w:r>
        <w:tab/>
        <w:t xml:space="preserve">We write </w:t>
      </w:r>
      <w:r w:rsidR="00A65C69">
        <w:t xml:space="preserve">concerning </w:t>
      </w:r>
      <w:r>
        <w:t>the United States Department of Justice’s (Department) investigation of Gates-Chili Central School District</w:t>
      </w:r>
      <w:r w:rsidR="00A40D4A">
        <w:t>’s</w:t>
      </w:r>
      <w:r>
        <w:t xml:space="preserve"> (District) </w:t>
      </w:r>
      <w:r w:rsidR="00A65C69">
        <w:t xml:space="preserve">service animal policies, </w:t>
      </w:r>
      <w:r w:rsidR="00A86591">
        <w:t xml:space="preserve">practices, </w:t>
      </w:r>
      <w:r w:rsidR="00A65C69">
        <w:t xml:space="preserve"> and pr</w:t>
      </w:r>
      <w:r w:rsidR="00A86591">
        <w:t>ocedures</w:t>
      </w:r>
      <w:r w:rsidR="00A65C69">
        <w:t xml:space="preserve"> under </w:t>
      </w:r>
      <w:r>
        <w:t>title II of the Americans with Disabilities Act of 1990 (ADA), as amended, 42 U.S.C. §§ 12131</w:t>
      </w:r>
      <w:r w:rsidR="00A86591">
        <w:t>-12134</w:t>
      </w:r>
      <w:r>
        <w:t xml:space="preserve">, and its implementing regulation, 28 C.F.R. pt. 35.  </w:t>
      </w:r>
      <w:r w:rsidR="00A65C69">
        <w:t>The ADA prohibits discrimination against qualifie</w:t>
      </w:r>
      <w:r w:rsidR="00A86591">
        <w:t>d</w:t>
      </w:r>
      <w:r w:rsidR="00A65C69">
        <w:t xml:space="preserve"> individuals with disabilities by public entities, such as the District.  </w:t>
      </w:r>
      <w:r w:rsidR="00653B17">
        <w:t>Our</w:t>
      </w:r>
      <w:r w:rsidR="00A65C69">
        <w:t xml:space="preserve"> investigation focused on the Distric</w:t>
      </w:r>
      <w:r w:rsidR="00EA24C1">
        <w:t xml:space="preserve">t’s </w:t>
      </w:r>
      <w:r w:rsidR="003E512D">
        <w:t>refusal to permit a student</w:t>
      </w:r>
      <w:r w:rsidR="00F96922">
        <w:t>,</w:t>
      </w:r>
      <w:r w:rsidR="003E512D">
        <w:t xml:space="preserve"> D.P.</w:t>
      </w:r>
      <w:r w:rsidR="00F96922">
        <w:t>,</w:t>
      </w:r>
      <w:r w:rsidR="003E512D">
        <w:t xml:space="preserve"> to bring her </w:t>
      </w:r>
      <w:r w:rsidR="00D10078">
        <w:t>se</w:t>
      </w:r>
      <w:r w:rsidR="003E512D">
        <w:t xml:space="preserve">rvice dog </w:t>
      </w:r>
      <w:r w:rsidR="00D10078">
        <w:t xml:space="preserve">(Service Dog) </w:t>
      </w:r>
      <w:r w:rsidR="003E512D">
        <w:t>to school unless D.P.’s mother (Parent) also provid</w:t>
      </w:r>
      <w:r w:rsidR="00907E1B">
        <w:t>es a full-time handler</w:t>
      </w:r>
      <w:r w:rsidR="003E512D">
        <w:t>.</w:t>
      </w:r>
    </w:p>
    <w:p w:rsidR="00AE5472" w:rsidRDefault="003E512D" w:rsidP="00B02B3C">
      <w:r>
        <w:t xml:space="preserve"> </w:t>
      </w:r>
    </w:p>
    <w:p w:rsidR="00907E1B" w:rsidRDefault="000D5DFA" w:rsidP="00504992">
      <w:r>
        <w:tab/>
      </w:r>
      <w:r w:rsidR="00F96922">
        <w:t>In response to the complaint, t</w:t>
      </w:r>
      <w:r w:rsidR="00B5731A">
        <w:t>he District</w:t>
      </w:r>
      <w:r w:rsidR="00504992">
        <w:t xml:space="preserve"> asserts</w:t>
      </w:r>
      <w:r w:rsidR="00B5731A">
        <w:t xml:space="preserve"> that </w:t>
      </w:r>
      <w:r w:rsidR="003E512D">
        <w:t xml:space="preserve">D.P. cannot handle her own </w:t>
      </w:r>
      <w:r w:rsidR="00D10078">
        <w:t>Service Dog</w:t>
      </w:r>
      <w:r w:rsidR="003E512D">
        <w:t xml:space="preserve">, that </w:t>
      </w:r>
      <w:r w:rsidR="00AC5625">
        <w:t xml:space="preserve">the </w:t>
      </w:r>
      <w:r w:rsidR="00B5731A">
        <w:t>ADA do</w:t>
      </w:r>
      <w:r w:rsidR="003E512D">
        <w:t>es</w:t>
      </w:r>
      <w:r w:rsidR="00B5731A">
        <w:t xml:space="preserve"> not require the District to </w:t>
      </w:r>
      <w:r w:rsidR="00F96922">
        <w:t xml:space="preserve">act as the </w:t>
      </w:r>
      <w:r w:rsidR="00B5731A">
        <w:t>handler</w:t>
      </w:r>
      <w:r w:rsidR="00F96922">
        <w:t xml:space="preserve">, </w:t>
      </w:r>
      <w:r w:rsidR="00586068">
        <w:t xml:space="preserve">and that therefore D.P. may only bring her </w:t>
      </w:r>
      <w:r w:rsidR="00D10078">
        <w:t>Service Dog</w:t>
      </w:r>
      <w:r w:rsidR="00586068">
        <w:t xml:space="preserve"> if the Parent provides </w:t>
      </w:r>
      <w:r w:rsidR="0091277D">
        <w:t xml:space="preserve">a </w:t>
      </w:r>
      <w:r w:rsidR="00586068">
        <w:t>f</w:t>
      </w:r>
      <w:r w:rsidR="003F0A97">
        <w:t>u</w:t>
      </w:r>
      <w:r w:rsidR="00586068">
        <w:t>ll-time handler.</w:t>
      </w:r>
      <w:r w:rsidR="003F0A97">
        <w:t xml:space="preserve">  D.P.’s Parent counters that she is not asking the District to provide a full-time handler </w:t>
      </w:r>
      <w:r w:rsidR="00F96922">
        <w:t>and</w:t>
      </w:r>
      <w:r w:rsidR="003F0A97">
        <w:t>, rather, asks the District to provide minimal and intermittent assistance to D.P.</w:t>
      </w:r>
      <w:r w:rsidR="00F96922">
        <w:t>,</w:t>
      </w:r>
      <w:r w:rsidR="003F0A97">
        <w:t xml:space="preserve"> such that the child herself can handle her dog.  Indeed, for years D.P.’s Parent has attempted to educate the District about her child, her </w:t>
      </w:r>
      <w:r w:rsidR="00D10078">
        <w:t>Service Dog</w:t>
      </w:r>
      <w:r w:rsidR="003F0A97">
        <w:t xml:space="preserve">, and the minimal level of support </w:t>
      </w:r>
      <w:r w:rsidR="00AD7B68">
        <w:t>or</w:t>
      </w:r>
      <w:r w:rsidR="003F0A97">
        <w:t xml:space="preserve"> assistance D.P. would need with respect to using and benefitting from her </w:t>
      </w:r>
      <w:r w:rsidR="00D10078">
        <w:t>Service Dog</w:t>
      </w:r>
      <w:r w:rsidR="002410E0">
        <w:t xml:space="preserve"> while at school</w:t>
      </w:r>
      <w:r w:rsidR="003F0A97">
        <w:t>.  At the same</w:t>
      </w:r>
      <w:r w:rsidR="00F96922">
        <w:t xml:space="preserve"> time</w:t>
      </w:r>
      <w:r w:rsidR="003F0A97">
        <w:t xml:space="preserve">, having determined that </w:t>
      </w:r>
      <w:r w:rsidR="00586068">
        <w:t xml:space="preserve">D.P.’s </w:t>
      </w:r>
      <w:r w:rsidR="00D10078">
        <w:t>Service Dog</w:t>
      </w:r>
      <w:r w:rsidR="00586068">
        <w:t xml:space="preserve"> is critical </w:t>
      </w:r>
      <w:r w:rsidR="00F96922">
        <w:t xml:space="preserve">to </w:t>
      </w:r>
      <w:r w:rsidR="00586068">
        <w:t xml:space="preserve">D.P.’s </w:t>
      </w:r>
      <w:r w:rsidR="00907E1B">
        <w:t>safety, autonomy, and independence</w:t>
      </w:r>
      <w:r w:rsidR="003F0A97">
        <w:t xml:space="preserve">, D.P.’s </w:t>
      </w:r>
      <w:r w:rsidR="00907E1B">
        <w:t xml:space="preserve">Parent has incurred costs in excess </w:t>
      </w:r>
      <w:r w:rsidR="00907E1B" w:rsidRPr="00F461A7">
        <w:t xml:space="preserve">of </w:t>
      </w:r>
      <w:r w:rsidR="00B56061" w:rsidRPr="00F461A7">
        <w:t xml:space="preserve">twenty-five </w:t>
      </w:r>
      <w:r w:rsidR="003F0A97" w:rsidRPr="00F461A7">
        <w:t>thousand d</w:t>
      </w:r>
      <w:r w:rsidR="00907E1B" w:rsidRPr="00F461A7">
        <w:t xml:space="preserve">ollars </w:t>
      </w:r>
      <w:r w:rsidR="00A632FC" w:rsidRPr="00F461A7">
        <w:t xml:space="preserve">($25,000) </w:t>
      </w:r>
      <w:r w:rsidR="00907E1B" w:rsidRPr="00F461A7">
        <w:t>to</w:t>
      </w:r>
      <w:r w:rsidR="00907E1B">
        <w:t xml:space="preserve"> pay for a handler so that D.P. would not</w:t>
      </w:r>
      <w:r w:rsidR="00AD7B68">
        <w:t xml:space="preserve"> suffer any harm caused by being</w:t>
      </w:r>
      <w:r w:rsidR="00907E1B">
        <w:t xml:space="preserve"> separated from her </w:t>
      </w:r>
      <w:r w:rsidR="00D10078">
        <w:t>Service Dog</w:t>
      </w:r>
      <w:r w:rsidR="00907E1B">
        <w:t>.</w:t>
      </w:r>
    </w:p>
    <w:p w:rsidR="00907E1B" w:rsidRDefault="00907E1B" w:rsidP="00122034">
      <w:pPr>
        <w:ind w:firstLine="360"/>
      </w:pPr>
    </w:p>
    <w:p w:rsidR="00581145" w:rsidRDefault="003F0A97" w:rsidP="00AF09AD">
      <w:pPr>
        <w:ind w:firstLine="360"/>
      </w:pPr>
      <w:r>
        <w:t xml:space="preserve">There is no dispute that D.P. is a person with a disability or that the </w:t>
      </w:r>
      <w:r w:rsidR="00D10078">
        <w:t>Service Dog</w:t>
      </w:r>
      <w:r>
        <w:t xml:space="preserve"> is individually trained to perform tasks for the benefit of D.P.  </w:t>
      </w:r>
      <w:r w:rsidR="00907E1B">
        <w:t xml:space="preserve">There also appears </w:t>
      </w:r>
      <w:r w:rsidR="00504992">
        <w:t xml:space="preserve">to be </w:t>
      </w:r>
      <w:r w:rsidR="00907E1B">
        <w:t xml:space="preserve">little dispute that D.P. is making strides in handling her </w:t>
      </w:r>
      <w:r w:rsidR="00D10078">
        <w:t>Service Dog</w:t>
      </w:r>
      <w:r w:rsidR="00907E1B">
        <w:t xml:space="preserve"> but</w:t>
      </w:r>
      <w:r w:rsidR="00504992">
        <w:t>,</w:t>
      </w:r>
      <w:r w:rsidR="00907E1B">
        <w:t xml:space="preserve"> during the course of the </w:t>
      </w:r>
      <w:r w:rsidR="00907E1B">
        <w:lastRenderedPageBreak/>
        <w:t>school day</w:t>
      </w:r>
      <w:r w:rsidR="00504992">
        <w:t>,</w:t>
      </w:r>
      <w:r w:rsidR="00907E1B">
        <w:t xml:space="preserve"> requires intermittent assistance in tethering and untethering the dog when necessary or vocalizing a limited number of commands.  </w:t>
      </w:r>
    </w:p>
    <w:p w:rsidR="00907E1B" w:rsidRDefault="00907E1B" w:rsidP="00122034">
      <w:pPr>
        <w:ind w:firstLine="360"/>
      </w:pPr>
    </w:p>
    <w:p w:rsidR="00122034" w:rsidRDefault="006E5B64" w:rsidP="00122034">
      <w:pPr>
        <w:ind w:firstLine="360"/>
      </w:pPr>
      <w:r>
        <w:t>After investigation</w:t>
      </w:r>
      <w:r w:rsidR="003F0A97">
        <w:t xml:space="preserve"> and consideration, </w:t>
      </w:r>
      <w:r>
        <w:t>t</w:t>
      </w:r>
      <w:r w:rsidR="00122034">
        <w:t xml:space="preserve">he </w:t>
      </w:r>
      <w:r w:rsidR="00AD7B68">
        <w:t xml:space="preserve">Department </w:t>
      </w:r>
      <w:r w:rsidR="00122034">
        <w:t>finds that the District is in violation of title II by failing to reasonably modify its policies, practices, and procedures to permit D.P.</w:t>
      </w:r>
      <w:r w:rsidR="004A49D5">
        <w:t xml:space="preserve"> to </w:t>
      </w:r>
      <w:r w:rsidR="00F96922">
        <w:t xml:space="preserve">handle her </w:t>
      </w:r>
      <w:r w:rsidR="00D10078">
        <w:t>Service Dog</w:t>
      </w:r>
      <w:r w:rsidR="004A49D5">
        <w:t xml:space="preserve"> with assistance from staff.</w:t>
      </w:r>
      <w:r w:rsidR="00122034">
        <w:t xml:space="preserve">  Set forth below are the Department’s findings of fact and conclusions of law under title II of the ADA, as well as minimum steps the District must take to meet its legal obligations and remedy the violations the Department has identified.</w:t>
      </w:r>
      <w:r w:rsidR="00622E24">
        <w:rPr>
          <w:rStyle w:val="FootnoteReference"/>
        </w:rPr>
        <w:footnoteReference w:id="2"/>
      </w:r>
    </w:p>
    <w:p w:rsidR="00FF7237" w:rsidRDefault="00FF7237" w:rsidP="00B02B3C"/>
    <w:p w:rsidR="00091713" w:rsidRPr="00F95A66" w:rsidRDefault="00091713" w:rsidP="00F95A66">
      <w:pPr>
        <w:pStyle w:val="Heading2"/>
      </w:pPr>
      <w:r w:rsidRPr="00F95A66">
        <w:t xml:space="preserve"> Background and Findings of Fact</w:t>
      </w:r>
    </w:p>
    <w:p w:rsidR="00FF7237" w:rsidRDefault="00FF7237" w:rsidP="009A1CC1">
      <w:pPr>
        <w:ind w:firstLine="720"/>
      </w:pPr>
    </w:p>
    <w:p w:rsidR="009A1CC1" w:rsidRDefault="009A1CC1" w:rsidP="009A1CC1">
      <w:pPr>
        <w:ind w:firstLine="720"/>
      </w:pPr>
      <w:r>
        <w:t>This matter came to the Department’s attention through a complaint filed</w:t>
      </w:r>
      <w:r w:rsidR="007A7035">
        <w:t xml:space="preserve"> by</w:t>
      </w:r>
      <w:r>
        <w:t xml:space="preserve"> the Parent of D.P., a student attending elementary school in the District.  </w:t>
      </w:r>
      <w:r w:rsidR="002410E0">
        <w:t>D.P.</w:t>
      </w:r>
      <w:r w:rsidR="0006052F">
        <w:t xml:space="preserve"> has</w:t>
      </w:r>
      <w:r w:rsidR="00E82280">
        <w:t xml:space="preserve"> Angelman Syndrome, a</w:t>
      </w:r>
      <w:r w:rsidR="00E82280" w:rsidRPr="00372B98">
        <w:t>utism</w:t>
      </w:r>
      <w:r w:rsidR="00E82280">
        <w:t>, epilepsy, asthma, and hypotonia.</w:t>
      </w:r>
      <w:r w:rsidR="002410E0">
        <w:rPr>
          <w:rStyle w:val="FootnoteReference"/>
        </w:rPr>
        <w:footnoteReference w:id="3"/>
      </w:r>
      <w:r w:rsidR="00E82280">
        <w:t xml:space="preserve">  </w:t>
      </w:r>
      <w:r>
        <w:t>The complaint alleged</w:t>
      </w:r>
      <w:r w:rsidR="00C62ADF">
        <w:t xml:space="preserve"> </w:t>
      </w:r>
      <w:r>
        <w:t xml:space="preserve">that the District </w:t>
      </w:r>
      <w:r w:rsidR="00C62ADF">
        <w:t xml:space="preserve">refused to permit </w:t>
      </w:r>
      <w:r>
        <w:t xml:space="preserve">D.P.’s </w:t>
      </w:r>
      <w:r w:rsidR="00D10078">
        <w:t>Service Dog</w:t>
      </w:r>
      <w:r>
        <w:t xml:space="preserve"> in school </w:t>
      </w:r>
      <w:r w:rsidR="007A7035">
        <w:t>unless</w:t>
      </w:r>
      <w:r>
        <w:t xml:space="preserve"> </w:t>
      </w:r>
      <w:r w:rsidR="00152320">
        <w:t xml:space="preserve">the Parent </w:t>
      </w:r>
      <w:r>
        <w:t>provid</w:t>
      </w:r>
      <w:r w:rsidR="007A7035">
        <w:t>ed</w:t>
      </w:r>
      <w:r>
        <w:t xml:space="preserve"> a</w:t>
      </w:r>
      <w:r w:rsidR="00594181">
        <w:t xml:space="preserve"> </w:t>
      </w:r>
      <w:r w:rsidR="00AD7B68">
        <w:t>separate adult h</w:t>
      </w:r>
      <w:r w:rsidR="00594181">
        <w:t>andler</w:t>
      </w:r>
      <w:r w:rsidR="002410E0">
        <w:t xml:space="preserve">.  </w:t>
      </w:r>
      <w:r>
        <w:t xml:space="preserve">In August 2013, the Department notified the District that </w:t>
      </w:r>
      <w:r w:rsidR="00C62ADF">
        <w:t xml:space="preserve">we were </w:t>
      </w:r>
      <w:r>
        <w:t xml:space="preserve">opening an investigation of the District for alleged violations of </w:t>
      </w:r>
      <w:r w:rsidR="00AC5625">
        <w:t>title II of the ADA</w:t>
      </w:r>
      <w:r>
        <w:t xml:space="preserve"> and</w:t>
      </w:r>
      <w:r w:rsidR="00AC5625">
        <w:t>,</w:t>
      </w:r>
      <w:r>
        <w:t xml:space="preserve"> on September 19 and 20, 2013, we interviewed District staff, </w:t>
      </w:r>
      <w:r w:rsidR="00152320">
        <w:t xml:space="preserve">the </w:t>
      </w:r>
      <w:r>
        <w:t>Parent</w:t>
      </w:r>
      <w:r w:rsidR="00594181">
        <w:t xml:space="preserve"> and </w:t>
      </w:r>
      <w:r w:rsidR="00152320">
        <w:t>the Handler</w:t>
      </w:r>
      <w:r w:rsidR="00594181">
        <w:t xml:space="preserve">, </w:t>
      </w:r>
      <w:r w:rsidR="00AD7B68">
        <w:t xml:space="preserve">as well as </w:t>
      </w:r>
      <w:r>
        <w:t>observ</w:t>
      </w:r>
      <w:r w:rsidR="00D10AEC">
        <w:t>ed</w:t>
      </w:r>
      <w:r>
        <w:t xml:space="preserve"> D.P. with her service animal in the classroom.</w:t>
      </w:r>
      <w:r w:rsidR="00FF7237">
        <w:t xml:space="preserve">  In addition, the Department reviewed documents provided by both the Parent and the District.</w:t>
      </w:r>
    </w:p>
    <w:p w:rsidR="009A1CC1" w:rsidRDefault="009A1CC1" w:rsidP="009A1CC1">
      <w:pPr>
        <w:ind w:firstLine="720"/>
      </w:pPr>
    </w:p>
    <w:p w:rsidR="009A1CC1"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In January 201</w:t>
      </w:r>
      <w:r w:rsidR="00D10078">
        <w:t xml:space="preserve">1, D.P. obtained a service dog.  </w:t>
      </w:r>
      <w:r>
        <w:t xml:space="preserve">The Service Dog, a hypoallergenic breed selected to accommodate D.P.’s asthma, is trained to </w:t>
      </w:r>
      <w:r w:rsidRPr="00372B98">
        <w:t xml:space="preserve">perform numerous tasks </w:t>
      </w:r>
      <w:r>
        <w:t>directly related to D.P.</w:t>
      </w:r>
      <w:r w:rsidRPr="00372B98">
        <w:t xml:space="preserve">’s disabilities.  </w:t>
      </w:r>
      <w:r>
        <w:t xml:space="preserve">It can detect an oncoming seizure before humans can and is capable of alerting others </w:t>
      </w:r>
      <w:r w:rsidRPr="00372B98">
        <w:t xml:space="preserve">that </w:t>
      </w:r>
      <w:r>
        <w:t xml:space="preserve">D.P. is going to have a seizure.  </w:t>
      </w:r>
      <w:r w:rsidR="00B34021">
        <w:t xml:space="preserve">With regard to </w:t>
      </w:r>
      <w:r>
        <w:t xml:space="preserve">D.P.’s </w:t>
      </w:r>
      <w:r w:rsidR="00B34021">
        <w:t>a</w:t>
      </w:r>
      <w:r w:rsidRPr="00372B98">
        <w:t xml:space="preserve">utism, </w:t>
      </w:r>
      <w:r>
        <w:t xml:space="preserve">the Service Dog is </w:t>
      </w:r>
      <w:r w:rsidRPr="00372B98">
        <w:t xml:space="preserve">trained to prevent </w:t>
      </w:r>
      <w:r w:rsidR="00AD7B68">
        <w:t>wandering</w:t>
      </w:r>
      <w:r>
        <w:t xml:space="preserve"> (</w:t>
      </w:r>
      <w:r w:rsidR="00AD7B68">
        <w:t>elopement</w:t>
      </w:r>
      <w:r>
        <w:t>)</w:t>
      </w:r>
      <w:r w:rsidRPr="00372B98">
        <w:t xml:space="preserve">, </w:t>
      </w:r>
      <w:r>
        <w:t xml:space="preserve">to </w:t>
      </w:r>
      <w:r w:rsidRPr="00372B98">
        <w:t>apply deep pressure to</w:t>
      </w:r>
      <w:r w:rsidR="00AD7B68">
        <w:t xml:space="preserve"> </w:t>
      </w:r>
      <w:r w:rsidRPr="00372B98">
        <w:t>prevent or limit meltdowns</w:t>
      </w:r>
      <w:r w:rsidR="00B34021">
        <w:t xml:space="preserve">, </w:t>
      </w:r>
      <w:r w:rsidR="0006052F">
        <w:t xml:space="preserve">and </w:t>
      </w:r>
      <w:r w:rsidR="00B34021">
        <w:t xml:space="preserve">to </w:t>
      </w:r>
      <w:r w:rsidR="00B34021" w:rsidRPr="00372B98">
        <w:t>disrupt stimming</w:t>
      </w:r>
      <w:r w:rsidR="0006052F">
        <w:t>.</w:t>
      </w:r>
      <w:r w:rsidR="00D10AEC">
        <w:rPr>
          <w:rStyle w:val="FootnoteReference"/>
        </w:rPr>
        <w:footnoteReference w:id="4"/>
      </w:r>
      <w:r w:rsidRPr="00372B98">
        <w:t xml:space="preserve">  In addition, </w:t>
      </w:r>
      <w:r w:rsidR="00D5338C">
        <w:t>the Service Dog provides</w:t>
      </w:r>
      <w:r w:rsidRPr="00372B98">
        <w:t xml:space="preserve"> mobility support for </w:t>
      </w:r>
      <w:r>
        <w:t xml:space="preserve">D.P.’s </w:t>
      </w:r>
      <w:r w:rsidRPr="00372B98">
        <w:t>core body weakness</w:t>
      </w:r>
      <w:r>
        <w:t xml:space="preserve">.   </w:t>
      </w:r>
    </w:p>
    <w:p w:rsidR="009A1CC1"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ab/>
      </w:r>
    </w:p>
    <w:p w:rsidR="009A1CC1"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With the assistance of the Service Dog, the quality of D.P.’s life significantly improved and she began to gain independence.  Because of her core body weakness and inability to perceive danger, </w:t>
      </w:r>
      <w:r w:rsidR="00C62ADF">
        <w:t xml:space="preserve">D.P., </w:t>
      </w:r>
      <w:r w:rsidR="0006052F">
        <w:t xml:space="preserve">prior to having </w:t>
      </w:r>
      <w:r w:rsidR="00AD7B68">
        <w:t>her</w:t>
      </w:r>
      <w:r w:rsidR="0006052F">
        <w:t xml:space="preserve"> </w:t>
      </w:r>
      <w:r w:rsidR="00AD7B68">
        <w:t>S</w:t>
      </w:r>
      <w:r w:rsidR="0006052F">
        <w:t xml:space="preserve">ervice </w:t>
      </w:r>
      <w:r w:rsidR="00AD7B68">
        <w:t>D</w:t>
      </w:r>
      <w:r w:rsidR="0006052F">
        <w:t xml:space="preserve">og, </w:t>
      </w:r>
      <w:r>
        <w:t>had to constantly hold the hand of an adult and be transported long walking distances (to the school bus, for</w:t>
      </w:r>
      <w:r w:rsidR="00D10AEC">
        <w:t xml:space="preserve"> example) using a wheelchair or </w:t>
      </w:r>
      <w:r>
        <w:t xml:space="preserve">being carried.  Today, D.P. walks herself to the bus holding the harness of her </w:t>
      </w:r>
      <w:r w:rsidR="0006052F">
        <w:t>S</w:t>
      </w:r>
      <w:r>
        <w:t xml:space="preserve">ervice </w:t>
      </w:r>
      <w:r w:rsidR="0006052F">
        <w:t>D</w:t>
      </w:r>
      <w:r w:rsidR="00F65B37">
        <w:t>og, which</w:t>
      </w:r>
      <w:r>
        <w:t xml:space="preserve"> provides both guidance and support. </w:t>
      </w:r>
      <w:r w:rsidR="00B34021">
        <w:t xml:space="preserve"> </w:t>
      </w:r>
      <w:r>
        <w:t xml:space="preserve">The pair is </w:t>
      </w:r>
      <w:r w:rsidR="00AD7B68">
        <w:t xml:space="preserve">also </w:t>
      </w:r>
      <w:r w:rsidR="00C62ADF">
        <w:t xml:space="preserve">connected </w:t>
      </w:r>
      <w:r>
        <w:t xml:space="preserve">by a </w:t>
      </w:r>
      <w:r w:rsidR="0006052F">
        <w:t>leash</w:t>
      </w:r>
      <w:r w:rsidR="00C62ADF">
        <w:t>, or tether</w:t>
      </w:r>
      <w:r>
        <w:t>.</w:t>
      </w:r>
      <w:r w:rsidR="00AD7B68">
        <w:rPr>
          <w:rStyle w:val="FootnoteReference"/>
        </w:rPr>
        <w:footnoteReference w:id="5"/>
      </w:r>
      <w:r>
        <w:t xml:space="preserve">  If D.P. attempts to wander or elope, the Service Dog sits down and prevents D.P. from moving forward.  D.P.’s history of prolonged grand mal seizures ha</w:t>
      </w:r>
      <w:r w:rsidR="00B34021">
        <w:t>s</w:t>
      </w:r>
      <w:r>
        <w:t xml:space="preserve"> been significantly mitigated by the presence of her Service Dog.  </w:t>
      </w:r>
      <w:r w:rsidR="005762A7">
        <w:t>T</w:t>
      </w:r>
      <w:r>
        <w:t xml:space="preserve">he Service Dog sleeps next to D.P. and alerts </w:t>
      </w:r>
      <w:r w:rsidR="00F65B37">
        <w:t xml:space="preserve">her </w:t>
      </w:r>
      <w:r>
        <w:t>Parent to oncoming seizures during the night.  The same is true during school hours.  Documents provided by the District establish that the Service Dog has effectively notified school staff of seizure activity on numerous occasions</w:t>
      </w:r>
      <w:r w:rsidR="00B34021">
        <w:t>,</w:t>
      </w:r>
      <w:r>
        <w:t xml:space="preserve"> enabling a nurse to administer  </w:t>
      </w:r>
      <w:r w:rsidR="00D90849">
        <w:t xml:space="preserve">emergency seizure medication </w:t>
      </w:r>
      <w:r>
        <w:t>early enough to prevent the seizure from progressing.</w:t>
      </w:r>
    </w:p>
    <w:p w:rsidR="00295D4F" w:rsidRDefault="00295D4F"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295D4F" w:rsidRPr="00F95A66" w:rsidRDefault="00152320" w:rsidP="00F95A66">
      <w:pPr>
        <w:pStyle w:val="Heading3"/>
      </w:pPr>
      <w:r w:rsidRPr="00F95A66">
        <w:t>Preschool</w:t>
      </w:r>
    </w:p>
    <w:p w:rsidR="0042776E" w:rsidRPr="00152320" w:rsidRDefault="0042776E"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9A1CC1" w:rsidRDefault="00295D4F"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152320">
        <w:t>During the 2011-12 school year</w:t>
      </w:r>
      <w:r w:rsidR="009A1CC1">
        <w:t xml:space="preserve">, the Service Dog began to accompany D.P. </w:t>
      </w:r>
      <w:r w:rsidR="009026ED">
        <w:t>on the school bus and at school</w:t>
      </w:r>
      <w:r w:rsidR="009A1CC1">
        <w:t>.  Her teacher’s written comments that year stated, “… [the Service Dog] is providing support that provides [D.P.] with much more autonomy, and keeps everyone[’s] hands from constantly handling her.  [The Service Dog] is helping [D.P.] make transitions smoothly, helping to support her in walking through the halls.”</w:t>
      </w:r>
      <w:r w:rsidR="009A1CC1">
        <w:rPr>
          <w:rStyle w:val="FootnoteReference"/>
        </w:rPr>
        <w:footnoteReference w:id="6"/>
      </w:r>
      <w:r w:rsidR="009A1CC1">
        <w:t xml:space="preserve">  </w:t>
      </w:r>
    </w:p>
    <w:p w:rsidR="009A1CC1" w:rsidRDefault="009A1CC1" w:rsidP="009A1CC1">
      <w:pPr>
        <w:pStyle w:val="ListParagraph"/>
        <w:ind w:left="0"/>
      </w:pPr>
    </w:p>
    <w:p w:rsidR="00295D4F" w:rsidRDefault="00152320" w:rsidP="00F95A66">
      <w:pPr>
        <w:pStyle w:val="Heading3"/>
      </w:pPr>
      <w:r>
        <w:t>Kindergarten</w:t>
      </w:r>
      <w:r w:rsidR="00C61BB8">
        <w:t xml:space="preserve"> and First </w:t>
      </w:r>
      <w:r>
        <w:t>Grade</w:t>
      </w:r>
    </w:p>
    <w:p w:rsidR="0042776E" w:rsidRDefault="0042776E" w:rsidP="009A1CC1">
      <w:pPr>
        <w:pStyle w:val="ListParagraph"/>
        <w:ind w:left="0"/>
        <w:rPr>
          <w:u w:val="single"/>
        </w:rPr>
      </w:pPr>
    </w:p>
    <w:p w:rsidR="003B7E29" w:rsidRPr="00237537"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152320">
        <w:t xml:space="preserve">After completing preschool </w:t>
      </w:r>
      <w:r w:rsidR="006B28EA">
        <w:t>in the spring of 2012,</w:t>
      </w:r>
      <w:r w:rsidR="00152320">
        <w:t xml:space="preserve"> </w:t>
      </w:r>
      <w:r w:rsidR="006B28EA">
        <w:t xml:space="preserve">D.P. </w:t>
      </w:r>
      <w:r w:rsidR="00152320">
        <w:t xml:space="preserve">was </w:t>
      </w:r>
      <w:r w:rsidR="00C61BB8">
        <w:t>scheduled to begin school</w:t>
      </w:r>
      <w:r w:rsidR="006B28EA">
        <w:t xml:space="preserve"> in the fall of 2012</w:t>
      </w:r>
      <w:r w:rsidR="00C61BB8">
        <w:t xml:space="preserve"> at </w:t>
      </w:r>
      <w:r w:rsidR="00152320">
        <w:t>Terry Taylor Elementary</w:t>
      </w:r>
      <w:r w:rsidR="00C61BB8">
        <w:t xml:space="preserve">.  </w:t>
      </w:r>
      <w:r>
        <w:t xml:space="preserve">At a meeting </w:t>
      </w:r>
      <w:r w:rsidR="003B4CA9">
        <w:t xml:space="preserve">with the Parent </w:t>
      </w:r>
      <w:r>
        <w:t xml:space="preserve">on September </w:t>
      </w:r>
      <w:r w:rsidR="00D90849">
        <w:t>4</w:t>
      </w:r>
      <w:r>
        <w:t xml:space="preserve">, 2012, the District </w:t>
      </w:r>
      <w:r w:rsidR="00D5338C">
        <w:t>told the Parent that</w:t>
      </w:r>
      <w:r>
        <w:t xml:space="preserve"> it would no</w:t>
      </w:r>
      <w:r w:rsidR="00D5338C">
        <w:t>t</w:t>
      </w:r>
      <w:r>
        <w:t xml:space="preserve"> </w:t>
      </w:r>
      <w:r w:rsidR="009026ED">
        <w:t xml:space="preserve">allow </w:t>
      </w:r>
      <w:r>
        <w:t xml:space="preserve">staff to assist D.P. in handling her </w:t>
      </w:r>
      <w:r w:rsidR="00D10078">
        <w:t>Service Dog</w:t>
      </w:r>
      <w:r>
        <w:t xml:space="preserve"> </w:t>
      </w:r>
      <w:r w:rsidR="00C61BB8">
        <w:t>d</w:t>
      </w:r>
      <w:r>
        <w:t xml:space="preserve">espite </w:t>
      </w:r>
      <w:r w:rsidR="00B34021">
        <w:t>having done so in the past.</w:t>
      </w:r>
      <w:r w:rsidR="00C61BB8">
        <w:t xml:space="preserve">  </w:t>
      </w:r>
      <w:r>
        <w:t xml:space="preserve">The District </w:t>
      </w:r>
      <w:r w:rsidR="00E90935">
        <w:t xml:space="preserve">also </w:t>
      </w:r>
      <w:r>
        <w:t>informed</w:t>
      </w:r>
      <w:r w:rsidR="00295D4F">
        <w:t xml:space="preserve"> the</w:t>
      </w:r>
      <w:r>
        <w:t xml:space="preserve"> Parent </w:t>
      </w:r>
      <w:r w:rsidR="00D5338C">
        <w:t>t</w:t>
      </w:r>
      <w:r>
        <w:t xml:space="preserve">hat D.P. could no longer bring her </w:t>
      </w:r>
      <w:r w:rsidR="00D10078">
        <w:t>Service Dog</w:t>
      </w:r>
      <w:r>
        <w:t xml:space="preserve"> to school unless </w:t>
      </w:r>
      <w:r w:rsidR="003B4CA9">
        <w:t xml:space="preserve">the </w:t>
      </w:r>
      <w:r>
        <w:t>Parent provided a</w:t>
      </w:r>
      <w:r w:rsidR="00D5338C">
        <w:t xml:space="preserve"> separate </w:t>
      </w:r>
      <w:r w:rsidR="00E90935">
        <w:t xml:space="preserve">adult </w:t>
      </w:r>
      <w:r w:rsidR="00C62ADF">
        <w:t>handler</w:t>
      </w:r>
      <w:r w:rsidR="00E90935">
        <w:t xml:space="preserve">. </w:t>
      </w:r>
      <w:r>
        <w:t xml:space="preserve">  As a result, </w:t>
      </w:r>
      <w:r w:rsidR="003B4CA9">
        <w:t xml:space="preserve">the </w:t>
      </w:r>
      <w:r>
        <w:t>Parent hired a</w:t>
      </w:r>
      <w:r w:rsidR="002F2C4D">
        <w:t xml:space="preserve"> </w:t>
      </w:r>
      <w:r w:rsidR="00E90935">
        <w:t>h</w:t>
      </w:r>
      <w:r w:rsidR="002F2C4D">
        <w:t>andler</w:t>
      </w:r>
      <w:r w:rsidR="00230E8A">
        <w:t xml:space="preserve"> (Handler)</w:t>
      </w:r>
      <w:r>
        <w:t xml:space="preserve">.  Beginning in September of 2012 and continuing </w:t>
      </w:r>
      <w:r w:rsidR="00E90935">
        <w:t>through the present</w:t>
      </w:r>
      <w:r>
        <w:t xml:space="preserve">, </w:t>
      </w:r>
      <w:r w:rsidR="00F1695D">
        <w:t xml:space="preserve">the </w:t>
      </w:r>
      <w:r>
        <w:t>Parent has paid the Handler approximately $1,400 a month to accompany D.P.</w:t>
      </w:r>
      <w:r w:rsidR="00C645F5">
        <w:t>’s Service Dog</w:t>
      </w:r>
      <w:r>
        <w:t xml:space="preserve"> to school.</w:t>
      </w:r>
      <w:r w:rsidR="003B7E29">
        <w:t xml:space="preserve"> </w:t>
      </w:r>
    </w:p>
    <w:p w:rsidR="009026ED" w:rsidRDefault="009026ED"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A7980"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D.P.’s </w:t>
      </w:r>
      <w:r w:rsidR="00731FDF">
        <w:t>S</w:t>
      </w:r>
      <w:r>
        <w:t xml:space="preserve">ervice </w:t>
      </w:r>
      <w:r w:rsidR="00731FDF">
        <w:t>D</w:t>
      </w:r>
      <w:r>
        <w:t xml:space="preserve">og is trained to go through the school day without needing to </w:t>
      </w:r>
      <w:r w:rsidR="00C07F52">
        <w:t xml:space="preserve">be walked, </w:t>
      </w:r>
      <w:r>
        <w:t>eat</w:t>
      </w:r>
      <w:r w:rsidR="00C07F52">
        <w:t>,</w:t>
      </w:r>
      <w:r>
        <w:t xml:space="preserve"> or relieve itself.  The Handler tether</w:t>
      </w:r>
      <w:r w:rsidR="00731FDF">
        <w:t>s</w:t>
      </w:r>
      <w:r>
        <w:t xml:space="preserve"> and untether</w:t>
      </w:r>
      <w:r w:rsidR="00731FDF">
        <w:t>s</w:t>
      </w:r>
      <w:r>
        <w:t xml:space="preserve"> the Service Dog from D.P</w:t>
      </w:r>
      <w:r w:rsidR="00AA7980">
        <w:t xml:space="preserve">. </w:t>
      </w:r>
      <w:r>
        <w:t>and assist</w:t>
      </w:r>
      <w:r w:rsidR="00731FDF">
        <w:t>s</w:t>
      </w:r>
      <w:r>
        <w:t xml:space="preserve"> D.P., who is nonverbal, in issuing commands to the Service Dog.  </w:t>
      </w:r>
      <w:r w:rsidR="00C62ADF">
        <w:t>The Handler reported that that there are at most five commands used with the Service Dog during the school day: “down,” “down hold,” “let’s go,” “wait,” and, very rarely, “bring her.”  The Handler estimated that she primarily uses two commands during the school day (“down” and “let’s go”) approximately 15 times a day and that issuing a command takes about three seconds.  The Service Dog is untethered and tethered about 15 times day (during gym, for example), which takes approximately three seconds each to accomplish.</w:t>
      </w:r>
    </w:p>
    <w:p w:rsidR="003339ED" w:rsidRDefault="003339ED"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A1CC1" w:rsidRDefault="00AA7980" w:rsidP="008B3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8B339D">
        <w:t xml:space="preserve">Throughout the school day, D.P. is always accompanied by her 1:1 </w:t>
      </w:r>
      <w:r w:rsidR="00513863">
        <w:t>Aide (provided by the District)</w:t>
      </w:r>
      <w:r w:rsidR="008B339D">
        <w:t xml:space="preserve">.  When D.P. goes to various places on school grounds, she is also accompanied by the Service Dog, and the Handler.  </w:t>
      </w:r>
      <w:r w:rsidR="00C645F5">
        <w:t xml:space="preserve">As noted above, </w:t>
      </w:r>
      <w:r w:rsidR="009A1CC1">
        <w:t xml:space="preserve">the Service Dog has proven effective in alerting school personnel that D.P. is going to have a seizure.  The Nursing Notes provided by the District indicate that the Service Dog has alerted that D.P. was having seizure activity on numerous occasions, enabling the District to follow the proper seizure protocol in a timely manner.  </w:t>
      </w:r>
      <w:r w:rsidR="003339ED">
        <w:t>D.P.’s</w:t>
      </w:r>
      <w:r>
        <w:t xml:space="preserve"> 1:1 </w:t>
      </w:r>
      <w:r w:rsidR="00513863">
        <w:t>Aide ensures</w:t>
      </w:r>
      <w:r>
        <w:t xml:space="preserve"> that the seizure protocol is followed.  </w:t>
      </w:r>
      <w:r w:rsidR="009A1CC1">
        <w:t xml:space="preserve">The District’s seizure protocol instructs staff to ensure D.P. is safe by, among other things, </w:t>
      </w:r>
      <w:r>
        <w:t xml:space="preserve">issuing the command “snuggle” to </w:t>
      </w:r>
      <w:r w:rsidR="00A503C7">
        <w:t xml:space="preserve">the Service Dog to </w:t>
      </w:r>
      <w:r w:rsidR="00C61BB8">
        <w:t>e</w:t>
      </w:r>
      <w:r w:rsidR="009A1CC1">
        <w:t>ncourag</w:t>
      </w:r>
      <w:r>
        <w:t>e</w:t>
      </w:r>
      <w:r w:rsidR="009A1CC1">
        <w:t xml:space="preserve"> </w:t>
      </w:r>
      <w:r w:rsidR="00A503C7">
        <w:t xml:space="preserve">it </w:t>
      </w:r>
      <w:r w:rsidR="009A1CC1">
        <w:t xml:space="preserve">to stay close </w:t>
      </w:r>
      <w:r w:rsidR="00A503C7">
        <w:t xml:space="preserve">to </w:t>
      </w:r>
      <w:r w:rsidR="00C5298E">
        <w:t>D.P.</w:t>
      </w:r>
      <w:r w:rsidR="00047142">
        <w:rPr>
          <w:rStyle w:val="FootnoteReference"/>
        </w:rPr>
        <w:footnoteReference w:id="7"/>
      </w:r>
      <w:r w:rsidR="009A1CC1">
        <w:t xml:space="preserve">  </w:t>
      </w:r>
    </w:p>
    <w:p w:rsidR="009A1CC1"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A1CC1" w:rsidRDefault="009A1CC1"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Since the Service Dog started accompanying D.P. to school, D.P. is learning nonverbal ways to issue commands.  For example, D.P. can: (1) jiggle </w:t>
      </w:r>
      <w:r w:rsidR="00435894">
        <w:t>the Service Dog’s collar</w:t>
      </w:r>
      <w:r>
        <w:t xml:space="preserve"> to indicate, “let’s go;” (2) put out her hand to indicate “wait” or “settle;” </w:t>
      </w:r>
      <w:r w:rsidR="00435894">
        <w:t xml:space="preserve">and </w:t>
      </w:r>
      <w:r>
        <w:t xml:space="preserve">(3) touch its </w:t>
      </w:r>
      <w:r w:rsidR="00435894">
        <w:t>posterior area</w:t>
      </w:r>
      <w:r>
        <w:t xml:space="preserve"> to tell it to</w:t>
      </w:r>
      <w:r w:rsidR="00435894">
        <w:t xml:space="preserve"> </w:t>
      </w:r>
      <w:r>
        <w:t>“sit</w:t>
      </w:r>
      <w:r w:rsidR="00435894">
        <w:t>.</w:t>
      </w:r>
      <w:r>
        <w:t xml:space="preserve">”  D.P. gives the Service Dog rewards when she performs her tasks.  D.P. is also learning to use an iPad and a Dynavox - </w:t>
      </w:r>
      <w:r w:rsidR="00435894">
        <w:t xml:space="preserve">- </w:t>
      </w:r>
      <w:r w:rsidRPr="001B3784">
        <w:t xml:space="preserve">a device that allows </w:t>
      </w:r>
      <w:r>
        <w:t>D.P.</w:t>
      </w:r>
      <w:r w:rsidRPr="001B3784">
        <w:t xml:space="preserve"> to respond to or express messages</w:t>
      </w:r>
      <w:r>
        <w:t xml:space="preserve"> </w:t>
      </w:r>
      <w:r w:rsidRPr="001B3784">
        <w:t>(</w:t>
      </w:r>
      <w:r>
        <w:t>“</w:t>
      </w:r>
      <w:r w:rsidRPr="001B3784">
        <w:t>yes</w:t>
      </w:r>
      <w:r>
        <w:t xml:space="preserve">, </w:t>
      </w:r>
      <w:r w:rsidRPr="001B3784">
        <w:t>please</w:t>
      </w:r>
      <w:r>
        <w:t>,”</w:t>
      </w:r>
      <w:r w:rsidRPr="001B3784">
        <w:t xml:space="preserve"> </w:t>
      </w:r>
      <w:r>
        <w:t>“no, thank you,”</w:t>
      </w:r>
      <w:r w:rsidRPr="001B3784">
        <w:t xml:space="preserve"> </w:t>
      </w:r>
      <w:r>
        <w:t>“more, please,”</w:t>
      </w:r>
      <w:r w:rsidRPr="001B3784">
        <w:t xml:space="preserve"> </w:t>
      </w:r>
      <w:r>
        <w:t>“</w:t>
      </w:r>
      <w:r w:rsidRPr="001B3784">
        <w:t>my turn</w:t>
      </w:r>
      <w:r>
        <w:t>”</w:t>
      </w:r>
      <w:r w:rsidRPr="001B3784">
        <w:t>)</w:t>
      </w:r>
      <w:r>
        <w:t>.</w:t>
      </w:r>
      <w:r w:rsidR="007B1A29">
        <w:rPr>
          <w:rStyle w:val="FootnoteReference"/>
        </w:rPr>
        <w:footnoteReference w:id="8"/>
      </w:r>
      <w:r>
        <w:t xml:space="preserve">  Currently, the Dynavox includes the commands, “go to gym,” and “go to cafeteria” for use with the Service Dog. </w:t>
      </w:r>
      <w:r w:rsidR="00950A89">
        <w:t xml:space="preserve"> </w:t>
      </w:r>
      <w:r w:rsidR="00E4202D">
        <w:t>T</w:t>
      </w:r>
      <w:r w:rsidR="00950A89">
        <w:t xml:space="preserve">he District </w:t>
      </w:r>
      <w:r w:rsidR="00A726AF">
        <w:t xml:space="preserve">also </w:t>
      </w:r>
      <w:r w:rsidR="00950A89">
        <w:t>work</w:t>
      </w:r>
      <w:r w:rsidR="00A726AF">
        <w:t>s</w:t>
      </w:r>
      <w:r w:rsidR="00950A89">
        <w:t xml:space="preserve"> with D.P. to develop communication skills for handling the Service Dog. </w:t>
      </w:r>
    </w:p>
    <w:p w:rsidR="00731FDF" w:rsidRDefault="00731FDF" w:rsidP="009A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21F23" w:rsidRDefault="00731FDF" w:rsidP="000724C1">
      <w:pPr>
        <w:ind w:firstLine="360"/>
      </w:pPr>
      <w:r>
        <w:tab/>
      </w:r>
      <w:r w:rsidRPr="00F55908">
        <w:t>In</w:t>
      </w:r>
      <w:r>
        <w:t xml:space="preserve"> a letter to the District dated December 19, 2012, the Parent requested that the District </w:t>
      </w:r>
      <w:r w:rsidR="00054A34">
        <w:t xml:space="preserve">permit </w:t>
      </w:r>
      <w:r>
        <w:t xml:space="preserve">D.P. </w:t>
      </w:r>
      <w:r w:rsidR="00054A34">
        <w:t xml:space="preserve">and her Service Dog </w:t>
      </w:r>
      <w:r w:rsidR="00223C4E">
        <w:t xml:space="preserve">to </w:t>
      </w:r>
      <w:r>
        <w:t xml:space="preserve">attend school without a </w:t>
      </w:r>
      <w:r w:rsidR="00223C4E">
        <w:t xml:space="preserve">separate adult </w:t>
      </w:r>
      <w:r w:rsidR="00061C7D">
        <w:t>h</w:t>
      </w:r>
      <w:r>
        <w:t xml:space="preserve">andler.  The Parent asked the District to </w:t>
      </w:r>
      <w:r w:rsidR="00B779E6">
        <w:t>permit</w:t>
      </w:r>
      <w:r>
        <w:t xml:space="preserve"> D.P.’s 1:1 Aide to assist D.P. in issuing commands and tethering and untethering the Service Dog (two functions currently performed exclusively by the Handler).  Since receiving the Parent’s request, the </w:t>
      </w:r>
      <w:r w:rsidRPr="00372B98">
        <w:t xml:space="preserve">District </w:t>
      </w:r>
      <w:r>
        <w:t xml:space="preserve">continues to </w:t>
      </w:r>
      <w:r w:rsidR="00AD7B68">
        <w:t xml:space="preserve">refuse </w:t>
      </w:r>
      <w:r w:rsidR="00061C7D">
        <w:t xml:space="preserve">to </w:t>
      </w:r>
      <w:r w:rsidR="00AD7B68">
        <w:t>allow</w:t>
      </w:r>
      <w:r>
        <w:t xml:space="preserve"> the Service Dog</w:t>
      </w:r>
      <w:r w:rsidRPr="00372B98">
        <w:t xml:space="preserve"> </w:t>
      </w:r>
      <w:r>
        <w:t>a</w:t>
      </w:r>
      <w:r w:rsidRPr="00372B98">
        <w:t>t school</w:t>
      </w:r>
      <w:r w:rsidR="00653BDE">
        <w:t xml:space="preserve"> or </w:t>
      </w:r>
      <w:r w:rsidRPr="00372B98">
        <w:t>school-related activities</w:t>
      </w:r>
      <w:r>
        <w:t xml:space="preserve"> without a </w:t>
      </w:r>
      <w:r w:rsidR="00DE773E">
        <w:t xml:space="preserve">separate adult </w:t>
      </w:r>
      <w:r w:rsidR="00230E8A">
        <w:t>h</w:t>
      </w:r>
      <w:r>
        <w:t>andler</w:t>
      </w:r>
      <w:r w:rsidR="00DE773E">
        <w:t xml:space="preserve"> provided by the Parent.</w:t>
      </w:r>
      <w:r w:rsidR="00AD7B68">
        <w:t xml:space="preserve">  </w:t>
      </w:r>
      <w:r w:rsidR="000724C1">
        <w:t>T</w:t>
      </w:r>
      <w:r w:rsidR="00653BDE">
        <w:t xml:space="preserve">he District </w:t>
      </w:r>
      <w:r w:rsidR="000724C1">
        <w:t xml:space="preserve">also </w:t>
      </w:r>
      <w:r w:rsidR="00653BDE">
        <w:t xml:space="preserve">refuses to permit D.P. to use her Service Dog without a separate adult handler on her school bus, </w:t>
      </w:r>
      <w:r w:rsidR="00653BDE" w:rsidRPr="00653BDE">
        <w:t>which, in addition to a bus driver, is staffed with a bus monitor and a nurse</w:t>
      </w:r>
      <w:r w:rsidR="00653BDE">
        <w:t xml:space="preserve">.  </w:t>
      </w:r>
      <w:r w:rsidR="00AD7B68">
        <w:t xml:space="preserve">We find that providing </w:t>
      </w:r>
      <w:r w:rsidR="00551AF4">
        <w:t xml:space="preserve">the requested </w:t>
      </w:r>
      <w:r w:rsidR="00AD7B68">
        <w:t>assistance to D.P. falls well within the range of support and assistance that school staff provide</w:t>
      </w:r>
      <w:r w:rsidR="00551AF4">
        <w:t>s</w:t>
      </w:r>
      <w:r w:rsidR="00AD7B68">
        <w:t xml:space="preserve"> to young children day in and day out.  Accordingly, the District </w:t>
      </w:r>
      <w:r w:rsidR="00551AF4">
        <w:t xml:space="preserve">must </w:t>
      </w:r>
      <w:r w:rsidR="00AD7B68">
        <w:t xml:space="preserve">reasonably modify its </w:t>
      </w:r>
      <w:r w:rsidR="00551AF4">
        <w:t xml:space="preserve">current </w:t>
      </w:r>
      <w:r w:rsidR="00AD7B68">
        <w:t xml:space="preserve">“hands off” policy with respect to D.P.’s </w:t>
      </w:r>
      <w:r w:rsidR="00D10078">
        <w:t>Service Dog</w:t>
      </w:r>
      <w:r w:rsidR="00AD7B68">
        <w:t xml:space="preserve">. </w:t>
      </w:r>
    </w:p>
    <w:p w:rsidR="00C4460D" w:rsidRDefault="00C4460D" w:rsidP="00B21F23"/>
    <w:p w:rsidR="009A1CC1" w:rsidRPr="00C4460D" w:rsidRDefault="00C4460D" w:rsidP="00F95A66">
      <w:pPr>
        <w:pStyle w:val="Heading2"/>
      </w:pPr>
      <w:r>
        <w:t>C</w:t>
      </w:r>
      <w:r w:rsidR="00D444CF" w:rsidRPr="00C4460D">
        <w:t>onclusions of Law</w:t>
      </w:r>
      <w:r w:rsidR="001F4152" w:rsidRPr="00C4460D">
        <w:t xml:space="preserve"> and Recommended Remedial Measures</w:t>
      </w:r>
    </w:p>
    <w:p w:rsidR="00EA2871" w:rsidRDefault="00EA2871" w:rsidP="00EA2871">
      <w:pPr>
        <w:jc w:val="center"/>
        <w:rPr>
          <w:b/>
        </w:rPr>
      </w:pPr>
    </w:p>
    <w:p w:rsidR="0006050B" w:rsidRDefault="0006050B" w:rsidP="000605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pPr>
      <w:r>
        <w:tab/>
      </w:r>
      <w:r w:rsidR="00EA2871">
        <w:t xml:space="preserve">Discrimination on the basis of disability by public entities, such as local school districts, is prohibited by title II of the ADA.  Specifically, title II mandates that no qualified individual with a disability shall, by reason of such disability, be excluded from participation in or be denied the benefits of the services, programs, or activities of a public entity, or be subjected to discrimination by any such entity.  </w:t>
      </w:r>
      <w:r w:rsidR="00EA2871">
        <w:rPr>
          <w:i/>
        </w:rPr>
        <w:t>See</w:t>
      </w:r>
      <w:r w:rsidR="00EA2871">
        <w:t xml:space="preserve"> 42 U.S.C</w:t>
      </w:r>
      <w:r w:rsidR="00435894">
        <w:t>.</w:t>
      </w:r>
      <w:r w:rsidR="00EA2871">
        <w:t xml:space="preserve"> § 12132; 28 C.F.R. § 35.130(a).  </w:t>
      </w:r>
    </w:p>
    <w:p w:rsidR="00292D29" w:rsidRDefault="00EA2871" w:rsidP="000605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pPr>
      <w:r>
        <w:t xml:space="preserve">The title II regulation, set out at 28 C.F.R. </w:t>
      </w:r>
      <w:r w:rsidR="002C7CAD">
        <w:t>p</w:t>
      </w:r>
      <w:r>
        <w:t>t</w:t>
      </w:r>
      <w:r w:rsidR="002C7CAD">
        <w:t>.</w:t>
      </w:r>
      <w:r>
        <w:t xml:space="preserve"> 35, refle</w:t>
      </w:r>
      <w:r w:rsidR="0006050B">
        <w:t xml:space="preserve">cts and implements the </w:t>
      </w:r>
      <w:r w:rsidR="00054A34">
        <w:t>statute’s nondiscrimination</w:t>
      </w:r>
      <w:r>
        <w:t xml:space="preserve"> </w:t>
      </w:r>
      <w:r w:rsidR="00292D29">
        <w:t>mandate. 42 U.S.C. § 12134 (</w:t>
      </w:r>
      <w:r w:rsidR="006B28EA">
        <w:t>d</w:t>
      </w:r>
      <w:r w:rsidR="00292D29">
        <w:t>irecting the attorney general to promulgate regulations</w:t>
      </w:r>
      <w:r w:rsidR="006B28EA">
        <w:t>)</w:t>
      </w:r>
      <w:r w:rsidR="002C7CAD">
        <w:t>.</w:t>
      </w:r>
    </w:p>
    <w:p w:rsidR="00243394" w:rsidRDefault="00EA2871" w:rsidP="00243394">
      <w:pPr>
        <w:spacing w:before="240"/>
        <w:ind w:firstLine="720"/>
      </w:pPr>
      <w:r>
        <w:t xml:space="preserve"> </w:t>
      </w:r>
      <w:r w:rsidR="00450A96">
        <w:t xml:space="preserve">Under title II, </w:t>
      </w:r>
      <w:r>
        <w:t xml:space="preserve">local school </w:t>
      </w:r>
      <w:r w:rsidR="00054A34">
        <w:t>districts must</w:t>
      </w:r>
      <w:r w:rsidR="00450A96">
        <w:t xml:space="preserve"> </w:t>
      </w:r>
      <w:r>
        <w:t xml:space="preserve">afford students </w:t>
      </w:r>
      <w:r w:rsidR="00450A96">
        <w:t>with disabilities</w:t>
      </w:r>
      <w:r>
        <w:t xml:space="preserve"> an equal opportunity to participate in or benefit from any aid, benefit, or service provided to others.  </w:t>
      </w:r>
      <w:r w:rsidR="00061C7D">
        <w:t xml:space="preserve">    </w:t>
      </w:r>
      <w:r>
        <w:rPr>
          <w:i/>
        </w:rPr>
        <w:t xml:space="preserve">See </w:t>
      </w:r>
      <w:r>
        <w:t xml:space="preserve">28 </w:t>
      </w:r>
      <w:r w:rsidRPr="00EB3F1E">
        <w:t>C.F.R</w:t>
      </w:r>
      <w:r>
        <w:t xml:space="preserve">. § 35.130(b)(1). </w:t>
      </w:r>
      <w:r>
        <w:rPr>
          <w:i/>
        </w:rPr>
        <w:t xml:space="preserve"> </w:t>
      </w:r>
      <w:r w:rsidR="00450A96">
        <w:t>T</w:t>
      </w:r>
      <w:r w:rsidR="00243394">
        <w:t xml:space="preserve">he District is </w:t>
      </w:r>
      <w:r w:rsidR="00836D3E">
        <w:t>specifically prohibit</w:t>
      </w:r>
      <w:r w:rsidR="00243394">
        <w:t>ed</w:t>
      </w:r>
      <w:r w:rsidR="00836D3E">
        <w:t xml:space="preserve"> from providing a student with a disability with an aid, benefit</w:t>
      </w:r>
      <w:r w:rsidR="00374AB7">
        <w:t>,</w:t>
      </w:r>
      <w:r w:rsidR="00836D3E">
        <w:t xml:space="preserve"> or service that is not as effective in affording equal opportunity to obtain the same result, to gain the same benefit, or to reach the same level of achievement as that provided to others.  28 </w:t>
      </w:r>
      <w:r w:rsidR="00836D3E" w:rsidRPr="00EB3F1E">
        <w:t>C.F.R</w:t>
      </w:r>
      <w:r w:rsidR="00836D3E">
        <w:t xml:space="preserve">. § 35.130(b)(1)(iii).  </w:t>
      </w:r>
      <w:r w:rsidR="003B7E29">
        <w:tab/>
      </w:r>
    </w:p>
    <w:p w:rsidR="00CB67C3" w:rsidRDefault="00A900A9" w:rsidP="00243394">
      <w:pPr>
        <w:spacing w:before="240"/>
        <w:ind w:firstLine="720"/>
      </w:pPr>
      <w:r>
        <w:t xml:space="preserve">Public </w:t>
      </w:r>
      <w:r w:rsidR="00EA2871">
        <w:t xml:space="preserve">entities must make reasonable modifications to policies, practices, or procedures when necessary to avoid discrimination, unless the public entity can demonstrate that doing so would fundamentally alter the nature of the service, program, or activity.  28 C.F.R. </w:t>
      </w:r>
      <w:r>
        <w:t xml:space="preserve">                   </w:t>
      </w:r>
      <w:r w:rsidR="00EA2871">
        <w:t>§ 35.130(b)(7).  Moreover, as is the case here, a public entity shall modify its policies, practices, or procedures to permit the use of a service animal by an individual with a disability.  28 C.F.R. § 35.136(a).</w:t>
      </w:r>
      <w:r w:rsidR="00BB7686">
        <w:t xml:space="preserve"> </w:t>
      </w:r>
      <w:r w:rsidR="00450A96">
        <w:t xml:space="preserve"> A</w:t>
      </w:r>
      <w:r w:rsidR="00450A96" w:rsidRPr="00372B98">
        <w:t xml:space="preserve"> public entity may prope</w:t>
      </w:r>
      <w:r w:rsidR="00450A96">
        <w:t>rly exclude a service animal if:</w:t>
      </w:r>
      <w:r w:rsidR="00450A96" w:rsidRPr="00372B98">
        <w:t xml:space="preserve"> (1) the dog is out of control and the animal’s handler does not take effective action to control it; or (2) the dog is not housebroken.</w:t>
      </w:r>
      <w:r w:rsidR="00450A96">
        <w:t xml:space="preserve">   28 C.F.R. § 35.136(c).  </w:t>
      </w:r>
      <w:r w:rsidR="00450A96" w:rsidRPr="00372B98">
        <w:t>A service animal shall be under the control of its handler</w:t>
      </w:r>
      <w:r w:rsidR="008B339D">
        <w:t xml:space="preserve"> and </w:t>
      </w:r>
      <w:r w:rsidR="00450A96">
        <w:t>shall have a harness, leash, or other tether unless because of a disability that is not possible, in which case the service animal must otherwise be under the handler’s control (</w:t>
      </w:r>
      <w:r w:rsidR="00450A96" w:rsidRPr="0055728E">
        <w:rPr>
          <w:i/>
        </w:rPr>
        <w:t>e.g</w:t>
      </w:r>
      <w:r w:rsidR="00450A96">
        <w:t>., voice control, signals, or other effective means</w:t>
      </w:r>
      <w:r w:rsidR="008B339D">
        <w:t>)</w:t>
      </w:r>
      <w:r w:rsidR="00450A96">
        <w:t xml:space="preserve">.  </w:t>
      </w:r>
      <w:r w:rsidR="00450A96" w:rsidRPr="00372B98">
        <w:t xml:space="preserve">28 </w:t>
      </w:r>
      <w:r w:rsidR="00450A96">
        <w:t>C.</w:t>
      </w:r>
      <w:r w:rsidR="00450A96" w:rsidRPr="00372B98">
        <w:t>F.R. § 35.136(d).</w:t>
      </w:r>
      <w:r w:rsidR="00450A96" w:rsidDel="00B84D6D">
        <w:t xml:space="preserve"> </w:t>
      </w:r>
      <w:r w:rsidR="00450A96">
        <w:t xml:space="preserve"> A</w:t>
      </w:r>
      <w:r w:rsidR="00450A96" w:rsidRPr="00372B98">
        <w:t xml:space="preserve"> public entity is not responsible for the care or supervision of a service animal.  28 C.F.R</w:t>
      </w:r>
      <w:r w:rsidR="00450A96">
        <w:t>. § </w:t>
      </w:r>
      <w:r w:rsidR="00450A96" w:rsidRPr="00372B98">
        <w:t>35.136(e).</w:t>
      </w:r>
      <w:r w:rsidR="00055515">
        <w:rPr>
          <w:rStyle w:val="FootnoteReference"/>
        </w:rPr>
        <w:footnoteReference w:id="9"/>
      </w:r>
      <w:r w:rsidR="00450A96">
        <w:t xml:space="preserve">  </w:t>
      </w:r>
    </w:p>
    <w:p w:rsidR="00836D3E" w:rsidRDefault="00450A96" w:rsidP="00243394">
      <w:pPr>
        <w:spacing w:before="240"/>
        <w:ind w:firstLine="720"/>
      </w:pPr>
      <w:r>
        <w:t xml:space="preserve">The District has not established that any of the </w:t>
      </w:r>
      <w:r w:rsidR="008964FA">
        <w:t xml:space="preserve">permissible </w:t>
      </w:r>
      <w:r>
        <w:t xml:space="preserve">factors </w:t>
      </w:r>
      <w:r w:rsidR="008964FA">
        <w:t xml:space="preserve">for exclusion of a service dog </w:t>
      </w:r>
      <w:r>
        <w:t>have been met.  To the contrary, the District acknowledges that the Service Dog has never had an incident where it was out of control or exhibited any indication of not being house broken in the four years that it has been coming to school with D.P.</w:t>
      </w:r>
    </w:p>
    <w:p w:rsidR="004D2F3C" w:rsidRDefault="004D2F3C" w:rsidP="0024339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pPr>
    </w:p>
    <w:p w:rsidR="00A900A9" w:rsidRDefault="00A900A9" w:rsidP="00A900A9">
      <w:pPr>
        <w:rPr>
          <w:rFonts w:eastAsia="Times New Roman"/>
          <w:szCs w:val="24"/>
        </w:rPr>
      </w:pPr>
      <w:r>
        <w:tab/>
      </w:r>
      <w:r w:rsidR="00745964">
        <w:t>Moreover, t</w:t>
      </w:r>
      <w:r w:rsidR="00E2745C">
        <w:t xml:space="preserve">he Parent’s request </w:t>
      </w:r>
      <w:r w:rsidR="00CB67C3">
        <w:t xml:space="preserve">that </w:t>
      </w:r>
      <w:r w:rsidR="00E2745C">
        <w:t xml:space="preserve">District staff </w:t>
      </w:r>
      <w:r w:rsidR="00CB67C3">
        <w:t xml:space="preserve">assist D.P. in handling her Service </w:t>
      </w:r>
      <w:r w:rsidR="00E5261C">
        <w:t xml:space="preserve">Dog </w:t>
      </w:r>
      <w:r w:rsidR="00CB67C3">
        <w:t xml:space="preserve">by performing the types of </w:t>
      </w:r>
      <w:r w:rsidR="00E2745C">
        <w:t xml:space="preserve">tasks described above is </w:t>
      </w:r>
      <w:r>
        <w:rPr>
          <w:rFonts w:eastAsia="Times New Roman"/>
          <w:szCs w:val="24"/>
        </w:rPr>
        <w:t xml:space="preserve">reasonable.  </w:t>
      </w:r>
      <w:r>
        <w:t xml:space="preserve">D.P.’s 1:1 Aide </w:t>
      </w:r>
      <w:r w:rsidR="00353717">
        <w:t xml:space="preserve">already </w:t>
      </w:r>
      <w:r w:rsidR="00CB67C3">
        <w:t xml:space="preserve">currently </w:t>
      </w:r>
      <w:r>
        <w:t xml:space="preserve">escorts D.P., her </w:t>
      </w:r>
      <w:r w:rsidR="001103F4">
        <w:t>S</w:t>
      </w:r>
      <w:r>
        <w:t xml:space="preserve">ervice </w:t>
      </w:r>
      <w:r w:rsidR="001103F4">
        <w:t>D</w:t>
      </w:r>
      <w:r>
        <w:t>og, and the Handler around school property and ensures that D.P.’s seizure protocol is followed</w:t>
      </w:r>
      <w:r w:rsidR="00CB67C3">
        <w:t xml:space="preserve">, including the </w:t>
      </w:r>
      <w:r w:rsidR="00E5261C">
        <w:t xml:space="preserve">Service Dog’s </w:t>
      </w:r>
      <w:r w:rsidR="00CB67C3">
        <w:t>role in that seizure protocol</w:t>
      </w:r>
      <w:r>
        <w:t xml:space="preserve">.  </w:t>
      </w:r>
      <w:r w:rsidR="00E5261C">
        <w:rPr>
          <w:rFonts w:eastAsia="Times New Roman"/>
          <w:szCs w:val="24"/>
        </w:rPr>
        <w:t xml:space="preserve">And school </w:t>
      </w:r>
      <w:r w:rsidR="00055515">
        <w:rPr>
          <w:rFonts w:eastAsia="Times New Roman"/>
          <w:szCs w:val="24"/>
        </w:rPr>
        <w:t>staff already work</w:t>
      </w:r>
      <w:r>
        <w:rPr>
          <w:rFonts w:eastAsia="Times New Roman"/>
          <w:szCs w:val="24"/>
        </w:rPr>
        <w:t xml:space="preserve"> with D.P. in learning how to communicate when handling her </w:t>
      </w:r>
      <w:r w:rsidR="001103F4">
        <w:rPr>
          <w:rFonts w:eastAsia="Times New Roman"/>
          <w:szCs w:val="24"/>
        </w:rPr>
        <w:t>Se</w:t>
      </w:r>
      <w:r>
        <w:rPr>
          <w:rFonts w:eastAsia="Times New Roman"/>
          <w:szCs w:val="24"/>
        </w:rPr>
        <w:t xml:space="preserve">rvice </w:t>
      </w:r>
      <w:r w:rsidR="001103F4">
        <w:rPr>
          <w:rFonts w:eastAsia="Times New Roman"/>
          <w:szCs w:val="24"/>
        </w:rPr>
        <w:t>D</w:t>
      </w:r>
      <w:r>
        <w:rPr>
          <w:rFonts w:eastAsia="Times New Roman"/>
          <w:szCs w:val="24"/>
        </w:rPr>
        <w:t>og</w:t>
      </w:r>
      <w:r w:rsidR="00413833">
        <w:rPr>
          <w:rFonts w:eastAsia="Times New Roman"/>
          <w:szCs w:val="24"/>
        </w:rPr>
        <w:t>.</w:t>
      </w:r>
      <w:r w:rsidR="00973E1E">
        <w:rPr>
          <w:rFonts w:eastAsia="Times New Roman"/>
          <w:szCs w:val="24"/>
        </w:rPr>
        <w:t xml:space="preserve">  </w:t>
      </w:r>
      <w:r w:rsidR="001B64CC">
        <w:rPr>
          <w:rFonts w:eastAsia="Times New Roman"/>
          <w:szCs w:val="24"/>
        </w:rPr>
        <w:t>S</w:t>
      </w:r>
      <w:r w:rsidR="00973E1E">
        <w:rPr>
          <w:rFonts w:eastAsia="Times New Roman"/>
          <w:szCs w:val="24"/>
        </w:rPr>
        <w:t xml:space="preserve">taff assistance in issuing the few verbal </w:t>
      </w:r>
      <w:r w:rsidR="00E5261C">
        <w:rPr>
          <w:rFonts w:eastAsia="Times New Roman"/>
          <w:szCs w:val="24"/>
        </w:rPr>
        <w:t>commands</w:t>
      </w:r>
      <w:r w:rsidR="00353717">
        <w:rPr>
          <w:rFonts w:eastAsia="Times New Roman"/>
          <w:szCs w:val="24"/>
        </w:rPr>
        <w:t xml:space="preserve"> necessary for D.P. to control the Service Dog</w:t>
      </w:r>
      <w:r w:rsidR="005644D1">
        <w:rPr>
          <w:rFonts w:eastAsia="Times New Roman"/>
          <w:szCs w:val="24"/>
        </w:rPr>
        <w:t xml:space="preserve"> </w:t>
      </w:r>
      <w:r w:rsidR="001B64CC">
        <w:rPr>
          <w:rFonts w:eastAsia="Times New Roman"/>
          <w:szCs w:val="24"/>
        </w:rPr>
        <w:t>would involve only minimal effort but would significantly further D.P.’s ability to</w:t>
      </w:r>
      <w:r w:rsidR="00D95F0F">
        <w:rPr>
          <w:rFonts w:eastAsia="Times New Roman"/>
          <w:szCs w:val="24"/>
        </w:rPr>
        <w:t xml:space="preserve"> use the assistance of the Service Dog</w:t>
      </w:r>
      <w:r w:rsidR="001B64CC">
        <w:rPr>
          <w:rFonts w:eastAsia="Times New Roman"/>
          <w:szCs w:val="24"/>
        </w:rPr>
        <w:t>.</w:t>
      </w:r>
      <w:r w:rsidR="00353717">
        <w:rPr>
          <w:rFonts w:eastAsia="Times New Roman"/>
          <w:szCs w:val="24"/>
        </w:rPr>
        <w:t xml:space="preserve">  </w:t>
      </w:r>
      <w:r w:rsidR="00E5261C">
        <w:rPr>
          <w:rFonts w:eastAsia="Times New Roman"/>
          <w:szCs w:val="24"/>
        </w:rPr>
        <w:t xml:space="preserve">  </w:t>
      </w:r>
      <w:r w:rsidR="008964FA">
        <w:rPr>
          <w:rFonts w:eastAsia="Times New Roman"/>
          <w:szCs w:val="24"/>
        </w:rPr>
        <w:t xml:space="preserve"> </w:t>
      </w:r>
      <w:r w:rsidR="004D2F3C">
        <w:rPr>
          <w:rFonts w:eastAsia="Times New Roman"/>
          <w:szCs w:val="24"/>
        </w:rPr>
        <w:t xml:space="preserve"> </w:t>
      </w:r>
    </w:p>
    <w:p w:rsidR="00922B66" w:rsidRDefault="00836D3E" w:rsidP="00C923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90"/>
        <w:contextualSpacing/>
      </w:pPr>
      <w:r>
        <w:tab/>
      </w:r>
    </w:p>
    <w:p w:rsidR="00BB7686" w:rsidRDefault="00922B66" w:rsidP="00C923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90"/>
        <w:contextualSpacing/>
      </w:pPr>
      <w:r>
        <w:tab/>
      </w:r>
      <w:r w:rsidR="00E5261C">
        <w:t xml:space="preserve">Following from the above, </w:t>
      </w:r>
      <w:r w:rsidR="00836D3E">
        <w:t xml:space="preserve">the District must permit D.P. to bring her </w:t>
      </w:r>
      <w:r w:rsidR="00D10078">
        <w:t>Service Dog</w:t>
      </w:r>
      <w:r w:rsidR="00836D3E">
        <w:t xml:space="preserve"> to school without also having to provide a</w:t>
      </w:r>
      <w:r w:rsidR="00F416E7">
        <w:t xml:space="preserve"> separate adult</w:t>
      </w:r>
      <w:r w:rsidR="00836D3E">
        <w:t xml:space="preserve"> </w:t>
      </w:r>
      <w:r w:rsidR="0093677C">
        <w:t>h</w:t>
      </w:r>
      <w:r w:rsidR="00836D3E">
        <w:t>andler.  The ADA mandates that students with</w:t>
      </w:r>
      <w:r w:rsidR="00F416E7">
        <w:t xml:space="preserve"> </w:t>
      </w:r>
      <w:r w:rsidR="00836D3E">
        <w:t xml:space="preserve">disabilities be afforded the same access to, and enjoy the same benefits of, the services, </w:t>
      </w:r>
      <w:r>
        <w:t>programs</w:t>
      </w:r>
      <w:r w:rsidR="00836D3E">
        <w:t>, and activities as students without disabilities and the District has not established that the provision of reasonable modification</w:t>
      </w:r>
      <w:r w:rsidR="00F416E7">
        <w:t>s to assist D.P.</w:t>
      </w:r>
      <w:r w:rsidR="00836D3E">
        <w:t xml:space="preserve"> would fundamentally alter the nature of the service, program, or activity.  42 U.S.C 42 § 12132; 28 </w:t>
      </w:r>
      <w:r w:rsidR="00836D3E" w:rsidRPr="00EB3F1E">
        <w:t>C.F.R</w:t>
      </w:r>
      <w:r w:rsidR="00836D3E">
        <w:t>. § 35.130(b)(1)</w:t>
      </w:r>
      <w:r w:rsidR="003F1A61">
        <w:t xml:space="preserve"> and </w:t>
      </w:r>
      <w:r w:rsidR="00836D3E">
        <w:t>(b)(7).</w:t>
      </w:r>
    </w:p>
    <w:p w:rsidR="00836D3E" w:rsidRDefault="00836D3E" w:rsidP="000C3912">
      <w:pPr>
        <w:ind w:firstLine="360"/>
      </w:pPr>
    </w:p>
    <w:p w:rsidR="00D444CF" w:rsidRDefault="00D444CF" w:rsidP="00E32074">
      <w:pPr>
        <w:ind w:firstLine="720"/>
      </w:pPr>
      <w:r w:rsidRPr="00F6269F">
        <w:t xml:space="preserve">To remedy the violations discussed above and to protect the civil rights of </w:t>
      </w:r>
      <w:r w:rsidR="002C30D8">
        <w:t>D.P.,</w:t>
      </w:r>
      <w:r>
        <w:t xml:space="preserve"> </w:t>
      </w:r>
      <w:r w:rsidR="00E5261C">
        <w:t xml:space="preserve">the District must take the </w:t>
      </w:r>
      <w:r>
        <w:t>following minimal steps</w:t>
      </w:r>
      <w:r w:rsidR="00E5261C">
        <w:t>:</w:t>
      </w:r>
    </w:p>
    <w:p w:rsidR="00E32074" w:rsidRDefault="00D444CF">
      <w:pPr>
        <w:ind w:left="720"/>
      </w:pPr>
      <w:r w:rsidRPr="00372B98">
        <w:t xml:space="preserve">  </w:t>
      </w:r>
    </w:p>
    <w:p w:rsidR="00E93ECC" w:rsidRDefault="000775B8" w:rsidP="00F95A66">
      <w:pPr>
        <w:pStyle w:val="Heading1"/>
        <w:numPr>
          <w:ilvl w:val="0"/>
          <w:numId w:val="18"/>
        </w:numPr>
        <w:ind w:left="720"/>
      </w:pPr>
      <w:r>
        <w:t xml:space="preserve">Permit D.P. </w:t>
      </w:r>
      <w:r w:rsidRPr="00744643">
        <w:t xml:space="preserve">to act as the </w:t>
      </w:r>
      <w:r>
        <w:t>h</w:t>
      </w:r>
      <w:r w:rsidRPr="00744643">
        <w:t xml:space="preserve">andler of her </w:t>
      </w:r>
      <w:r>
        <w:t>S</w:t>
      </w:r>
      <w:r w:rsidRPr="00744643">
        <w:t xml:space="preserve">ervice </w:t>
      </w:r>
      <w:r>
        <w:t>D</w:t>
      </w:r>
      <w:r w:rsidRPr="00744643">
        <w:t>og</w:t>
      </w:r>
      <w:r>
        <w:t>.</w:t>
      </w:r>
    </w:p>
    <w:p w:rsidR="00E93ECC" w:rsidRDefault="00E93ECC" w:rsidP="00E93ECC">
      <w:pPr>
        <w:pStyle w:val="Heading1"/>
        <w:ind w:left="720" w:firstLine="0"/>
      </w:pPr>
    </w:p>
    <w:p w:rsidR="00E93ECC" w:rsidRDefault="007B1A29" w:rsidP="00E93ECC">
      <w:pPr>
        <w:pStyle w:val="Heading1"/>
        <w:numPr>
          <w:ilvl w:val="0"/>
          <w:numId w:val="18"/>
        </w:numPr>
        <w:ind w:left="720"/>
      </w:pPr>
      <w:r>
        <w:t>Direct</w:t>
      </w:r>
      <w:r w:rsidR="00922B66">
        <w:t xml:space="preserve"> </w:t>
      </w:r>
      <w:r w:rsidR="000775B8" w:rsidRPr="00744643">
        <w:t xml:space="preserve">staff assigned to </w:t>
      </w:r>
      <w:r w:rsidR="000775B8">
        <w:t>D.P.</w:t>
      </w:r>
      <w:r w:rsidR="000775B8" w:rsidRPr="00744643">
        <w:t>’s classroom</w:t>
      </w:r>
      <w:r w:rsidR="00922B66">
        <w:t xml:space="preserve"> and on the bus (i.e., the bus monitor)</w:t>
      </w:r>
      <w:r w:rsidR="000775B8" w:rsidRPr="00744643">
        <w:t xml:space="preserve"> to provide reasonable modifications and </w:t>
      </w:r>
      <w:r w:rsidR="00D95F0F">
        <w:t xml:space="preserve">to work with the </w:t>
      </w:r>
      <w:r w:rsidR="00121226">
        <w:t>communication-related aids and services (</w:t>
      </w:r>
      <w:r w:rsidR="00653BDE">
        <w:t>i</w:t>
      </w:r>
      <w:r w:rsidR="00922B66">
        <w:t>Pad</w:t>
      </w:r>
      <w:r w:rsidR="001E7123">
        <w:t xml:space="preserve"> or Dynavox</w:t>
      </w:r>
      <w:r w:rsidR="00121226">
        <w:t>)</w:t>
      </w:r>
      <w:r w:rsidR="000775B8" w:rsidRPr="00744643">
        <w:t xml:space="preserve"> </w:t>
      </w:r>
      <w:r w:rsidR="00D95F0F">
        <w:t xml:space="preserve">already being provided </w:t>
      </w:r>
      <w:r w:rsidR="000775B8" w:rsidRPr="00744643">
        <w:t xml:space="preserve">to </w:t>
      </w:r>
      <w:r w:rsidR="000775B8">
        <w:t>D.P.</w:t>
      </w:r>
      <w:r w:rsidR="000775B8" w:rsidRPr="00744643">
        <w:t xml:space="preserve"> as she handles her </w:t>
      </w:r>
      <w:r w:rsidR="000775B8">
        <w:t>Service Dog</w:t>
      </w:r>
      <w:r w:rsidR="000775B8" w:rsidRPr="00744643">
        <w:t xml:space="preserve">, including but not limited to tethering and untethering </w:t>
      </w:r>
      <w:r w:rsidR="000775B8">
        <w:t>D.P.</w:t>
      </w:r>
      <w:r w:rsidR="000775B8" w:rsidRPr="00744643">
        <w:t xml:space="preserve">’s </w:t>
      </w:r>
      <w:r w:rsidR="000775B8">
        <w:t>S</w:t>
      </w:r>
      <w:r w:rsidR="000775B8" w:rsidRPr="00744643">
        <w:t xml:space="preserve">ervice </w:t>
      </w:r>
      <w:r w:rsidR="000775B8">
        <w:t>D</w:t>
      </w:r>
      <w:r w:rsidR="000775B8" w:rsidRPr="00744643">
        <w:t>og</w:t>
      </w:r>
      <w:r w:rsidR="000775B8">
        <w:t xml:space="preserve">, </w:t>
      </w:r>
      <w:r w:rsidR="000775B8" w:rsidRPr="00744643">
        <w:t xml:space="preserve">issuing the commands used with the </w:t>
      </w:r>
      <w:r w:rsidR="000775B8">
        <w:t>S</w:t>
      </w:r>
      <w:r w:rsidR="000775B8" w:rsidRPr="00744643">
        <w:t xml:space="preserve">ervice </w:t>
      </w:r>
      <w:r w:rsidR="000775B8">
        <w:t>D</w:t>
      </w:r>
      <w:r w:rsidR="000775B8" w:rsidRPr="00744643">
        <w:t>og during the school day</w:t>
      </w:r>
      <w:r w:rsidR="000775B8">
        <w:t>, escorting D.P. throughout the school grounds when accompanied by her Service Dog; and using the Service Dog in accordance</w:t>
      </w:r>
      <w:r w:rsidR="00E93ECC">
        <w:t xml:space="preserve"> with D.P.’s seizure protocol. </w:t>
      </w:r>
    </w:p>
    <w:p w:rsidR="00E93ECC" w:rsidRDefault="00E93ECC" w:rsidP="00E93ECC">
      <w:pPr>
        <w:pStyle w:val="ListParagraph"/>
      </w:pPr>
    </w:p>
    <w:p w:rsidR="00513863" w:rsidRDefault="00513863" w:rsidP="00E93ECC">
      <w:pPr>
        <w:pStyle w:val="Heading1"/>
        <w:numPr>
          <w:ilvl w:val="0"/>
          <w:numId w:val="18"/>
        </w:numPr>
        <w:ind w:left="720"/>
      </w:pPr>
      <w:r>
        <w:t>Pay compensatory damages, including damages for pain and suffering, in an appropriate amount for injuries suffered as a result of the District’s failure to comply with the ADA.</w:t>
      </w:r>
    </w:p>
    <w:p w:rsidR="00E93ECC" w:rsidRDefault="00E93ECC" w:rsidP="00E93ECC">
      <w:pPr>
        <w:pStyle w:val="ListParagraph"/>
      </w:pPr>
    </w:p>
    <w:p w:rsidR="00D444CF" w:rsidRPr="003F1A61" w:rsidRDefault="00D444CF" w:rsidP="0042776E">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rPr>
          <w:b/>
          <w:color w:val="000000"/>
        </w:rPr>
      </w:pPr>
      <w:r w:rsidRPr="00372B98">
        <w:t xml:space="preserve">Make reasonable modifications to </w:t>
      </w:r>
      <w:r w:rsidR="0032116E">
        <w:t xml:space="preserve">District </w:t>
      </w:r>
      <w:r w:rsidRPr="00372B98">
        <w:t xml:space="preserve">policies, practices, and procedures where necessary to avoid discrimination against a student with </w:t>
      </w:r>
      <w:r>
        <w:t xml:space="preserve">a disability </w:t>
      </w:r>
      <w:r w:rsidRPr="00372B98">
        <w:t>who uses a service animal</w:t>
      </w:r>
      <w:r>
        <w:t xml:space="preserve"> unless the District can show that making the modifications would fundamentally alter the nature of the service, program, or activity.  </w:t>
      </w:r>
      <w:r w:rsidRPr="00372B98">
        <w:t>Reasonable modifications</w:t>
      </w:r>
      <w:r w:rsidR="00833A51">
        <w:t>,</w:t>
      </w:r>
      <w:r w:rsidRPr="00372B98">
        <w:t xml:space="preserve"> </w:t>
      </w:r>
      <w:r w:rsidR="005E38BF">
        <w:t xml:space="preserve"> depending on the </w:t>
      </w:r>
      <w:r w:rsidR="00833A51">
        <w:t>individual</w:t>
      </w:r>
      <w:r w:rsidR="005E38BF">
        <w:t xml:space="preserve"> circumstances, </w:t>
      </w:r>
      <w:r w:rsidRPr="00372B98">
        <w:t>include, but are not limited to, providing assistance to a student with a disability in tethering or untethering the service animal</w:t>
      </w:r>
      <w:r>
        <w:t xml:space="preserve"> and </w:t>
      </w:r>
      <w:r w:rsidRPr="00372B98">
        <w:t>escorting a student with a disability throughout the school or campus as he or she is accompanied by a service animal</w:t>
      </w:r>
      <w:r w:rsidR="003F1A61">
        <w:t xml:space="preserve">, and </w:t>
      </w:r>
      <w:r>
        <w:t xml:space="preserve">assisting a </w:t>
      </w:r>
      <w:r w:rsidR="007B1A29">
        <w:t>student</w:t>
      </w:r>
      <w:r>
        <w:t xml:space="preserve"> with a communication disability in issuing commands to the service animal</w:t>
      </w:r>
      <w:r w:rsidRPr="00372B98">
        <w:t>.</w:t>
      </w:r>
    </w:p>
    <w:p w:rsidR="00E93ECC" w:rsidRDefault="00D444CF" w:rsidP="00F95A66">
      <w:pPr>
        <w:numPr>
          <w:ilvl w:val="0"/>
          <w:numId w:val="7"/>
        </w:numPr>
        <w:spacing w:after="120"/>
      </w:pPr>
      <w:r>
        <w:t xml:space="preserve">Ensure that schools within the District do not </w:t>
      </w:r>
      <w:r w:rsidR="002C30D8">
        <w:t>impose</w:t>
      </w:r>
      <w:r w:rsidRPr="00372B98">
        <w:t xml:space="preserve"> a surcharge for the use of a </w:t>
      </w:r>
      <w:r>
        <w:t>s</w:t>
      </w:r>
      <w:r w:rsidRPr="00372B98">
        <w:t>ervice animal on District property.</w:t>
      </w:r>
    </w:p>
    <w:p w:rsidR="00E93ECC" w:rsidRDefault="00D444CF" w:rsidP="00F95A66">
      <w:pPr>
        <w:numPr>
          <w:ilvl w:val="0"/>
          <w:numId w:val="7"/>
        </w:numPr>
        <w:spacing w:after="120"/>
      </w:pPr>
      <w:r>
        <w:t>P</w:t>
      </w:r>
      <w:r w:rsidRPr="00372B98">
        <w:t xml:space="preserve">ublish an announcement and description of </w:t>
      </w:r>
      <w:r>
        <w:t>the District’s revised</w:t>
      </w:r>
      <w:r w:rsidRPr="00372B98">
        <w:t xml:space="preserve"> ADA service animal policy at </w:t>
      </w:r>
      <w:hyperlink r:id="rId8" w:history="1">
        <w:r w:rsidRPr="00BF607D">
          <w:rPr>
            <w:rStyle w:val="Hyperlink"/>
          </w:rPr>
          <w:t>http://www.gateschili.org</w:t>
        </w:r>
      </w:hyperlink>
      <w:r>
        <w:t>.</w:t>
      </w:r>
    </w:p>
    <w:p w:rsidR="003F1A61" w:rsidRDefault="00D444CF" w:rsidP="00F95A66">
      <w:pPr>
        <w:numPr>
          <w:ilvl w:val="0"/>
          <w:numId w:val="7"/>
        </w:numPr>
        <w:spacing w:after="120"/>
      </w:pPr>
      <w:r>
        <w:t xml:space="preserve">Hire a trainer to develop and deliver </w:t>
      </w:r>
      <w:r w:rsidRPr="00372B98">
        <w:t xml:space="preserve">training to the following District staff members on the District’s obligations under title II of the ADA, including obligations with respect to service animals: all Principals, Assistant Principals, Teachers, </w:t>
      </w:r>
      <w:r>
        <w:t>and Teachers’ Aides</w:t>
      </w:r>
      <w:r w:rsidR="007B1A29">
        <w:t xml:space="preserve"> and appropriate transportation personnel.</w:t>
      </w:r>
    </w:p>
    <w:p w:rsidR="00D444CF" w:rsidRDefault="00D444CF" w:rsidP="00D444CF">
      <w:pPr>
        <w:rPr>
          <w:b/>
        </w:rPr>
      </w:pPr>
    </w:p>
    <w:p w:rsidR="00D444CF" w:rsidRDefault="002C30D8" w:rsidP="00F95A66">
      <w:pPr>
        <w:pStyle w:val="Heading2"/>
      </w:pPr>
      <w:r>
        <w:t xml:space="preserve">  Conclusion</w:t>
      </w:r>
    </w:p>
    <w:p w:rsidR="002C30D8" w:rsidRDefault="002C30D8" w:rsidP="00F66EB4">
      <w:pPr>
        <w:rPr>
          <w:b/>
        </w:rPr>
      </w:pPr>
    </w:p>
    <w:p w:rsidR="001339CF" w:rsidRDefault="00F66EB4" w:rsidP="00857CFB">
      <w:pPr>
        <w:ind w:firstLine="720"/>
      </w:pPr>
      <w:r>
        <w:t xml:space="preserve">We hope to work with you to resolve our outstanding concerns </w:t>
      </w:r>
      <w:r w:rsidR="001339CF">
        <w:t>with respect to the District’s service animal policies, practices, and procedures.  We are obligated to advise you that, in the event that we are unable to reach a resolution regarding our concerns, the Attorney General may initiate a lawsuit pursuant to the ADA</w:t>
      </w:r>
      <w:r w:rsidR="000C3912">
        <w:t xml:space="preserve">.  </w:t>
      </w:r>
      <w:r w:rsidR="000C3912">
        <w:rPr>
          <w:i/>
        </w:rPr>
        <w:t>See</w:t>
      </w:r>
      <w:r w:rsidR="000C3912">
        <w:t xml:space="preserve"> 42 U.S.C. § 12133-34; 42 U.S.C. </w:t>
      </w:r>
      <w:r w:rsidR="00E6093B">
        <w:t xml:space="preserve">         </w:t>
      </w:r>
      <w:r w:rsidR="000C3912">
        <w:t xml:space="preserve">§ 2000d-1.  </w:t>
      </w:r>
      <w:r w:rsidR="00F2117B">
        <w:t xml:space="preserve">Please contact Paula Rubin at 202-305-2191 </w:t>
      </w:r>
      <w:r w:rsidR="00F445BE">
        <w:t>within two weeks of the date of this</w:t>
      </w:r>
      <w:r w:rsidR="00857CFB">
        <w:t xml:space="preserve"> </w:t>
      </w:r>
      <w:r w:rsidR="00F445BE">
        <w:t xml:space="preserve">letter </w:t>
      </w:r>
      <w:r w:rsidR="00F2117B">
        <w:t>if you are willing to resolve this matter voluntarily in a manner that will bring the District into full compliance with title II, or if you have any questions regarding this letter.</w:t>
      </w:r>
      <w:r w:rsidR="00F2117B">
        <w:rPr>
          <w:rStyle w:val="FootnoteReference"/>
        </w:rPr>
        <w:footnoteReference w:id="10"/>
      </w:r>
    </w:p>
    <w:p w:rsidR="000C3912" w:rsidRDefault="000C3912" w:rsidP="00F66EB4">
      <w:pPr>
        <w:ind w:firstLine="360"/>
      </w:pPr>
    </w:p>
    <w:p w:rsidR="000C3912" w:rsidRPr="00F95A66" w:rsidRDefault="000C3912" w:rsidP="00F95A66">
      <w:pPr>
        <w:pStyle w:val="Closing"/>
      </w:pPr>
      <w:r w:rsidRPr="00F95A66">
        <w:t>Sincerely,</w:t>
      </w:r>
    </w:p>
    <w:p w:rsidR="000C3912" w:rsidRDefault="000C3912" w:rsidP="000C3912">
      <w:pPr>
        <w:ind w:firstLine="720"/>
        <w:jc w:val="center"/>
      </w:pPr>
    </w:p>
    <w:p w:rsidR="000C3912" w:rsidRDefault="000C3912" w:rsidP="000C3912">
      <w:pPr>
        <w:ind w:firstLine="720"/>
        <w:jc w:val="center"/>
      </w:pPr>
    </w:p>
    <w:p w:rsidR="000C3912" w:rsidRDefault="000C3912" w:rsidP="000C3912">
      <w:pPr>
        <w:ind w:firstLine="720"/>
        <w:jc w:val="center"/>
      </w:pPr>
    </w:p>
    <w:p w:rsidR="000C3912" w:rsidRPr="00F95A66" w:rsidRDefault="000C3912" w:rsidP="00F95A66">
      <w:pPr>
        <w:pStyle w:val="Signature"/>
      </w:pPr>
      <w:r w:rsidRPr="00F95A66">
        <w:t xml:space="preserve">Rebecca </w:t>
      </w:r>
      <w:r w:rsidR="002F2AF4">
        <w:t xml:space="preserve">B. </w:t>
      </w:r>
      <w:r w:rsidRPr="00F95A66">
        <w:t xml:space="preserve">Bond </w:t>
      </w:r>
    </w:p>
    <w:p w:rsidR="000C3912" w:rsidRPr="00F95A66" w:rsidRDefault="000C3912" w:rsidP="00F95A66">
      <w:pPr>
        <w:pStyle w:val="Signature"/>
      </w:pPr>
      <w:r w:rsidRPr="00F95A66">
        <w:t>Chief</w:t>
      </w:r>
    </w:p>
    <w:p w:rsidR="000C3912" w:rsidRPr="00F95A66" w:rsidRDefault="000C3912" w:rsidP="00F95A66">
      <w:pPr>
        <w:pStyle w:val="Signature"/>
      </w:pPr>
      <w:r w:rsidRPr="00F95A66">
        <w:t>Disability Rights Section</w:t>
      </w:r>
    </w:p>
    <w:p w:rsidR="000C3912" w:rsidRDefault="000C3912" w:rsidP="000C3912">
      <w:pPr>
        <w:ind w:firstLine="720"/>
        <w:jc w:val="center"/>
      </w:pPr>
    </w:p>
    <w:p w:rsidR="000C3912" w:rsidRDefault="000C3912" w:rsidP="000C3912">
      <w:pPr>
        <w:ind w:firstLine="720"/>
        <w:jc w:val="center"/>
      </w:pPr>
    </w:p>
    <w:p w:rsidR="000C3912" w:rsidRDefault="000C3912" w:rsidP="000C3912"/>
    <w:p w:rsidR="00632EBB" w:rsidRDefault="000C3912" w:rsidP="00961536">
      <w:r>
        <w:t xml:space="preserve">cc: </w:t>
      </w:r>
      <w:r w:rsidR="00632EBB">
        <w:t>Kristin Small, Esq.</w:t>
      </w:r>
    </w:p>
    <w:p w:rsidR="00632EBB" w:rsidRDefault="00632EBB" w:rsidP="00F66EB4">
      <w:pPr>
        <w:ind w:firstLine="360"/>
      </w:pPr>
      <w:r>
        <w:t>Empire Justice Center</w:t>
      </w:r>
    </w:p>
    <w:p w:rsidR="00632EBB" w:rsidRDefault="00632EBB" w:rsidP="00F66EB4">
      <w:pPr>
        <w:ind w:firstLine="360"/>
      </w:pPr>
      <w:r>
        <w:t>Attorneys for the Complaining Party</w:t>
      </w:r>
    </w:p>
    <w:p w:rsidR="000C3912" w:rsidRDefault="000C3912" w:rsidP="00F66EB4">
      <w:pPr>
        <w:ind w:firstLine="360"/>
      </w:pPr>
    </w:p>
    <w:p w:rsidR="000C3912" w:rsidRDefault="000C3912" w:rsidP="00F66EB4">
      <w:pPr>
        <w:ind w:firstLine="360"/>
      </w:pPr>
    </w:p>
    <w:p w:rsidR="000C3912" w:rsidRPr="000C3912" w:rsidRDefault="000C3912" w:rsidP="00F66EB4">
      <w:pPr>
        <w:ind w:firstLine="360"/>
      </w:pPr>
    </w:p>
    <w:sectPr w:rsidR="000C3912" w:rsidRPr="000C3912" w:rsidSect="003015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60" w:rsidRDefault="00F23E60" w:rsidP="007B5B00">
      <w:r>
        <w:separator/>
      </w:r>
    </w:p>
  </w:endnote>
  <w:endnote w:type="continuationSeparator" w:id="0">
    <w:p w:rsidR="00F23E60" w:rsidRDefault="00F23E60" w:rsidP="007B5B00">
      <w:r>
        <w:continuationSeparator/>
      </w:r>
    </w:p>
  </w:endnote>
  <w:endnote w:type="continuationNotice" w:id="1">
    <w:p w:rsidR="00F23E60" w:rsidRDefault="00F23E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A6" w:rsidRDefault="00F90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61" w:rsidRDefault="009840B9">
    <w:pPr>
      <w:pStyle w:val="Footer"/>
      <w:jc w:val="center"/>
    </w:pPr>
    <w:fldSimple w:instr=" PAGE   \* MERGEFORMAT ">
      <w:r w:rsidR="002A4B89">
        <w:rPr>
          <w:noProof/>
        </w:rPr>
        <w:t>7</w:t>
      </w:r>
    </w:fldSimple>
  </w:p>
  <w:p w:rsidR="00B56061" w:rsidRDefault="00B56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61" w:rsidRDefault="009840B9">
    <w:pPr>
      <w:pStyle w:val="Footer"/>
      <w:jc w:val="center"/>
    </w:pPr>
    <w:fldSimple w:instr=" PAGE   \* MERGEFORMAT ">
      <w:r w:rsidR="002A4B89">
        <w:rPr>
          <w:noProof/>
        </w:rPr>
        <w:t>1</w:t>
      </w:r>
    </w:fldSimple>
  </w:p>
  <w:p w:rsidR="00B56061" w:rsidRDefault="00B56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60" w:rsidRDefault="00F23E60" w:rsidP="007B5B00">
      <w:r>
        <w:separator/>
      </w:r>
    </w:p>
  </w:footnote>
  <w:footnote w:type="continuationSeparator" w:id="0">
    <w:p w:rsidR="00F23E60" w:rsidRDefault="00F23E60" w:rsidP="007B5B00">
      <w:r>
        <w:continuationSeparator/>
      </w:r>
    </w:p>
  </w:footnote>
  <w:footnote w:type="continuationNotice" w:id="1">
    <w:p w:rsidR="00F23E60" w:rsidRDefault="00F23E60"/>
  </w:footnote>
  <w:footnote w:id="2">
    <w:p w:rsidR="00B56061" w:rsidRDefault="00B56061">
      <w:pPr>
        <w:pStyle w:val="FootnoteText"/>
      </w:pPr>
      <w:r>
        <w:rPr>
          <w:rStyle w:val="FootnoteReference"/>
        </w:rPr>
        <w:footnoteRef/>
      </w:r>
      <w:r>
        <w:t xml:space="preserve"> We note that students with disabilities enrolled in elementary and secondary school settings may be eligible for and thus entitled to a free and appropriate public education (FAPE) under the U.S. Department of Education’s regulation implementing Section 504 of the Rehabilitation Act of 1973, 29 U.S.C. § 794 and 34 C.F.R. §§ 104.33-104.36, and a FAPE under the Individuals with Disabilities Education Act, 20 U.S.C. §§ 1400-1482.  This letter does not address the District’s obligations, or the remedies available to students and their parents, under these laws.  Further, because the IDEA and ADA have different standards, whether or not the IDEA’s requirements have been met does not determine whether a valid ADA claim would exist.  20 U.S.C. 1415(l); </w:t>
      </w:r>
      <w:r>
        <w:rPr>
          <w:i/>
        </w:rPr>
        <w:t>K.M. ex rel. Bright v. Tustin Unified Sch. Dist.</w:t>
      </w:r>
      <w:r>
        <w:t xml:space="preserve">, 725 F.3d 1088, 1098-99 (9th Cir. 2013) (rejecting argument that “the success or failure of a student’s IDEA claim dictates, as a matter of law, the success or failure of her [ADA] Title II claim”); </w:t>
      </w:r>
      <w:r>
        <w:rPr>
          <w:i/>
        </w:rPr>
        <w:t xml:space="preserve">Ellenberg v. New Mexico Military Inst., </w:t>
      </w:r>
      <w:r w:rsidRPr="00945111">
        <w:t>478 F3d 1262, 1282 (10</w:t>
      </w:r>
      <w:r>
        <w:t>th</w:t>
      </w:r>
      <w:r w:rsidRPr="00945111">
        <w:t xml:space="preserve"> Cir. 2007) (“Even if plaintiffs conceded that [defendant] fully satisfied its IDEA obligations…, they could pursue claims under the ADA….”).</w:t>
      </w:r>
      <w:r>
        <w:t xml:space="preserve"> </w:t>
      </w:r>
    </w:p>
  </w:footnote>
  <w:footnote w:id="3">
    <w:p w:rsidR="00B56061" w:rsidRDefault="00B56061">
      <w:pPr>
        <w:pStyle w:val="FootnoteText"/>
      </w:pPr>
      <w:r>
        <w:rPr>
          <w:rStyle w:val="FootnoteReference"/>
        </w:rPr>
        <w:footnoteRef/>
      </w:r>
      <w:r>
        <w:t xml:space="preserve"> </w:t>
      </w:r>
      <w:r w:rsidRPr="00594181">
        <w:t xml:space="preserve">Angelman Syndrome is a lifelong disorder with manifestations that include developmental delay, lack of speech, seizures, and walking or balance disorders.  </w:t>
      </w:r>
      <w:r>
        <w:t xml:space="preserve">Angelman Syndrome Foundation, “What is Angelman Syndrome?” </w:t>
      </w:r>
      <w:r w:rsidRPr="004A49D5">
        <w:t>http://www.angelman.org/</w:t>
      </w:r>
      <w:r>
        <w:t xml:space="preserve"> (last visited February 2, 2015).  </w:t>
      </w:r>
      <w:r w:rsidRPr="00594181">
        <w:t xml:space="preserve">Autism inhibits D.P.’s ability to perceive danger and she has a tendency to wander (elope).  </w:t>
      </w:r>
      <w:r>
        <w:t xml:space="preserve">Hypotonia means decreased muscle tone. MedlinePlus Medical Encyclopedia, </w:t>
      </w:r>
      <w:r w:rsidRPr="004A49D5">
        <w:t xml:space="preserve">http://www.nlm.nih.gov/medlineplus/ency/article/003298.htm </w:t>
      </w:r>
      <w:r>
        <w:t>(last visited February 2, 2015).  D</w:t>
      </w:r>
      <w:r w:rsidRPr="00594181">
        <w:t>.P. also has a history of prolonged grand mal seizures that, if allowed to progress to their full force, could be fatal.</w:t>
      </w:r>
    </w:p>
  </w:footnote>
  <w:footnote w:id="4">
    <w:p w:rsidR="00B56061" w:rsidRPr="00D10AEC" w:rsidRDefault="00B56061">
      <w:pPr>
        <w:pStyle w:val="FootnoteText"/>
        <w:rPr>
          <w:i/>
        </w:rPr>
      </w:pPr>
      <w:r>
        <w:rPr>
          <w:rStyle w:val="FootnoteReference"/>
        </w:rPr>
        <w:footnoteRef/>
      </w:r>
      <w:r>
        <w:t xml:space="preserve"> </w:t>
      </w:r>
      <w:r w:rsidRPr="00594181">
        <w:t>S</w:t>
      </w:r>
      <w:r w:rsidRPr="00B1403A">
        <w:t>timming refers to repetitive body movements or repetitive movement of objects (e.g</w:t>
      </w:r>
      <w:r>
        <w:t>.,</w:t>
      </w:r>
      <w:r w:rsidRPr="00B1403A">
        <w:rPr>
          <w:rFonts w:cs="Helvetica"/>
        </w:rPr>
        <w:t xml:space="preserve"> flapping arms over and over).</w:t>
      </w:r>
      <w:r w:rsidRPr="00F75E26">
        <w:rPr>
          <w:rFonts w:cs="Helvetica"/>
        </w:rPr>
        <w:t xml:space="preserve"> </w:t>
      </w:r>
      <w:r>
        <w:rPr>
          <w:rFonts w:cs="Helvetica"/>
        </w:rPr>
        <w:t>Center for Disease Control and Prevention, Autism Spectrum Disorder, Signs and Symptoms,</w:t>
      </w:r>
      <w:r w:rsidRPr="00F75E26">
        <w:rPr>
          <w:rFonts w:cs="Helvetica"/>
        </w:rPr>
        <w:t xml:space="preserve"> </w:t>
      </w:r>
      <w:hyperlink r:id="rId1" w:history="1">
        <w:r w:rsidRPr="00F75E26">
          <w:rPr>
            <w:rStyle w:val="Hyperlink"/>
          </w:rPr>
          <w:t>http://www.cdc.gov/ncbddd/autism/signs.html</w:t>
        </w:r>
      </w:hyperlink>
      <w:r>
        <w:t xml:space="preserve"> </w:t>
      </w:r>
      <w:r w:rsidRPr="00594181">
        <w:t>(last visited January 30, 2015).</w:t>
      </w:r>
    </w:p>
  </w:footnote>
  <w:footnote w:id="5">
    <w:p w:rsidR="00B56061" w:rsidRDefault="00B56061">
      <w:pPr>
        <w:pStyle w:val="FootnoteText"/>
      </w:pPr>
      <w:r>
        <w:rPr>
          <w:rStyle w:val="FootnoteReference"/>
        </w:rPr>
        <w:footnoteRef/>
      </w:r>
      <w:r>
        <w:t xml:space="preserve"> When working, service dogs often have a harness with a handle as well a leash.  </w:t>
      </w:r>
      <w:r>
        <w:rPr>
          <w:i/>
        </w:rPr>
        <w:t>See</w:t>
      </w:r>
      <w:r>
        <w:t xml:space="preserve"> 28 C.F.R. 35.136(d).  Some individuals use the harness, some the leash, and some use both.  In this case, D.P. uses both.  The harness provides D.P with the support she requires to ambulate independently and the leash is used to tether D.P. to her Service Dog to prevent her from eloping.</w:t>
      </w:r>
    </w:p>
  </w:footnote>
  <w:footnote w:id="6">
    <w:p w:rsidR="00B56061" w:rsidRDefault="00B56061" w:rsidP="009A1CC1">
      <w:pPr>
        <w:pStyle w:val="FootnoteText"/>
      </w:pPr>
      <w:r>
        <w:rPr>
          <w:rStyle w:val="FootnoteReference"/>
        </w:rPr>
        <w:footnoteRef/>
      </w:r>
      <w:r>
        <w:t xml:space="preserve">  March 1, 2012, document provided by Gates-Chili Central School District.</w:t>
      </w:r>
    </w:p>
  </w:footnote>
  <w:footnote w:id="7">
    <w:p w:rsidR="00B56061" w:rsidRDefault="00B56061" w:rsidP="00072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t xml:space="preserve"> “</w:t>
      </w:r>
      <w:r w:rsidRPr="003F31D4">
        <w:rPr>
          <w:sz w:val="20"/>
        </w:rPr>
        <w:t>Snuggle</w:t>
      </w:r>
      <w:r>
        <w:rPr>
          <w:sz w:val="20"/>
        </w:rPr>
        <w:t>”</w:t>
      </w:r>
      <w:r w:rsidRPr="003F31D4">
        <w:rPr>
          <w:sz w:val="20"/>
        </w:rPr>
        <w:t xml:space="preserve"> is the command for the Service Dog to press its body against D.P.</w:t>
      </w:r>
      <w:r>
        <w:t xml:space="preserve"> </w:t>
      </w:r>
    </w:p>
  </w:footnote>
  <w:footnote w:id="8">
    <w:p w:rsidR="00B56061" w:rsidRDefault="00B56061" w:rsidP="007B1A29">
      <w:pPr>
        <w:pStyle w:val="FootnoteText"/>
      </w:pPr>
      <w:r>
        <w:rPr>
          <w:rStyle w:val="FootnoteReference"/>
        </w:rPr>
        <w:footnoteRef/>
      </w:r>
      <w:r>
        <w:t xml:space="preserve"> Although not directly addressed in this analysis, the ADA’s effective communication requirements also have relevance here.  </w:t>
      </w:r>
      <w:r w:rsidRPr="000724C1">
        <w:rPr>
          <w:i/>
        </w:rPr>
        <w:t>See</w:t>
      </w:r>
      <w:r>
        <w:t xml:space="preserve"> 28 C.F.R. § 35.160.</w:t>
      </w:r>
    </w:p>
    <w:p w:rsidR="00B56061" w:rsidRDefault="00B56061">
      <w:pPr>
        <w:pStyle w:val="FootnoteText"/>
      </w:pPr>
    </w:p>
  </w:footnote>
  <w:footnote w:id="9">
    <w:p w:rsidR="00B56061" w:rsidRDefault="00B56061">
      <w:pPr>
        <w:pStyle w:val="FootnoteText"/>
      </w:pPr>
      <w:r>
        <w:rPr>
          <w:rStyle w:val="FootnoteReference"/>
        </w:rPr>
        <w:footnoteRef/>
      </w:r>
      <w:r>
        <w:t xml:space="preserve"> </w:t>
      </w:r>
      <w:r w:rsidRPr="00877E06">
        <w:t>Care and supervision is a distinct responsibility and different from handling.  Care and supervision relates to the animal’s health and wellbeing and includes such things a</w:t>
      </w:r>
      <w:r>
        <w:t>s</w:t>
      </w:r>
      <w:r w:rsidRPr="00877E06">
        <w:t xml:space="preserve"> proper veterinary care as well as feeding, walking, and grooming the animal.  </w:t>
      </w:r>
      <w:r w:rsidRPr="00877E06">
        <w:rPr>
          <w:i/>
        </w:rPr>
        <w:t>See</w:t>
      </w:r>
      <w:r w:rsidRPr="00877E06">
        <w:t xml:space="preserve"> 28 C.F.R. §§ 35.136(e)</w:t>
      </w:r>
      <w:r>
        <w:t xml:space="preserve"> and accompanying guidance at </w:t>
      </w:r>
      <w:r w:rsidRPr="00877E06">
        <w:rPr>
          <w:rStyle w:val="Strong"/>
          <w:b w:val="0"/>
          <w:color w:val="000000"/>
        </w:rPr>
        <w:t xml:space="preserve">Appendix A </w:t>
      </w:r>
      <w:r>
        <w:rPr>
          <w:rStyle w:val="Strong"/>
          <w:b w:val="0"/>
          <w:color w:val="000000"/>
        </w:rPr>
        <w:t xml:space="preserve">§ 35.136.  </w:t>
      </w:r>
      <w:r w:rsidRPr="00877E06">
        <w:t>The care and supervision of the Service Dog is not at issue here since the Service Dog does not require any walking, feeding, grooming</w:t>
      </w:r>
      <w:r>
        <w:t>,</w:t>
      </w:r>
      <w:r w:rsidRPr="00877E06">
        <w:t xml:space="preserve"> or veterinary care while D.P. is at school</w:t>
      </w:r>
      <w:r>
        <w:t>.</w:t>
      </w:r>
    </w:p>
  </w:footnote>
  <w:footnote w:id="10">
    <w:p w:rsidR="00B56061" w:rsidRDefault="00B56061" w:rsidP="00F2117B">
      <w:pPr>
        <w:pStyle w:val="FootnoteText"/>
      </w:pPr>
      <w:r>
        <w:rPr>
          <w:rStyle w:val="FootnoteReference"/>
        </w:rPr>
        <w:footnoteRef/>
      </w:r>
      <w:r>
        <w:t xml:space="preserve"> Please note that this Letter of Findings is a public document and will be posted on the Civil Rights Division’s website.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A6" w:rsidRDefault="00F90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61" w:rsidRDefault="00B56061" w:rsidP="00C9230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61" w:rsidRPr="001E2B0D" w:rsidRDefault="00B56061" w:rsidP="00C25630">
    <w:pPr>
      <w:spacing w:line="360" w:lineRule="auto"/>
      <w:ind w:left="5040"/>
      <w:rPr>
        <w:b/>
        <w:bCs/>
        <w:color w:val="000000"/>
        <w:szCs w:val="24"/>
      </w:rPr>
    </w:pPr>
    <w:r>
      <w:rPr>
        <w:b/>
        <w:bCs/>
        <w:noProof/>
        <w:color w:val="000000"/>
        <w:szCs w:val="24"/>
      </w:rPr>
      <w:drawing>
        <wp:anchor distT="57150" distB="57150" distL="57150" distR="57150" simplePos="0" relativeHeight="251658752" behindDoc="0" locked="0" layoutInCell="0" allowOverlap="1">
          <wp:simplePos x="0" y="0"/>
          <wp:positionH relativeFrom="margin">
            <wp:posOffset>-46355</wp:posOffset>
          </wp:positionH>
          <wp:positionV relativeFrom="margin">
            <wp:posOffset>-1301750</wp:posOffset>
          </wp:positionV>
          <wp:extent cx="955040" cy="783590"/>
          <wp:effectExtent l="19050" t="0" r="0" b="0"/>
          <wp:wrapSquare wrapText="bothSides"/>
          <wp:docPr id="3" name="Picture 2"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55040" cy="783590"/>
                  </a:xfrm>
                  <a:prstGeom prst="rect">
                    <a:avLst/>
                  </a:prstGeom>
                  <a:noFill/>
                  <a:ln w="9525">
                    <a:noFill/>
                    <a:miter lim="800000"/>
                    <a:headEnd/>
                    <a:tailEnd/>
                  </a:ln>
                </pic:spPr>
              </pic:pic>
            </a:graphicData>
          </a:graphic>
        </wp:anchor>
      </w:drawing>
    </w:r>
    <w:r w:rsidRPr="001E2B0D">
      <w:rPr>
        <w:b/>
        <w:bCs/>
        <w:color w:val="000000"/>
        <w:szCs w:val="24"/>
      </w:rPr>
      <w:t>U.S. Department of Justice</w:t>
    </w:r>
  </w:p>
  <w:p w:rsidR="00B56061" w:rsidRPr="001E2B0D" w:rsidRDefault="00B56061" w:rsidP="00C25630">
    <w:pPr>
      <w:spacing w:line="360" w:lineRule="auto"/>
      <w:ind w:left="5040"/>
      <w:rPr>
        <w:color w:val="000000"/>
        <w:szCs w:val="24"/>
      </w:rPr>
    </w:pPr>
    <w:r w:rsidRPr="001E2B0D">
      <w:rPr>
        <w:color w:val="000000"/>
        <w:szCs w:val="24"/>
      </w:rPr>
      <w:t>Civil Rights Division</w:t>
    </w:r>
  </w:p>
  <w:p w:rsidR="00B56061" w:rsidRPr="001E2B0D" w:rsidRDefault="009840B9" w:rsidP="00C25630">
    <w:pPr>
      <w:ind w:left="5040"/>
      <w:rPr>
        <w:i/>
        <w:iCs/>
        <w:color w:val="000000"/>
        <w:sz w:val="16"/>
        <w:szCs w:val="16"/>
      </w:rPr>
    </w:pPr>
    <w:r w:rsidRPr="009840B9">
      <w:rPr>
        <w:noProof/>
        <w:color w:val="000000"/>
      </w:rPr>
      <w:pict>
        <v:line id="_x0000_s2049" style="position:absolute;left:0;text-align:left;z-index:251656704;mso-position-horizontal-relative:page;mso-position-vertical-relative:page" from="1in,76.5pt" to="8in,76.5pt" o:allowincell="f" strokecolor="#020000" strokeweight=".96pt">
          <w10:wrap anchorx="page" anchory="page"/>
        </v:line>
      </w:pict>
    </w:r>
  </w:p>
  <w:p w:rsidR="00B56061" w:rsidRPr="001E2B0D" w:rsidRDefault="00B56061" w:rsidP="00C25630">
    <w:pPr>
      <w:ind w:left="5040" w:right="-360"/>
      <w:rPr>
        <w:i/>
        <w:iCs/>
        <w:color w:val="000000"/>
        <w:sz w:val="16"/>
        <w:szCs w:val="16"/>
      </w:rPr>
    </w:pPr>
  </w:p>
  <w:p w:rsidR="00B56061" w:rsidRDefault="009840B9" w:rsidP="00D46683">
    <w:pPr>
      <w:ind w:left="5040"/>
      <w:rPr>
        <w:i/>
        <w:iCs/>
        <w:sz w:val="16"/>
        <w:szCs w:val="16"/>
      </w:rPr>
    </w:pPr>
    <w:r w:rsidRPr="009840B9">
      <w:rPr>
        <w:noProof/>
      </w:rPr>
      <w:pict>
        <v:line id="_x0000_s2050" style="position:absolute;left:0;text-align:left;z-index:251657728;mso-position-horizontal-relative:margin" from="0,12pt" to="0,12pt" o:allowincell="f" strokecolor="#020000" strokeweight=".96pt">
          <w10:wrap anchorx="margin"/>
        </v:line>
      </w:pict>
    </w:r>
    <w:r w:rsidR="00B56061">
      <w:rPr>
        <w:i/>
        <w:iCs/>
        <w:sz w:val="16"/>
        <w:szCs w:val="16"/>
      </w:rPr>
      <w:t>Disability Rights Section - NYA</w:t>
    </w:r>
  </w:p>
  <w:p w:rsidR="00B56061" w:rsidRDefault="00B56061" w:rsidP="00D46683">
    <w:pPr>
      <w:ind w:left="5040"/>
      <w:rPr>
        <w:i/>
        <w:iCs/>
        <w:sz w:val="16"/>
        <w:szCs w:val="16"/>
      </w:rPr>
    </w:pPr>
    <w:r>
      <w:rPr>
        <w:i/>
        <w:iCs/>
        <w:sz w:val="16"/>
        <w:szCs w:val="16"/>
      </w:rPr>
      <w:t>950 Pennsylvania Ave, NW</w:t>
    </w:r>
  </w:p>
  <w:p w:rsidR="00B56061" w:rsidRPr="006736E6" w:rsidRDefault="00B56061" w:rsidP="00D46683">
    <w:pPr>
      <w:ind w:left="5040"/>
      <w:rPr>
        <w:i/>
        <w:iCs/>
        <w:color w:val="000000"/>
        <w:sz w:val="16"/>
        <w:szCs w:val="16"/>
      </w:rPr>
    </w:pPr>
    <w:r>
      <w:rPr>
        <w:i/>
        <w:iCs/>
        <w:sz w:val="16"/>
        <w:szCs w:val="16"/>
      </w:rPr>
      <w:t>Washington, DC  20530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12C0F0"/>
    <w:lvl w:ilvl="0">
      <w:start w:val="1"/>
      <w:numFmt w:val="decimal"/>
      <w:lvlText w:val="%1."/>
      <w:lvlJc w:val="left"/>
      <w:pPr>
        <w:tabs>
          <w:tab w:val="num" w:pos="1800"/>
        </w:tabs>
        <w:ind w:left="1800" w:hanging="360"/>
      </w:pPr>
    </w:lvl>
  </w:abstractNum>
  <w:abstractNum w:abstractNumId="1">
    <w:nsid w:val="FFFFFF7D"/>
    <w:multiLevelType w:val="singleLevel"/>
    <w:tmpl w:val="0C081456"/>
    <w:lvl w:ilvl="0">
      <w:start w:val="1"/>
      <w:numFmt w:val="decimal"/>
      <w:lvlText w:val="%1."/>
      <w:lvlJc w:val="left"/>
      <w:pPr>
        <w:tabs>
          <w:tab w:val="num" w:pos="1440"/>
        </w:tabs>
        <w:ind w:left="1440" w:hanging="360"/>
      </w:pPr>
    </w:lvl>
  </w:abstractNum>
  <w:abstractNum w:abstractNumId="2">
    <w:nsid w:val="FFFFFF7E"/>
    <w:multiLevelType w:val="singleLevel"/>
    <w:tmpl w:val="FDBCB772"/>
    <w:lvl w:ilvl="0">
      <w:start w:val="1"/>
      <w:numFmt w:val="decimal"/>
      <w:lvlText w:val="%1."/>
      <w:lvlJc w:val="left"/>
      <w:pPr>
        <w:tabs>
          <w:tab w:val="num" w:pos="1080"/>
        </w:tabs>
        <w:ind w:left="1080" w:hanging="360"/>
      </w:pPr>
    </w:lvl>
  </w:abstractNum>
  <w:abstractNum w:abstractNumId="3">
    <w:nsid w:val="FFFFFF7F"/>
    <w:multiLevelType w:val="singleLevel"/>
    <w:tmpl w:val="CCD226F6"/>
    <w:lvl w:ilvl="0">
      <w:start w:val="1"/>
      <w:numFmt w:val="decimal"/>
      <w:lvlText w:val="%1."/>
      <w:lvlJc w:val="left"/>
      <w:pPr>
        <w:tabs>
          <w:tab w:val="num" w:pos="720"/>
        </w:tabs>
        <w:ind w:left="720" w:hanging="360"/>
      </w:pPr>
    </w:lvl>
  </w:abstractNum>
  <w:abstractNum w:abstractNumId="4">
    <w:nsid w:val="FFFFFF80"/>
    <w:multiLevelType w:val="singleLevel"/>
    <w:tmpl w:val="7B9EF6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3C2A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1C4C1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BA81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EBB94"/>
    <w:lvl w:ilvl="0">
      <w:start w:val="1"/>
      <w:numFmt w:val="decimal"/>
      <w:lvlText w:val="%1."/>
      <w:lvlJc w:val="left"/>
      <w:pPr>
        <w:tabs>
          <w:tab w:val="num" w:pos="360"/>
        </w:tabs>
        <w:ind w:left="360" w:hanging="360"/>
      </w:pPr>
    </w:lvl>
  </w:abstractNum>
  <w:abstractNum w:abstractNumId="9">
    <w:nsid w:val="FFFFFF89"/>
    <w:multiLevelType w:val="singleLevel"/>
    <w:tmpl w:val="16DE8D7C"/>
    <w:lvl w:ilvl="0">
      <w:start w:val="1"/>
      <w:numFmt w:val="bullet"/>
      <w:lvlText w:val=""/>
      <w:lvlJc w:val="left"/>
      <w:pPr>
        <w:tabs>
          <w:tab w:val="num" w:pos="360"/>
        </w:tabs>
        <w:ind w:left="360" w:hanging="360"/>
      </w:pPr>
      <w:rPr>
        <w:rFonts w:ascii="Symbol" w:hAnsi="Symbol" w:hint="default"/>
      </w:rPr>
    </w:lvl>
  </w:abstractNum>
  <w:abstractNum w:abstractNumId="10">
    <w:nsid w:val="0A812571"/>
    <w:multiLevelType w:val="multilevel"/>
    <w:tmpl w:val="5DCCCCB0"/>
    <w:name w:val="Numbers 22"/>
    <w:lvl w:ilvl="0">
      <w:start w:val="1"/>
      <w:numFmt w:val="decimal"/>
      <w:lvlRestart w:val="0"/>
      <w:lvlText w:val="%1."/>
      <w:lvlJc w:val="left"/>
      <w:pPr>
        <w:ind w:left="360" w:hanging="720"/>
      </w:pPr>
      <w:rPr>
        <w:rFonts w:cs="Times New Roman"/>
      </w:rPr>
    </w:lvl>
    <w:lvl w:ilvl="1">
      <w:start w:val="1"/>
      <w:numFmt w:val="decimal"/>
      <w:lvlText w:val="%2."/>
      <w:lvlJc w:val="left"/>
      <w:pPr>
        <w:ind w:left="1080" w:hanging="108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2128EF"/>
    <w:multiLevelType w:val="hybridMultilevel"/>
    <w:tmpl w:val="A608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692FEE"/>
    <w:multiLevelType w:val="hybridMultilevel"/>
    <w:tmpl w:val="A8C0672E"/>
    <w:lvl w:ilvl="0" w:tplc="CA280B5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7346C4"/>
    <w:multiLevelType w:val="hybridMultilevel"/>
    <w:tmpl w:val="3DC8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0640E"/>
    <w:multiLevelType w:val="hybridMultilevel"/>
    <w:tmpl w:val="6B0881EC"/>
    <w:lvl w:ilvl="0" w:tplc="EC74D7D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CC62C95"/>
    <w:multiLevelType w:val="hybridMultilevel"/>
    <w:tmpl w:val="02A002AE"/>
    <w:lvl w:ilvl="0" w:tplc="4D6214E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E4411C"/>
    <w:multiLevelType w:val="hybridMultilevel"/>
    <w:tmpl w:val="0C6A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33A32"/>
    <w:multiLevelType w:val="hybridMultilevel"/>
    <w:tmpl w:val="7C86A84E"/>
    <w:lvl w:ilvl="0" w:tplc="5DEEF3DE">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6"/>
  </w:num>
  <w:num w:numId="5">
    <w:abstractNumId w:val="15"/>
  </w:num>
  <w:num w:numId="6">
    <w:abstractNumId w:val="17"/>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rsids>
    <w:rsidRoot w:val="00931560"/>
    <w:rsid w:val="00001148"/>
    <w:rsid w:val="00011374"/>
    <w:rsid w:val="00015656"/>
    <w:rsid w:val="00026A56"/>
    <w:rsid w:val="000412EB"/>
    <w:rsid w:val="00044A0F"/>
    <w:rsid w:val="00047142"/>
    <w:rsid w:val="0005269F"/>
    <w:rsid w:val="000533FF"/>
    <w:rsid w:val="00054A34"/>
    <w:rsid w:val="00055515"/>
    <w:rsid w:val="00056E3A"/>
    <w:rsid w:val="000576F2"/>
    <w:rsid w:val="0006050B"/>
    <w:rsid w:val="0006052F"/>
    <w:rsid w:val="00061C7D"/>
    <w:rsid w:val="000724B1"/>
    <w:rsid w:val="000724C1"/>
    <w:rsid w:val="00075468"/>
    <w:rsid w:val="00075F59"/>
    <w:rsid w:val="000775B8"/>
    <w:rsid w:val="00091513"/>
    <w:rsid w:val="00091713"/>
    <w:rsid w:val="000A0375"/>
    <w:rsid w:val="000B6416"/>
    <w:rsid w:val="000C3912"/>
    <w:rsid w:val="000D5DFA"/>
    <w:rsid w:val="000D6892"/>
    <w:rsid w:val="000E1892"/>
    <w:rsid w:val="000E4437"/>
    <w:rsid w:val="000F5EF7"/>
    <w:rsid w:val="000F7F14"/>
    <w:rsid w:val="00101500"/>
    <w:rsid w:val="00102EF4"/>
    <w:rsid w:val="001103F4"/>
    <w:rsid w:val="001147B6"/>
    <w:rsid w:val="00121226"/>
    <w:rsid w:val="00122034"/>
    <w:rsid w:val="001257DA"/>
    <w:rsid w:val="001270F7"/>
    <w:rsid w:val="001339CF"/>
    <w:rsid w:val="00144137"/>
    <w:rsid w:val="00152320"/>
    <w:rsid w:val="0015255A"/>
    <w:rsid w:val="001755D3"/>
    <w:rsid w:val="001758D5"/>
    <w:rsid w:val="0018771E"/>
    <w:rsid w:val="001A0518"/>
    <w:rsid w:val="001B3378"/>
    <w:rsid w:val="001B64CC"/>
    <w:rsid w:val="001C2D03"/>
    <w:rsid w:val="001E2B0D"/>
    <w:rsid w:val="001E7123"/>
    <w:rsid w:val="001F4152"/>
    <w:rsid w:val="001F6424"/>
    <w:rsid w:val="0020464F"/>
    <w:rsid w:val="00213161"/>
    <w:rsid w:val="00213931"/>
    <w:rsid w:val="00217408"/>
    <w:rsid w:val="00221F91"/>
    <w:rsid w:val="00223C4E"/>
    <w:rsid w:val="00230E8A"/>
    <w:rsid w:val="002339AA"/>
    <w:rsid w:val="00237537"/>
    <w:rsid w:val="002410E0"/>
    <w:rsid w:val="00241836"/>
    <w:rsid w:val="002425E0"/>
    <w:rsid w:val="00243394"/>
    <w:rsid w:val="00245B36"/>
    <w:rsid w:val="00272776"/>
    <w:rsid w:val="00281077"/>
    <w:rsid w:val="0028177D"/>
    <w:rsid w:val="00281C20"/>
    <w:rsid w:val="00282552"/>
    <w:rsid w:val="00282A9E"/>
    <w:rsid w:val="002916D6"/>
    <w:rsid w:val="00292B48"/>
    <w:rsid w:val="00292D29"/>
    <w:rsid w:val="00295D4F"/>
    <w:rsid w:val="0029613D"/>
    <w:rsid w:val="002A4928"/>
    <w:rsid w:val="002A4B89"/>
    <w:rsid w:val="002A72E7"/>
    <w:rsid w:val="002A7D11"/>
    <w:rsid w:val="002B498C"/>
    <w:rsid w:val="002C30D8"/>
    <w:rsid w:val="002C6546"/>
    <w:rsid w:val="002C7CAD"/>
    <w:rsid w:val="002D5A02"/>
    <w:rsid w:val="002D7E77"/>
    <w:rsid w:val="002E1F53"/>
    <w:rsid w:val="002E683F"/>
    <w:rsid w:val="002F2AF4"/>
    <w:rsid w:val="002F2C4D"/>
    <w:rsid w:val="003015B7"/>
    <w:rsid w:val="00310CDD"/>
    <w:rsid w:val="0032116E"/>
    <w:rsid w:val="003339ED"/>
    <w:rsid w:val="0034400F"/>
    <w:rsid w:val="00347A4C"/>
    <w:rsid w:val="00353717"/>
    <w:rsid w:val="00366F53"/>
    <w:rsid w:val="003721C8"/>
    <w:rsid w:val="00374AB7"/>
    <w:rsid w:val="00391B19"/>
    <w:rsid w:val="003931F1"/>
    <w:rsid w:val="003937BA"/>
    <w:rsid w:val="00394810"/>
    <w:rsid w:val="003A328B"/>
    <w:rsid w:val="003B167B"/>
    <w:rsid w:val="003B41E3"/>
    <w:rsid w:val="003B4CA9"/>
    <w:rsid w:val="003B5DCD"/>
    <w:rsid w:val="003B7E29"/>
    <w:rsid w:val="003C0429"/>
    <w:rsid w:val="003C1FA7"/>
    <w:rsid w:val="003E0631"/>
    <w:rsid w:val="003E512D"/>
    <w:rsid w:val="003E61FF"/>
    <w:rsid w:val="003F0A97"/>
    <w:rsid w:val="003F1A61"/>
    <w:rsid w:val="003F31D4"/>
    <w:rsid w:val="003F3946"/>
    <w:rsid w:val="003F728F"/>
    <w:rsid w:val="00413833"/>
    <w:rsid w:val="0042776E"/>
    <w:rsid w:val="00435894"/>
    <w:rsid w:val="0045009F"/>
    <w:rsid w:val="00450A96"/>
    <w:rsid w:val="00454FEE"/>
    <w:rsid w:val="00461486"/>
    <w:rsid w:val="00464F11"/>
    <w:rsid w:val="00474057"/>
    <w:rsid w:val="004744B9"/>
    <w:rsid w:val="00483251"/>
    <w:rsid w:val="0049288D"/>
    <w:rsid w:val="004929C4"/>
    <w:rsid w:val="004A0E29"/>
    <w:rsid w:val="004A49D5"/>
    <w:rsid w:val="004B4E15"/>
    <w:rsid w:val="004C1AEA"/>
    <w:rsid w:val="004C2767"/>
    <w:rsid w:val="004D2F3C"/>
    <w:rsid w:val="004D5016"/>
    <w:rsid w:val="004D601F"/>
    <w:rsid w:val="004F3881"/>
    <w:rsid w:val="00504992"/>
    <w:rsid w:val="00505868"/>
    <w:rsid w:val="00513863"/>
    <w:rsid w:val="00514266"/>
    <w:rsid w:val="00515926"/>
    <w:rsid w:val="0051770F"/>
    <w:rsid w:val="0052753E"/>
    <w:rsid w:val="00534756"/>
    <w:rsid w:val="00540EA6"/>
    <w:rsid w:val="00547E6D"/>
    <w:rsid w:val="00551AF4"/>
    <w:rsid w:val="00554995"/>
    <w:rsid w:val="0055728E"/>
    <w:rsid w:val="005607CD"/>
    <w:rsid w:val="0056160C"/>
    <w:rsid w:val="005644D1"/>
    <w:rsid w:val="005762A7"/>
    <w:rsid w:val="00581145"/>
    <w:rsid w:val="00586068"/>
    <w:rsid w:val="00587939"/>
    <w:rsid w:val="00594181"/>
    <w:rsid w:val="00595666"/>
    <w:rsid w:val="005B2B49"/>
    <w:rsid w:val="005C3279"/>
    <w:rsid w:val="005E38BF"/>
    <w:rsid w:val="005E73EB"/>
    <w:rsid w:val="005F6A2F"/>
    <w:rsid w:val="00616A81"/>
    <w:rsid w:val="0062162D"/>
    <w:rsid w:val="00621682"/>
    <w:rsid w:val="00622E24"/>
    <w:rsid w:val="00632EBB"/>
    <w:rsid w:val="00633A1A"/>
    <w:rsid w:val="0063783F"/>
    <w:rsid w:val="00653B17"/>
    <w:rsid w:val="00653BDE"/>
    <w:rsid w:val="00671520"/>
    <w:rsid w:val="006736E6"/>
    <w:rsid w:val="006759A7"/>
    <w:rsid w:val="006854D0"/>
    <w:rsid w:val="006B28EA"/>
    <w:rsid w:val="006B623C"/>
    <w:rsid w:val="006B6AD2"/>
    <w:rsid w:val="006C0D99"/>
    <w:rsid w:val="006D5A96"/>
    <w:rsid w:val="006E5B64"/>
    <w:rsid w:val="006F257D"/>
    <w:rsid w:val="006F5EC1"/>
    <w:rsid w:val="00700989"/>
    <w:rsid w:val="0073110C"/>
    <w:rsid w:val="00731FDF"/>
    <w:rsid w:val="0073377E"/>
    <w:rsid w:val="00745964"/>
    <w:rsid w:val="007763CC"/>
    <w:rsid w:val="00780013"/>
    <w:rsid w:val="007855E4"/>
    <w:rsid w:val="00785B29"/>
    <w:rsid w:val="00792ACC"/>
    <w:rsid w:val="00795563"/>
    <w:rsid w:val="00797BEA"/>
    <w:rsid w:val="007A68A8"/>
    <w:rsid w:val="007A7035"/>
    <w:rsid w:val="007B1A29"/>
    <w:rsid w:val="007B3060"/>
    <w:rsid w:val="007B54E0"/>
    <w:rsid w:val="007B5B00"/>
    <w:rsid w:val="007B5D0C"/>
    <w:rsid w:val="007E0018"/>
    <w:rsid w:val="007E6D1B"/>
    <w:rsid w:val="007F3462"/>
    <w:rsid w:val="007F4F3A"/>
    <w:rsid w:val="00817B00"/>
    <w:rsid w:val="00831F81"/>
    <w:rsid w:val="00833A51"/>
    <w:rsid w:val="00836D3E"/>
    <w:rsid w:val="00841097"/>
    <w:rsid w:val="00850FD4"/>
    <w:rsid w:val="008515DE"/>
    <w:rsid w:val="00857CFB"/>
    <w:rsid w:val="00877E06"/>
    <w:rsid w:val="00882959"/>
    <w:rsid w:val="00883798"/>
    <w:rsid w:val="008843C5"/>
    <w:rsid w:val="008964FA"/>
    <w:rsid w:val="00896551"/>
    <w:rsid w:val="008A1904"/>
    <w:rsid w:val="008B339D"/>
    <w:rsid w:val="008B6AB3"/>
    <w:rsid w:val="008B6EFE"/>
    <w:rsid w:val="008C13EC"/>
    <w:rsid w:val="008D0B1B"/>
    <w:rsid w:val="008D65F6"/>
    <w:rsid w:val="008D6DB4"/>
    <w:rsid w:val="008E13BA"/>
    <w:rsid w:val="008E1D74"/>
    <w:rsid w:val="008E41CC"/>
    <w:rsid w:val="008E4835"/>
    <w:rsid w:val="008F7C4B"/>
    <w:rsid w:val="009026ED"/>
    <w:rsid w:val="00902CCC"/>
    <w:rsid w:val="009073A4"/>
    <w:rsid w:val="00907BB3"/>
    <w:rsid w:val="00907E1B"/>
    <w:rsid w:val="0091277D"/>
    <w:rsid w:val="00913AD9"/>
    <w:rsid w:val="00922B66"/>
    <w:rsid w:val="009267EB"/>
    <w:rsid w:val="00931560"/>
    <w:rsid w:val="0093174C"/>
    <w:rsid w:val="0093677C"/>
    <w:rsid w:val="00945111"/>
    <w:rsid w:val="00950A89"/>
    <w:rsid w:val="00961536"/>
    <w:rsid w:val="00973E1E"/>
    <w:rsid w:val="009840B9"/>
    <w:rsid w:val="00997F03"/>
    <w:rsid w:val="009A1CC1"/>
    <w:rsid w:val="009A5792"/>
    <w:rsid w:val="009B0534"/>
    <w:rsid w:val="009C7E1B"/>
    <w:rsid w:val="009D5BA3"/>
    <w:rsid w:val="009E29B4"/>
    <w:rsid w:val="009F205B"/>
    <w:rsid w:val="009F5121"/>
    <w:rsid w:val="00A03CDD"/>
    <w:rsid w:val="00A23EFE"/>
    <w:rsid w:val="00A25EC0"/>
    <w:rsid w:val="00A37A65"/>
    <w:rsid w:val="00A40D4A"/>
    <w:rsid w:val="00A503C7"/>
    <w:rsid w:val="00A52BB1"/>
    <w:rsid w:val="00A54360"/>
    <w:rsid w:val="00A544A5"/>
    <w:rsid w:val="00A632FC"/>
    <w:rsid w:val="00A653B3"/>
    <w:rsid w:val="00A65C69"/>
    <w:rsid w:val="00A726AF"/>
    <w:rsid w:val="00A82FE8"/>
    <w:rsid w:val="00A86591"/>
    <w:rsid w:val="00A8674E"/>
    <w:rsid w:val="00A900A9"/>
    <w:rsid w:val="00AA06DE"/>
    <w:rsid w:val="00AA2C26"/>
    <w:rsid w:val="00AA7980"/>
    <w:rsid w:val="00AB4723"/>
    <w:rsid w:val="00AC2260"/>
    <w:rsid w:val="00AC5625"/>
    <w:rsid w:val="00AC7CE1"/>
    <w:rsid w:val="00AD7B68"/>
    <w:rsid w:val="00AE5472"/>
    <w:rsid w:val="00AE7305"/>
    <w:rsid w:val="00AF09AD"/>
    <w:rsid w:val="00B02B3C"/>
    <w:rsid w:val="00B059F8"/>
    <w:rsid w:val="00B21F23"/>
    <w:rsid w:val="00B22528"/>
    <w:rsid w:val="00B34021"/>
    <w:rsid w:val="00B42337"/>
    <w:rsid w:val="00B56061"/>
    <w:rsid w:val="00B5731A"/>
    <w:rsid w:val="00B62D52"/>
    <w:rsid w:val="00B66136"/>
    <w:rsid w:val="00B779E6"/>
    <w:rsid w:val="00B835E2"/>
    <w:rsid w:val="00B9520E"/>
    <w:rsid w:val="00BA041C"/>
    <w:rsid w:val="00BA0B88"/>
    <w:rsid w:val="00BB7686"/>
    <w:rsid w:val="00BD3D1B"/>
    <w:rsid w:val="00BF1C9C"/>
    <w:rsid w:val="00BF39D3"/>
    <w:rsid w:val="00C07F52"/>
    <w:rsid w:val="00C14B1E"/>
    <w:rsid w:val="00C16AD4"/>
    <w:rsid w:val="00C16EE3"/>
    <w:rsid w:val="00C17C9F"/>
    <w:rsid w:val="00C218BE"/>
    <w:rsid w:val="00C25630"/>
    <w:rsid w:val="00C2641D"/>
    <w:rsid w:val="00C27C35"/>
    <w:rsid w:val="00C421F2"/>
    <w:rsid w:val="00C4460D"/>
    <w:rsid w:val="00C4704A"/>
    <w:rsid w:val="00C50654"/>
    <w:rsid w:val="00C5298E"/>
    <w:rsid w:val="00C61BB8"/>
    <w:rsid w:val="00C62ADF"/>
    <w:rsid w:val="00C645F5"/>
    <w:rsid w:val="00C8245E"/>
    <w:rsid w:val="00C82CF2"/>
    <w:rsid w:val="00C92304"/>
    <w:rsid w:val="00C97498"/>
    <w:rsid w:val="00CA4D9B"/>
    <w:rsid w:val="00CB67C3"/>
    <w:rsid w:val="00CB7F21"/>
    <w:rsid w:val="00CC4455"/>
    <w:rsid w:val="00CD08E5"/>
    <w:rsid w:val="00CE076B"/>
    <w:rsid w:val="00CE6048"/>
    <w:rsid w:val="00CF18E0"/>
    <w:rsid w:val="00D01975"/>
    <w:rsid w:val="00D0678D"/>
    <w:rsid w:val="00D10078"/>
    <w:rsid w:val="00D10AEC"/>
    <w:rsid w:val="00D21F7E"/>
    <w:rsid w:val="00D26F3C"/>
    <w:rsid w:val="00D35A1B"/>
    <w:rsid w:val="00D444CF"/>
    <w:rsid w:val="00D44B57"/>
    <w:rsid w:val="00D46683"/>
    <w:rsid w:val="00D52FB2"/>
    <w:rsid w:val="00D5338C"/>
    <w:rsid w:val="00D56E44"/>
    <w:rsid w:val="00D64982"/>
    <w:rsid w:val="00D675ED"/>
    <w:rsid w:val="00D77E0D"/>
    <w:rsid w:val="00D8454C"/>
    <w:rsid w:val="00D90849"/>
    <w:rsid w:val="00D95F0F"/>
    <w:rsid w:val="00D97DC5"/>
    <w:rsid w:val="00DA2553"/>
    <w:rsid w:val="00DA5B90"/>
    <w:rsid w:val="00DB3291"/>
    <w:rsid w:val="00DB4A0A"/>
    <w:rsid w:val="00DB6797"/>
    <w:rsid w:val="00DC0302"/>
    <w:rsid w:val="00DC7A7B"/>
    <w:rsid w:val="00DD7E39"/>
    <w:rsid w:val="00DE773E"/>
    <w:rsid w:val="00DF1EAB"/>
    <w:rsid w:val="00DF26C9"/>
    <w:rsid w:val="00E24A6B"/>
    <w:rsid w:val="00E2745C"/>
    <w:rsid w:val="00E307B7"/>
    <w:rsid w:val="00E32074"/>
    <w:rsid w:val="00E36D19"/>
    <w:rsid w:val="00E4202D"/>
    <w:rsid w:val="00E5261C"/>
    <w:rsid w:val="00E529B2"/>
    <w:rsid w:val="00E60730"/>
    <w:rsid w:val="00E6093B"/>
    <w:rsid w:val="00E71976"/>
    <w:rsid w:val="00E746ED"/>
    <w:rsid w:val="00E80ABA"/>
    <w:rsid w:val="00E82280"/>
    <w:rsid w:val="00E90935"/>
    <w:rsid w:val="00E929C5"/>
    <w:rsid w:val="00E92ECD"/>
    <w:rsid w:val="00E9345E"/>
    <w:rsid w:val="00E93ECC"/>
    <w:rsid w:val="00EA24C1"/>
    <w:rsid w:val="00EA2871"/>
    <w:rsid w:val="00EA2A05"/>
    <w:rsid w:val="00EA5710"/>
    <w:rsid w:val="00EC1A68"/>
    <w:rsid w:val="00ED2220"/>
    <w:rsid w:val="00ED2CFC"/>
    <w:rsid w:val="00ED3B1C"/>
    <w:rsid w:val="00ED72AF"/>
    <w:rsid w:val="00ED7DC0"/>
    <w:rsid w:val="00F0573A"/>
    <w:rsid w:val="00F16261"/>
    <w:rsid w:val="00F1695D"/>
    <w:rsid w:val="00F17585"/>
    <w:rsid w:val="00F2117B"/>
    <w:rsid w:val="00F23E60"/>
    <w:rsid w:val="00F24087"/>
    <w:rsid w:val="00F36CE7"/>
    <w:rsid w:val="00F416E7"/>
    <w:rsid w:val="00F445BE"/>
    <w:rsid w:val="00F461A7"/>
    <w:rsid w:val="00F4648B"/>
    <w:rsid w:val="00F5222C"/>
    <w:rsid w:val="00F62F19"/>
    <w:rsid w:val="00F65B37"/>
    <w:rsid w:val="00F66EB4"/>
    <w:rsid w:val="00F72B19"/>
    <w:rsid w:val="00F86EC5"/>
    <w:rsid w:val="00F90EA6"/>
    <w:rsid w:val="00F93BFB"/>
    <w:rsid w:val="00F95A66"/>
    <w:rsid w:val="00F96922"/>
    <w:rsid w:val="00FB3A01"/>
    <w:rsid w:val="00FC5546"/>
    <w:rsid w:val="00FF5B4D"/>
    <w:rsid w:val="00FF7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F7"/>
    <w:pPr>
      <w:autoSpaceDE w:val="0"/>
      <w:autoSpaceDN w:val="0"/>
      <w:adjustRightInd w:val="0"/>
    </w:pPr>
    <w:rPr>
      <w:rFonts w:ascii="Times New Roman" w:hAnsi="Times New Roman"/>
      <w:sz w:val="24"/>
    </w:rPr>
  </w:style>
  <w:style w:type="paragraph" w:styleId="Heading1">
    <w:name w:val="heading 1"/>
    <w:basedOn w:val="Normal"/>
    <w:link w:val="Heading1Char"/>
    <w:qFormat/>
    <w:rsid w:val="00F95A66"/>
    <w:pPr>
      <w:ind w:left="1080" w:hanging="360"/>
      <w:outlineLvl w:val="0"/>
    </w:pPr>
  </w:style>
  <w:style w:type="paragraph" w:styleId="Heading2">
    <w:name w:val="heading 2"/>
    <w:basedOn w:val="Normal"/>
    <w:link w:val="Heading2Char"/>
    <w:qFormat/>
    <w:rsid w:val="00F95A66"/>
    <w:pPr>
      <w:numPr>
        <w:numId w:val="6"/>
      </w:numPr>
      <w:jc w:val="center"/>
      <w:outlineLvl w:val="1"/>
    </w:pPr>
    <w:rPr>
      <w:b/>
    </w:rPr>
  </w:style>
  <w:style w:type="paragraph" w:styleId="Heading3">
    <w:name w:val="heading 3"/>
    <w:basedOn w:val="Normal"/>
    <w:next w:val="Normal"/>
    <w:link w:val="Heading3Char"/>
    <w:uiPriority w:val="9"/>
    <w:unhideWhenUsed/>
    <w:qFormat/>
    <w:rsid w:val="00F95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8D"/>
    <w:rPr>
      <w:color w:val="808080"/>
    </w:rPr>
  </w:style>
  <w:style w:type="paragraph" w:styleId="BalloonText">
    <w:name w:val="Balloon Text"/>
    <w:basedOn w:val="Normal"/>
    <w:link w:val="BalloonTextChar"/>
    <w:uiPriority w:val="99"/>
    <w:semiHidden/>
    <w:unhideWhenUsed/>
    <w:rsid w:val="00896551"/>
    <w:rPr>
      <w:rFonts w:ascii="Tahoma" w:hAnsi="Tahoma" w:cs="Tahoma"/>
      <w:sz w:val="16"/>
      <w:szCs w:val="16"/>
    </w:rPr>
  </w:style>
  <w:style w:type="character" w:customStyle="1" w:styleId="BalloonTextChar">
    <w:name w:val="Balloon Text Char"/>
    <w:basedOn w:val="DefaultParagraphFont"/>
    <w:link w:val="BalloonText"/>
    <w:uiPriority w:val="99"/>
    <w:semiHidden/>
    <w:rsid w:val="00896551"/>
    <w:rPr>
      <w:rFonts w:ascii="Tahoma" w:hAnsi="Tahoma" w:cs="Tahoma"/>
      <w:sz w:val="16"/>
      <w:szCs w:val="16"/>
    </w:rPr>
  </w:style>
  <w:style w:type="paragraph" w:styleId="Header">
    <w:name w:val="header"/>
    <w:basedOn w:val="Normal"/>
    <w:link w:val="HeaderChar"/>
    <w:uiPriority w:val="99"/>
    <w:unhideWhenUsed/>
    <w:rsid w:val="007B5B00"/>
    <w:pPr>
      <w:tabs>
        <w:tab w:val="center" w:pos="4680"/>
        <w:tab w:val="right" w:pos="9360"/>
      </w:tabs>
    </w:pPr>
  </w:style>
  <w:style w:type="character" w:customStyle="1" w:styleId="HeaderChar">
    <w:name w:val="Header Char"/>
    <w:basedOn w:val="DefaultParagraphFont"/>
    <w:link w:val="Header"/>
    <w:uiPriority w:val="99"/>
    <w:rsid w:val="007B5B00"/>
    <w:rPr>
      <w:rFonts w:ascii="Times New Roman" w:hAnsi="Times New Roman" w:cs="Times New Roman"/>
      <w:sz w:val="24"/>
      <w:szCs w:val="20"/>
    </w:rPr>
  </w:style>
  <w:style w:type="paragraph" w:styleId="Footer">
    <w:name w:val="footer"/>
    <w:basedOn w:val="Normal"/>
    <w:link w:val="FooterChar"/>
    <w:uiPriority w:val="99"/>
    <w:unhideWhenUsed/>
    <w:rsid w:val="007B5B00"/>
    <w:pPr>
      <w:tabs>
        <w:tab w:val="center" w:pos="4680"/>
        <w:tab w:val="right" w:pos="9360"/>
      </w:tabs>
    </w:pPr>
  </w:style>
  <w:style w:type="character" w:customStyle="1" w:styleId="FooterChar">
    <w:name w:val="Footer Char"/>
    <w:basedOn w:val="DefaultParagraphFont"/>
    <w:link w:val="Footer"/>
    <w:uiPriority w:val="99"/>
    <w:rsid w:val="007B5B00"/>
    <w:rPr>
      <w:rFonts w:ascii="Times New Roman" w:hAnsi="Times New Roman" w:cs="Times New Roman"/>
      <w:sz w:val="24"/>
      <w:szCs w:val="20"/>
    </w:rPr>
  </w:style>
  <w:style w:type="character" w:customStyle="1" w:styleId="Heading1Char">
    <w:name w:val="Heading 1 Char"/>
    <w:basedOn w:val="DefaultParagraphFont"/>
    <w:link w:val="Heading1"/>
    <w:rsid w:val="00F95A66"/>
    <w:rPr>
      <w:rFonts w:ascii="Times New Roman" w:hAnsi="Times New Roman"/>
      <w:sz w:val="24"/>
    </w:rPr>
  </w:style>
  <w:style w:type="character" w:customStyle="1" w:styleId="Heading2Char">
    <w:name w:val="Heading 2 Char"/>
    <w:basedOn w:val="DefaultParagraphFont"/>
    <w:link w:val="Heading2"/>
    <w:rsid w:val="00F95A66"/>
    <w:rPr>
      <w:rFonts w:ascii="Times New Roman" w:hAnsi="Times New Roman"/>
      <w:b/>
      <w:sz w:val="24"/>
    </w:rPr>
  </w:style>
  <w:style w:type="paragraph" w:styleId="FootnoteText">
    <w:name w:val="footnote text"/>
    <w:basedOn w:val="Normal"/>
    <w:link w:val="FootnoteTextChar"/>
    <w:uiPriority w:val="99"/>
    <w:semiHidden/>
    <w:unhideWhenUsed/>
    <w:rsid w:val="00B02B3C"/>
    <w:rPr>
      <w:sz w:val="20"/>
    </w:rPr>
  </w:style>
  <w:style w:type="character" w:customStyle="1" w:styleId="FootnoteTextChar">
    <w:name w:val="Footnote Text Char"/>
    <w:basedOn w:val="DefaultParagraphFont"/>
    <w:link w:val="FootnoteText"/>
    <w:uiPriority w:val="99"/>
    <w:semiHidden/>
    <w:rsid w:val="00B02B3C"/>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02B3C"/>
    <w:rPr>
      <w:vertAlign w:val="superscript"/>
    </w:rPr>
  </w:style>
  <w:style w:type="paragraph" w:styleId="ListParagraph">
    <w:name w:val="List Paragraph"/>
    <w:basedOn w:val="Normal"/>
    <w:uiPriority w:val="34"/>
    <w:qFormat/>
    <w:rsid w:val="00B02B3C"/>
    <w:pPr>
      <w:ind w:left="720"/>
    </w:pPr>
  </w:style>
  <w:style w:type="character" w:styleId="Hyperlink">
    <w:name w:val="Hyperlink"/>
    <w:basedOn w:val="DefaultParagraphFont"/>
    <w:uiPriority w:val="99"/>
    <w:unhideWhenUsed/>
    <w:rsid w:val="00B02B3C"/>
    <w:rPr>
      <w:color w:val="0000FF"/>
      <w:u w:val="single"/>
    </w:rPr>
  </w:style>
  <w:style w:type="character" w:styleId="CommentReference">
    <w:name w:val="annotation reference"/>
    <w:basedOn w:val="DefaultParagraphFont"/>
    <w:uiPriority w:val="99"/>
    <w:semiHidden/>
    <w:unhideWhenUsed/>
    <w:rsid w:val="00C16EE3"/>
    <w:rPr>
      <w:sz w:val="16"/>
      <w:szCs w:val="16"/>
    </w:rPr>
  </w:style>
  <w:style w:type="paragraph" w:styleId="CommentText">
    <w:name w:val="annotation text"/>
    <w:basedOn w:val="Normal"/>
    <w:link w:val="CommentTextChar"/>
    <w:uiPriority w:val="99"/>
    <w:semiHidden/>
    <w:unhideWhenUsed/>
    <w:rsid w:val="00C16EE3"/>
    <w:rPr>
      <w:sz w:val="20"/>
    </w:rPr>
  </w:style>
  <w:style w:type="character" w:customStyle="1" w:styleId="CommentTextChar">
    <w:name w:val="Comment Text Char"/>
    <w:basedOn w:val="DefaultParagraphFont"/>
    <w:link w:val="CommentText"/>
    <w:uiPriority w:val="99"/>
    <w:semiHidden/>
    <w:rsid w:val="00C16EE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16EE3"/>
    <w:rPr>
      <w:b/>
      <w:bCs/>
    </w:rPr>
  </w:style>
  <w:style w:type="character" w:customStyle="1" w:styleId="CommentSubjectChar">
    <w:name w:val="Comment Subject Char"/>
    <w:basedOn w:val="CommentTextChar"/>
    <w:link w:val="CommentSubject"/>
    <w:uiPriority w:val="99"/>
    <w:semiHidden/>
    <w:rsid w:val="00C16EE3"/>
    <w:rPr>
      <w:rFonts w:ascii="Times New Roman" w:hAnsi="Times New Roman"/>
      <w:b/>
      <w:bCs/>
    </w:rPr>
  </w:style>
  <w:style w:type="paragraph" w:styleId="Revision">
    <w:name w:val="Revision"/>
    <w:hidden/>
    <w:uiPriority w:val="99"/>
    <w:semiHidden/>
    <w:rsid w:val="00836D3E"/>
    <w:rPr>
      <w:rFonts w:ascii="Times New Roman" w:hAnsi="Times New Roman"/>
      <w:sz w:val="24"/>
    </w:rPr>
  </w:style>
  <w:style w:type="character" w:styleId="FollowedHyperlink">
    <w:name w:val="FollowedHyperlink"/>
    <w:basedOn w:val="DefaultParagraphFont"/>
    <w:uiPriority w:val="99"/>
    <w:semiHidden/>
    <w:unhideWhenUsed/>
    <w:rsid w:val="00594181"/>
    <w:rPr>
      <w:color w:val="800080" w:themeColor="followedHyperlink"/>
      <w:u w:val="single"/>
    </w:rPr>
  </w:style>
  <w:style w:type="paragraph" w:styleId="NormalWeb">
    <w:name w:val="Normal (Web)"/>
    <w:basedOn w:val="Normal"/>
    <w:uiPriority w:val="99"/>
    <w:unhideWhenUsed/>
    <w:rsid w:val="00877E06"/>
    <w:pPr>
      <w:autoSpaceDE/>
      <w:autoSpaceDN/>
      <w:adjustRightInd/>
      <w:spacing w:before="100" w:beforeAutospacing="1" w:after="100" w:afterAutospacing="1"/>
    </w:pPr>
    <w:rPr>
      <w:rFonts w:eastAsia="Times New Roman"/>
      <w:szCs w:val="24"/>
    </w:rPr>
  </w:style>
  <w:style w:type="character" w:styleId="Strong">
    <w:name w:val="Strong"/>
    <w:basedOn w:val="DefaultParagraphFont"/>
    <w:uiPriority w:val="22"/>
    <w:qFormat/>
    <w:rsid w:val="00877E06"/>
    <w:rPr>
      <w:b/>
      <w:bCs/>
    </w:rPr>
  </w:style>
  <w:style w:type="character" w:styleId="Emphasis">
    <w:name w:val="Emphasis"/>
    <w:basedOn w:val="DefaultParagraphFont"/>
    <w:uiPriority w:val="20"/>
    <w:qFormat/>
    <w:rsid w:val="00374AB7"/>
    <w:rPr>
      <w:i/>
      <w:iCs/>
    </w:rPr>
  </w:style>
  <w:style w:type="paragraph" w:styleId="Date">
    <w:name w:val="Date"/>
    <w:basedOn w:val="Normal"/>
    <w:next w:val="Normal"/>
    <w:link w:val="DateChar"/>
    <w:uiPriority w:val="99"/>
    <w:unhideWhenUsed/>
    <w:rsid w:val="00F95A66"/>
  </w:style>
  <w:style w:type="character" w:customStyle="1" w:styleId="DateChar">
    <w:name w:val="Date Char"/>
    <w:basedOn w:val="DefaultParagraphFont"/>
    <w:link w:val="Date"/>
    <w:uiPriority w:val="99"/>
    <w:rsid w:val="00F95A66"/>
    <w:rPr>
      <w:rFonts w:ascii="Times New Roman" w:hAnsi="Times New Roman"/>
      <w:sz w:val="24"/>
    </w:rPr>
  </w:style>
  <w:style w:type="paragraph" w:styleId="EnvelopeAddress">
    <w:name w:val="envelope address"/>
    <w:basedOn w:val="Normal"/>
    <w:uiPriority w:val="99"/>
    <w:unhideWhenUsed/>
    <w:rsid w:val="00F95A66"/>
    <w:rPr>
      <w:b/>
    </w:rPr>
  </w:style>
  <w:style w:type="paragraph" w:styleId="Salutation">
    <w:name w:val="Salutation"/>
    <w:basedOn w:val="Normal"/>
    <w:next w:val="Normal"/>
    <w:link w:val="SalutationChar"/>
    <w:uiPriority w:val="99"/>
    <w:unhideWhenUsed/>
    <w:rsid w:val="00F95A66"/>
  </w:style>
  <w:style w:type="character" w:customStyle="1" w:styleId="SalutationChar">
    <w:name w:val="Salutation Char"/>
    <w:basedOn w:val="DefaultParagraphFont"/>
    <w:link w:val="Salutation"/>
    <w:uiPriority w:val="99"/>
    <w:rsid w:val="00F95A66"/>
    <w:rPr>
      <w:rFonts w:ascii="Times New Roman" w:hAnsi="Times New Roman"/>
      <w:sz w:val="24"/>
    </w:rPr>
  </w:style>
  <w:style w:type="character" w:customStyle="1" w:styleId="Heading3Char">
    <w:name w:val="Heading 3 Char"/>
    <w:basedOn w:val="DefaultParagraphFont"/>
    <w:link w:val="Heading3"/>
    <w:uiPriority w:val="9"/>
    <w:rsid w:val="00F95A66"/>
    <w:rPr>
      <w:rFonts w:ascii="Times New Roman" w:hAnsi="Times New Roman"/>
      <w:sz w:val="24"/>
      <w:u w:val="single"/>
    </w:rPr>
  </w:style>
  <w:style w:type="paragraph" w:styleId="Closing">
    <w:name w:val="Closing"/>
    <w:basedOn w:val="Normal"/>
    <w:link w:val="ClosingChar"/>
    <w:uiPriority w:val="99"/>
    <w:unhideWhenUsed/>
    <w:rsid w:val="00F95A66"/>
    <w:pPr>
      <w:ind w:firstLine="720"/>
      <w:jc w:val="center"/>
    </w:pPr>
  </w:style>
  <w:style w:type="character" w:customStyle="1" w:styleId="ClosingChar">
    <w:name w:val="Closing Char"/>
    <w:basedOn w:val="DefaultParagraphFont"/>
    <w:link w:val="Closing"/>
    <w:uiPriority w:val="99"/>
    <w:rsid w:val="00F95A66"/>
    <w:rPr>
      <w:rFonts w:ascii="Times New Roman" w:hAnsi="Times New Roman"/>
      <w:sz w:val="24"/>
    </w:rPr>
  </w:style>
  <w:style w:type="paragraph" w:styleId="Signature">
    <w:name w:val="Signature"/>
    <w:basedOn w:val="Normal"/>
    <w:link w:val="SignatureChar"/>
    <w:uiPriority w:val="99"/>
    <w:unhideWhenUsed/>
    <w:rsid w:val="00F95A66"/>
    <w:pPr>
      <w:ind w:firstLine="720"/>
      <w:jc w:val="center"/>
    </w:pPr>
  </w:style>
  <w:style w:type="character" w:customStyle="1" w:styleId="SignatureChar">
    <w:name w:val="Signature Char"/>
    <w:basedOn w:val="DefaultParagraphFont"/>
    <w:link w:val="Signature"/>
    <w:uiPriority w:val="99"/>
    <w:rsid w:val="00F95A6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12643412">
      <w:bodyDiv w:val="1"/>
      <w:marLeft w:val="0"/>
      <w:marRight w:val="0"/>
      <w:marTop w:val="0"/>
      <w:marBottom w:val="0"/>
      <w:divBdr>
        <w:top w:val="none" w:sz="0" w:space="0" w:color="auto"/>
        <w:left w:val="none" w:sz="0" w:space="0" w:color="auto"/>
        <w:bottom w:val="none" w:sz="0" w:space="0" w:color="auto"/>
        <w:right w:val="none" w:sz="0" w:space="0" w:color="auto"/>
      </w:divBdr>
      <w:divsChild>
        <w:div w:id="1254128257">
          <w:marLeft w:val="0"/>
          <w:marRight w:val="0"/>
          <w:marTop w:val="0"/>
          <w:marBottom w:val="0"/>
          <w:divBdr>
            <w:top w:val="none" w:sz="0" w:space="0" w:color="auto"/>
            <w:left w:val="none" w:sz="0" w:space="0" w:color="auto"/>
            <w:bottom w:val="none" w:sz="0" w:space="0" w:color="auto"/>
            <w:right w:val="none" w:sz="0" w:space="0" w:color="auto"/>
          </w:divBdr>
          <w:divsChild>
            <w:div w:id="1386489377">
              <w:marLeft w:val="0"/>
              <w:marRight w:val="0"/>
              <w:marTop w:val="0"/>
              <w:marBottom w:val="480"/>
              <w:divBdr>
                <w:top w:val="single" w:sz="4" w:space="0" w:color="000000"/>
                <w:left w:val="single" w:sz="4" w:space="0" w:color="000000"/>
                <w:bottom w:val="single" w:sz="4" w:space="0" w:color="000000"/>
                <w:right w:val="single" w:sz="4"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teschil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bddd/autism/sign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24708-B0E0-4E91-A53F-47F94A90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14637</Characters>
  <Application>Microsoft Office Word</Application>
  <DocSecurity>0</DocSecurity>
  <Lines>121</Lines>
  <Paragraphs>34</Paragraphs>
  <ScaleCrop>false</ScaleCrop>
  <LinksUpToDate>false</LinksUpToDate>
  <CharactersWithSpaces>17170</CharactersWithSpaces>
  <SharedDoc>false</SharedDoc>
  <HLinks>
    <vt:vector size="12" baseType="variant">
      <vt:variant>
        <vt:i4>3932223</vt:i4>
      </vt:variant>
      <vt:variant>
        <vt:i4>0</vt:i4>
      </vt:variant>
      <vt:variant>
        <vt:i4>0</vt:i4>
      </vt:variant>
      <vt:variant>
        <vt:i4>5</vt:i4>
      </vt:variant>
      <vt:variant>
        <vt:lpwstr>http://www.gateschili.org/</vt:lpwstr>
      </vt:variant>
      <vt:variant>
        <vt:lpwstr/>
      </vt:variant>
      <vt:variant>
        <vt:i4>7209005</vt:i4>
      </vt:variant>
      <vt:variant>
        <vt:i4>0</vt:i4>
      </vt:variant>
      <vt:variant>
        <vt:i4>0</vt:i4>
      </vt:variant>
      <vt:variant>
        <vt:i4>5</vt:i4>
      </vt:variant>
      <vt:variant>
        <vt:lpwstr>http://www.cdc.gov/ncbddd/autism/signs.html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2015-04-13T20:24:00Z</dcterms:created>
  <dcterms:modified xsi:type="dcterms:W3CDTF">2015-04-13T20:26:00Z</dcterms:modified>
</cp:coreProperties>
</file>