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jc w:val="center"/>
        <w:rPr/>
      </w:pPr>
      <w:r>
        <w:rPr>
          <w:b/>
        </w:rPr>
        <w:t xml:space="preserve">Safety and Security</w:t>
      </w:r>
    </w:p>
    <w:p>
      <w:pPr>
        <w:spacing/>
        <w:jc w:val="center"/>
        <w:rPr/>
      </w:pPr>
      <w:r>
        <w:rPr>
          <w:b/>
        </w:rPr>
        <w:t xml:space="preserve"/>
      </w:r>
    </w:p>
    <w:p>
      <w:pPr>
        <w:pStyle w:val="Heading2"/>
        <w:pBdr/>
        <w:spacing w:before="100" w:beforeAutospacing="1" w:after="100" w:afterAutospacing="1"/>
        <w:rPr>
          <w:sz w:val="28"/>
        </w:rPr>
      </w:pPr>
      <w:r>
        <w:rPr>
          <w:rFonts w:ascii="Times New Roman" w:hAnsi="Times New Roman" w:eastAsia="Times New Roman" w:cs="Times New Roman"/>
          <w:b/>
          <w:sz w:val="36"/>
        </w:rPr>
        <w:t xml:space="preserve">Reference Links</w:t>
      </w:r>
    </w:p>
    <w:p>
      <w:pPr>
        <w:pStyle w:val="html_content"/>
        <w:numPr>
          <w:ilvl w:val="0"/>
          <w:numId w:val="3"/>
        </w:numPr>
        <w:spacing w:before="100" w:beforeAutospacing="1" w:after="100" w:afterAutospacing="1"/>
        <w:ind w:left="720"/>
        <w:rPr>
          <w:sz w:val="16"/>
        </w:rPr>
      </w:pPr>
      <w:r>
        <w:rPr>
          <w:sz w:val="16"/>
        </w:rPr>
        <w:t xml:space="preserve">The Transportation Planning Process: Key Issues, FHWA(Direct to: http://www.planning.dot.gov/documents/briefingbook/bbook.htm)</w:t>
      </w:r>
    </w:p>
    <w:p>
      <w:pPr>
        <w:pStyle w:val="html_content"/>
        <w:numPr>
          <w:ilvl w:val="0"/>
          <w:numId w:val="3"/>
        </w:numPr>
        <w:spacing w:before="100" w:beforeAutospacing="1" w:after="100" w:afterAutospacing="1"/>
        <w:ind w:left="720"/>
        <w:rPr>
          <w:sz w:val="16"/>
        </w:rPr>
      </w:pPr>
      <w:r>
        <w:rPr>
          <w:sz w:val="16"/>
        </w:rPr>
        <w:t xml:space="preserve">Institutionalizing Safety in Transportation Planning Processes: Techniques, Tactics and Strategies, NCHRP(Direct to: http://apps.trb.org/cmsfeed/TRBNetProjectDisplay.asp?ProjectID=2502)</w:t>
      </w:r>
    </w:p>
    <w:p>
      <w:pPr>
        <w:pStyle w:val="html_content"/>
        <w:numPr>
          <w:ilvl w:val="0"/>
          <w:numId w:val="3"/>
        </w:numPr>
        <w:spacing w:before="100" w:beforeAutospacing="1" w:after="100" w:afterAutospacing="1"/>
        <w:ind w:left="720"/>
        <w:rPr>
          <w:sz w:val="16"/>
        </w:rPr>
      </w:pPr>
      <w:r>
        <w:rPr>
          <w:sz w:val="16"/>
        </w:rPr>
        <w:t xml:space="preserve">Transportation Safety Planning, FHWA(Direct to: http://www.fhwa.dot.gov/planning/transportation_safety_planning/)</w:t>
      </w:r>
    </w:p>
    <w:p>
      <w:pPr>
        <w:pStyle w:val="html_content"/>
        <w:spacing/>
        <w:rPr>
          <w:sz w:val="16"/>
        </w:rPr>
      </w:pPr>
    </w:p>
    <w:p>
      <w:pPr>
        <w:pStyle w:val="html_content"/>
        <w:spacing/>
        <w:rPr/>
      </w:pPr>
    </w:p>
    <w:p>
      <w:pPr>
        <w:pStyle w:val="html_content"/>
        <w:pBdr/>
        <w:spacing w:before="100" w:beforeAutospacing="1" w:after="100" w:afterAutospacing="1"/>
        <w:rPr>
          <w:sz w:val="16"/>
        </w:rPr>
      </w:pPr>
      <w:r>
        <w:rPr>
          <w:sz w:val="16"/>
        </w:rPr>
        <w:t xml:space="preserve">Safety and security are high priorities for all transportation agencies, and should be integrated with all phases of transportation decision making. Explicitly integrating these considerations as early as long range planning ensures safety and security are built into the foundation of every project.</w:t>
      </w:r>
    </w:p>
    <w:p>
      <w:pPr>
        <w:pStyle w:val="html_content"/>
        <w:pBdr/>
        <w:spacing w:before="100" w:beforeAutospacing="1" w:after="100" w:afterAutospacing="1"/>
        <w:rPr>
          <w:sz w:val="16"/>
        </w:rPr>
      </w:pPr>
      <w:r>
        <w:rPr>
          <w:b/>
          <w:sz w:val="16"/>
        </w:rPr>
        <w:t xml:space="preserve">Long Range Transportation Planning</w:t>
      </w:r>
    </w:p>
    <w:p>
      <w:pPr>
        <w:pStyle w:val="html_content"/>
        <w:numPr>
          <w:ilvl w:val="0"/>
          <w:numId w:val="4"/>
        </w:numPr>
        <w:spacing w:before="100" w:beforeAutospacing="1" w:after="100" w:afterAutospacing="1"/>
        <w:ind w:left="720"/>
        <w:rPr>
          <w:sz w:val="16"/>
        </w:rPr>
      </w:pPr>
      <w:r>
        <w:rPr>
          <w:sz w:val="16"/>
        </w:rPr>
        <w:t xml:space="preserve">LRP-1 - Approve Scope of LRTP Process </w:t>
      </w:r>
      <w:r>
        <w:br/>
      </w:r>
      <w:r>
        <w:rPr>
          <w:sz w:val="16"/>
        </w:rPr>
        <w:t xml:space="preserve">Invitation of safety and security partners to participate in long-range planning. Safety and security information and plans provided, to inform development of long-range plan scope. </w:t>
      </w:r>
    </w:p>
    <w:p>
      <w:pPr>
        <w:pStyle w:val="html_content"/>
        <w:numPr>
          <w:ilvl w:val="0"/>
          <w:numId w:val="4"/>
        </w:numPr>
        <w:spacing w:before="100" w:beforeAutospacing="1" w:after="100" w:afterAutospacing="1"/>
        <w:ind w:left="720"/>
        <w:rPr>
          <w:sz w:val="16"/>
        </w:rPr>
      </w:pPr>
      <w:r>
        <w:rPr>
          <w:sz w:val="16"/>
        </w:rPr>
        <w:t xml:space="preserve">LRP-2 - Approve Vision and Goals </w:t>
      </w:r>
      <w:r>
        <w:br/>
      </w:r>
      <w:r>
        <w:rPr>
          <w:sz w:val="16"/>
        </w:rPr>
        <w:t xml:space="preserve">Information provided on safety and security plans, visions, and data. </w:t>
      </w:r>
    </w:p>
    <w:p>
      <w:pPr>
        <w:pStyle w:val="html_content"/>
        <w:numPr>
          <w:ilvl w:val="0"/>
          <w:numId w:val="4"/>
        </w:numPr>
        <w:spacing w:before="100" w:beforeAutospacing="1" w:after="100" w:afterAutospacing="1"/>
        <w:ind w:left="720"/>
        <w:rPr>
          <w:sz w:val="16"/>
        </w:rPr>
      </w:pPr>
      <w:r>
        <w:rPr>
          <w:sz w:val="16"/>
        </w:rPr>
        <w:t xml:space="preserve">LRP-3 - Approve Evaluation Criteria, Methods and Measures </w:t>
      </w:r>
      <w:r>
        <w:br/>
      </w:r>
      <w:r>
        <w:rPr>
          <w:sz w:val="16"/>
        </w:rPr>
        <w:t xml:space="preserve">Information provided on safety and security plans, visions, and data. </w:t>
      </w:r>
    </w:p>
    <w:p>
      <w:pPr>
        <w:pStyle w:val="html_content"/>
        <w:numPr>
          <w:ilvl w:val="0"/>
          <w:numId w:val="4"/>
        </w:numPr>
        <w:spacing w:before="100" w:beforeAutospacing="1" w:after="100" w:afterAutospacing="1"/>
        <w:ind w:left="720"/>
        <w:rPr>
          <w:sz w:val="16"/>
        </w:rPr>
      </w:pPr>
      <w:r>
        <w:rPr>
          <w:sz w:val="16"/>
        </w:rPr>
        <w:t xml:space="preserve">LRP-4 - Approve Transportation Deficiencies </w:t>
      </w:r>
      <w:r>
        <w:br/>
      </w:r>
      <w:r>
        <w:rPr>
          <w:sz w:val="16"/>
        </w:rPr>
        <w:t xml:space="preserve">This key decision is not associated with application. </w:t>
      </w:r>
    </w:p>
    <w:p>
      <w:pPr>
        <w:pStyle w:val="html_content"/>
        <w:numPr>
          <w:ilvl w:val="0"/>
          <w:numId w:val="4"/>
        </w:numPr>
        <w:spacing w:before="100" w:beforeAutospacing="1" w:after="100" w:afterAutospacing="1"/>
        <w:ind w:left="720"/>
        <w:rPr>
          <w:sz w:val="16"/>
        </w:rPr>
      </w:pPr>
      <w:r>
        <w:rPr>
          <w:sz w:val="16"/>
        </w:rPr>
        <w:t xml:space="preserve">LRP-5 - Approve Financial Assumptions </w:t>
      </w:r>
      <w:r>
        <w:br/>
      </w:r>
      <w:r>
        <w:rPr>
          <w:sz w:val="16"/>
        </w:rPr>
        <w:t xml:space="preserve">This key decision is not associated with application. </w:t>
      </w:r>
    </w:p>
    <w:p>
      <w:pPr>
        <w:pStyle w:val="html_content"/>
        <w:numPr>
          <w:ilvl w:val="0"/>
          <w:numId w:val="4"/>
        </w:numPr>
        <w:spacing w:before="100" w:beforeAutospacing="1" w:after="100" w:afterAutospacing="1"/>
        <w:ind w:left="720"/>
        <w:rPr>
          <w:sz w:val="16"/>
        </w:rPr>
      </w:pPr>
      <w:r>
        <w:rPr>
          <w:sz w:val="16"/>
        </w:rPr>
        <w:t xml:space="preserve">LRP-6 - Approve Strategies </w:t>
      </w:r>
      <w:r>
        <w:br/>
      </w:r>
      <w:r>
        <w:rPr>
          <w:sz w:val="16"/>
        </w:rPr>
        <w:t xml:space="preserve">Information provided on safety and security goals, strategies, and objectives, where available. </w:t>
      </w:r>
    </w:p>
    <w:p>
      <w:pPr>
        <w:pStyle w:val="html_content"/>
        <w:numPr>
          <w:ilvl w:val="0"/>
          <w:numId w:val="4"/>
        </w:numPr>
        <w:spacing w:before="100" w:beforeAutospacing="1" w:after="100" w:afterAutospacing="1"/>
        <w:ind w:left="720"/>
        <w:rPr>
          <w:sz w:val="16"/>
        </w:rPr>
      </w:pPr>
      <w:r>
        <w:rPr>
          <w:sz w:val="16"/>
        </w:rPr>
        <w:t xml:space="preserve">LRP-7 - Approve Plan Scenarios </w:t>
      </w:r>
      <w:r>
        <w:br/>
      </w:r>
      <w:r>
        <w:rPr>
          <w:sz w:val="16"/>
        </w:rPr>
        <w:t xml:space="preserve">This key decision is not associated with application. </w:t>
      </w:r>
    </w:p>
    <w:p>
      <w:pPr>
        <w:pStyle w:val="html_content"/>
        <w:numPr>
          <w:ilvl w:val="0"/>
          <w:numId w:val="4"/>
        </w:numPr>
        <w:spacing w:before="100" w:beforeAutospacing="1" w:after="100" w:afterAutospacing="1"/>
        <w:ind w:left="720"/>
        <w:rPr>
          <w:sz w:val="16"/>
        </w:rPr>
      </w:pPr>
      <w:r>
        <w:rPr>
          <w:sz w:val="16"/>
        </w:rPr>
        <w:t xml:space="preserve">LRP-8 - Adopt Preferred Plan Scenario </w:t>
      </w:r>
      <w:r>
        <w:br/>
      </w:r>
      <w:r>
        <w:rPr>
          <w:sz w:val="16"/>
        </w:rPr>
        <w:t xml:space="preserve">This key decision is not associated with application. </w:t>
      </w:r>
    </w:p>
    <w:p>
      <w:pPr>
        <w:pStyle w:val="html_content"/>
        <w:numPr>
          <w:ilvl w:val="0"/>
          <w:numId w:val="4"/>
        </w:numPr>
        <w:spacing w:before="100" w:beforeAutospacing="1" w:after="100" w:afterAutospacing="1"/>
        <w:ind w:left="720"/>
        <w:rPr>
          <w:sz w:val="16"/>
        </w:rPr>
      </w:pPr>
      <w:r>
        <w:rPr>
          <w:sz w:val="16"/>
        </w:rPr>
        <w:t xml:space="preserve">LRP-9 - Make Conformity Determination by MPO </w:t>
      </w:r>
      <w:r>
        <w:br/>
      </w:r>
      <w:r>
        <w:rPr>
          <w:sz w:val="16"/>
        </w:rPr>
        <w:t xml:space="preserve">This key decision is not associated with application. </w:t>
      </w:r>
    </w:p>
    <w:p>
      <w:pPr>
        <w:pStyle w:val="html_content"/>
        <w:numPr>
          <w:ilvl w:val="0"/>
          <w:numId w:val="4"/>
        </w:numPr>
        <w:spacing w:before="100" w:beforeAutospacing="1" w:after="100" w:afterAutospacing="1"/>
        <w:ind w:left="720"/>
        <w:rPr>
          <w:sz w:val="16"/>
        </w:rPr>
      </w:pPr>
      <w:r>
        <w:rPr>
          <w:sz w:val="16"/>
        </w:rPr>
        <w:t xml:space="preserve">LRP-10 - Adopt LRTP by MPO </w:t>
      </w:r>
      <w:r>
        <w:br/>
      </w:r>
      <w:r>
        <w:rPr>
          <w:sz w:val="16"/>
        </w:rPr>
        <w:t xml:space="preserve">This key decision is not associated with application. </w:t>
      </w:r>
    </w:p>
    <w:p>
      <w:pPr>
        <w:pStyle w:val="html_content"/>
        <w:numPr>
          <w:ilvl w:val="0"/>
          <w:numId w:val="4"/>
        </w:numPr>
        <w:spacing w:before="100" w:beforeAutospacing="1" w:after="100" w:afterAutospacing="1"/>
        <w:ind w:left="720"/>
        <w:rPr>
          <w:sz w:val="16"/>
        </w:rPr>
      </w:pPr>
      <w:r>
        <w:rPr>
          <w:sz w:val="16"/>
        </w:rPr>
        <w:t xml:space="preserve">LRP-11 - Make Conformity Determination </w:t>
      </w:r>
      <w:r>
        <w:br/>
      </w:r>
      <w:r>
        <w:rPr>
          <w:sz w:val="16"/>
        </w:rPr>
        <w:t xml:space="preserve">This key decision is not associated with application. </w:t>
      </w:r>
    </w:p>
    <w:p>
      <w:pPr>
        <w:pStyle w:val="html_content"/>
        <w:spacing w:before="100" w:beforeAutospacing="1" w:after="100" w:afterAutospacing="1"/>
        <w:rPr>
          <w:sz w:val="16"/>
        </w:rPr>
      </w:pPr>
      <w:r>
        <w:rPr>
          <w:b/>
          <w:sz w:val="16"/>
        </w:rPr>
        <w:t xml:space="preserve">Programming</w:t>
      </w:r>
    </w:p>
    <w:p>
      <w:pPr>
        <w:pStyle w:val="html_content"/>
        <w:numPr>
          <w:ilvl w:val="0"/>
          <w:numId w:val="5"/>
        </w:numPr>
        <w:spacing w:before="100" w:beforeAutospacing="1" w:after="100" w:afterAutospacing="1"/>
        <w:ind w:left="720"/>
        <w:rPr>
          <w:sz w:val="16"/>
        </w:rPr>
      </w:pPr>
      <w:r>
        <w:rPr>
          <w:sz w:val="16"/>
        </w:rPr>
        <w:t xml:space="preserve">PRO-1 - Approve Revenue Sources </w:t>
      </w:r>
      <w:r>
        <w:br/>
      </w:r>
      <w:r>
        <w:rPr>
          <w:sz w:val="16"/>
        </w:rPr>
        <w:t xml:space="preserve">This key decision is not associated with application. </w:t>
      </w:r>
    </w:p>
    <w:p>
      <w:pPr>
        <w:pStyle w:val="html_content"/>
        <w:numPr>
          <w:ilvl w:val="0"/>
          <w:numId w:val="5"/>
        </w:numPr>
        <w:spacing w:before="100" w:beforeAutospacing="1" w:after="100" w:afterAutospacing="1"/>
        <w:ind w:left="720"/>
        <w:rPr>
          <w:sz w:val="16"/>
        </w:rPr>
      </w:pPr>
      <w:r>
        <w:rPr>
          <w:sz w:val="16"/>
        </w:rPr>
        <w:t xml:space="preserve">PRO-2 - Approve Methodology for Identifying Project Costs and Criteria for Allocating Revenue </w:t>
      </w:r>
      <w:r>
        <w:br/>
      </w:r>
      <w:r>
        <w:rPr>
          <w:sz w:val="16"/>
        </w:rPr>
        <w:t xml:space="preserve">This key decision is not associated with application. </w:t>
      </w:r>
    </w:p>
    <w:p>
      <w:pPr>
        <w:pStyle w:val="html_content"/>
        <w:numPr>
          <w:ilvl w:val="0"/>
          <w:numId w:val="5"/>
        </w:numPr>
        <w:spacing w:before="100" w:beforeAutospacing="1" w:after="100" w:afterAutospacing="1"/>
        <w:ind w:left="720"/>
        <w:rPr>
          <w:sz w:val="16"/>
        </w:rPr>
      </w:pPr>
      <w:r>
        <w:rPr>
          <w:sz w:val="16"/>
        </w:rPr>
        <w:t xml:space="preserve">PRO-3 - Approve Project List Drawn from Adopted Plan Scenario or Solution Set </w:t>
      </w:r>
      <w:r>
        <w:br/>
      </w:r>
      <w:r>
        <w:rPr>
          <w:sz w:val="16"/>
        </w:rPr>
        <w:t xml:space="preserve">This key decision is not associated with application. </w:t>
      </w:r>
    </w:p>
    <w:p>
      <w:pPr>
        <w:pStyle w:val="html_content"/>
        <w:numPr>
          <w:ilvl w:val="0"/>
          <w:numId w:val="5"/>
        </w:numPr>
        <w:spacing w:before="100" w:beforeAutospacing="1" w:after="100" w:afterAutospacing="1"/>
        <w:ind w:left="720"/>
        <w:rPr>
          <w:sz w:val="16"/>
        </w:rPr>
      </w:pPr>
      <w:r>
        <w:rPr>
          <w:sz w:val="16"/>
        </w:rPr>
        <w:t xml:space="preserve">PRO-4 - Approve Project Prioritization </w:t>
      </w:r>
      <w:r>
        <w:br/>
      </w:r>
      <w:r>
        <w:rPr>
          <w:sz w:val="16"/>
        </w:rPr>
        <w:t xml:space="preserve">This key decision is not associated with application. </w:t>
      </w:r>
    </w:p>
    <w:p>
      <w:pPr>
        <w:pStyle w:val="html_content"/>
        <w:numPr>
          <w:ilvl w:val="0"/>
          <w:numId w:val="5"/>
        </w:numPr>
        <w:spacing w:before="100" w:beforeAutospacing="1" w:after="100" w:afterAutospacing="1"/>
        <w:ind w:left="720"/>
        <w:rPr>
          <w:sz w:val="16"/>
        </w:rPr>
      </w:pPr>
      <w:r>
        <w:rPr>
          <w:sz w:val="16"/>
        </w:rPr>
        <w:t xml:space="preserve">PRO-5 - Reach Consensus on Draft TIP </w:t>
      </w:r>
      <w:r>
        <w:br/>
      </w:r>
      <w:r>
        <w:rPr>
          <w:sz w:val="16"/>
        </w:rPr>
        <w:t xml:space="preserve">This key decision is not associated with application. </w:t>
      </w:r>
    </w:p>
    <w:p>
      <w:pPr>
        <w:pStyle w:val="html_content"/>
        <w:numPr>
          <w:ilvl w:val="0"/>
          <w:numId w:val="5"/>
        </w:numPr>
        <w:spacing w:before="100" w:beforeAutospacing="1" w:after="100" w:afterAutospacing="1"/>
        <w:ind w:left="720"/>
        <w:rPr>
          <w:sz w:val="16"/>
        </w:rPr>
      </w:pPr>
      <w:r>
        <w:rPr>
          <w:sz w:val="16"/>
        </w:rPr>
        <w:t xml:space="preserve">PRO-6 - Adopt TIP by MPO </w:t>
      </w:r>
      <w:r>
        <w:br/>
      </w:r>
      <w:r>
        <w:rPr>
          <w:sz w:val="16"/>
        </w:rPr>
        <w:t xml:space="preserve">This key decision is not associated with application. </w:t>
      </w:r>
    </w:p>
    <w:p>
      <w:pPr>
        <w:pStyle w:val="html_content"/>
        <w:numPr>
          <w:ilvl w:val="0"/>
          <w:numId w:val="5"/>
        </w:numPr>
        <w:spacing w:before="100" w:beforeAutospacing="1" w:after="100" w:afterAutospacing="1"/>
        <w:ind w:left="720"/>
        <w:rPr>
          <w:sz w:val="16"/>
        </w:rPr>
      </w:pPr>
      <w:r>
        <w:rPr>
          <w:sz w:val="16"/>
        </w:rPr>
        <w:t xml:space="preserve">PRO-7 - Approve TIP by Governor and Incorporate into Draft STIP </w:t>
      </w:r>
      <w:r>
        <w:br/>
      </w:r>
      <w:r>
        <w:rPr>
          <w:sz w:val="16"/>
        </w:rPr>
        <w:t xml:space="preserve">This key decision is not associated with application. </w:t>
      </w:r>
    </w:p>
    <w:p>
      <w:pPr>
        <w:pStyle w:val="html_content"/>
        <w:numPr>
          <w:ilvl w:val="0"/>
          <w:numId w:val="5"/>
        </w:numPr>
        <w:spacing w:before="100" w:beforeAutospacing="1" w:after="100" w:afterAutospacing="1"/>
        <w:ind w:left="720"/>
        <w:rPr>
          <w:sz w:val="16"/>
        </w:rPr>
      </w:pPr>
      <w:r>
        <w:rPr>
          <w:sz w:val="16"/>
        </w:rPr>
        <w:t xml:space="preserve">PRO-8 - Reach Consensus on Draft STIP </w:t>
      </w:r>
      <w:r>
        <w:br/>
      </w:r>
      <w:r>
        <w:rPr>
          <w:sz w:val="16"/>
        </w:rPr>
        <w:t xml:space="preserve">This key decision is not associated with application. </w:t>
      </w:r>
    </w:p>
    <w:p>
      <w:pPr>
        <w:pStyle w:val="html_content"/>
        <w:numPr>
          <w:ilvl w:val="0"/>
          <w:numId w:val="5"/>
        </w:numPr>
        <w:spacing w:before="100" w:beforeAutospacing="1" w:after="100" w:afterAutospacing="1"/>
        <w:ind w:left="720"/>
        <w:rPr>
          <w:sz w:val="16"/>
        </w:rPr>
      </w:pPr>
      <w:r>
        <w:rPr>
          <w:sz w:val="16"/>
        </w:rPr>
        <w:t xml:space="preserve">PRO-9 - Approve STIP with respect to Fiscal Constraint </w:t>
      </w:r>
      <w:r>
        <w:br/>
      </w:r>
      <w:r>
        <w:rPr>
          <w:sz w:val="16"/>
        </w:rPr>
        <w:t xml:space="preserve">This key decision is not associated with application. </w:t>
      </w:r>
    </w:p>
    <w:p>
      <w:pPr>
        <w:pStyle w:val="html_content"/>
        <w:spacing w:before="100" w:beforeAutospacing="1" w:after="100" w:afterAutospacing="1"/>
        <w:rPr>
          <w:sz w:val="16"/>
        </w:rPr>
      </w:pPr>
      <w:r>
        <w:rPr>
          <w:b/>
          <w:sz w:val="16"/>
        </w:rPr>
        <w:t xml:space="preserve">Corridor Planning</w:t>
      </w:r>
    </w:p>
    <w:p>
      <w:pPr>
        <w:pStyle w:val="html_content"/>
        <w:numPr>
          <w:ilvl w:val="0"/>
          <w:numId w:val="6"/>
        </w:numPr>
        <w:spacing w:before="100" w:beforeAutospacing="1" w:after="100" w:afterAutospacing="1"/>
        <w:ind w:left="720"/>
        <w:rPr>
          <w:sz w:val="16"/>
        </w:rPr>
      </w:pPr>
      <w:r>
        <w:rPr>
          <w:sz w:val="16"/>
        </w:rPr>
        <w:t xml:space="preserve">COR-1 - Approve Scope of Corridor Planning Process </w:t>
      </w:r>
      <w:r>
        <w:br/>
      </w:r>
      <w:r>
        <w:rPr>
          <w:sz w:val="16"/>
        </w:rPr>
        <w:t xml:space="preserve">Invitation of safety and security partners to participate in corridor planning. Safety and security information and plans provided, to inform development of corridor plan scope. </w:t>
      </w:r>
    </w:p>
    <w:p>
      <w:pPr>
        <w:pStyle w:val="html_content"/>
        <w:numPr>
          <w:ilvl w:val="0"/>
          <w:numId w:val="6"/>
        </w:numPr>
        <w:spacing w:before="100" w:beforeAutospacing="1" w:after="100" w:afterAutospacing="1"/>
        <w:ind w:left="720"/>
        <w:rPr>
          <w:sz w:val="16"/>
        </w:rPr>
      </w:pPr>
      <w:r>
        <w:rPr>
          <w:sz w:val="16"/>
        </w:rPr>
        <w:t xml:space="preserve">COR-2 - Approve Problem Statements and Opportunities </w:t>
      </w:r>
      <w:r>
        <w:br/>
      </w:r>
      <w:r>
        <w:rPr>
          <w:sz w:val="16"/>
        </w:rPr>
        <w:t xml:space="preserve">Information provided on the safety and security context, to be used in the development of a problem statement and identification of opportunities. </w:t>
      </w:r>
    </w:p>
    <w:p>
      <w:pPr>
        <w:pStyle w:val="html_content"/>
        <w:numPr>
          <w:ilvl w:val="0"/>
          <w:numId w:val="6"/>
        </w:numPr>
        <w:spacing w:before="100" w:beforeAutospacing="1" w:after="100" w:afterAutospacing="1"/>
        <w:ind w:left="720"/>
        <w:rPr>
          <w:sz w:val="16"/>
        </w:rPr>
      </w:pPr>
      <w:r>
        <w:rPr>
          <w:sz w:val="16"/>
        </w:rPr>
        <w:t xml:space="preserve">COR-3 - Approve Goals for the Corridor </w:t>
      </w:r>
      <w:r>
        <w:br/>
      </w:r>
      <w:r>
        <w:rPr>
          <w:sz w:val="16"/>
        </w:rPr>
        <w:t xml:space="preserve">Information provided on safety and security plans, goals, and data. </w:t>
      </w:r>
    </w:p>
    <w:p>
      <w:pPr>
        <w:pStyle w:val="html_content"/>
        <w:numPr>
          <w:ilvl w:val="0"/>
          <w:numId w:val="6"/>
        </w:numPr>
        <w:spacing w:before="100" w:beforeAutospacing="1" w:after="100" w:afterAutospacing="1"/>
        <w:ind w:left="720"/>
        <w:rPr>
          <w:sz w:val="16"/>
        </w:rPr>
      </w:pPr>
      <w:r>
        <w:rPr>
          <w:sz w:val="16"/>
        </w:rPr>
        <w:t xml:space="preserve">COR-4 - Reach Consensus on Scope of Environmental Review and Analysis </w:t>
      </w:r>
      <w:r>
        <w:br/>
      </w:r>
      <w:r>
        <w:rPr>
          <w:sz w:val="16"/>
        </w:rPr>
        <w:t xml:space="preserve">This key decision is not associated with application. </w:t>
      </w:r>
    </w:p>
    <w:p>
      <w:pPr>
        <w:pStyle w:val="html_content"/>
        <w:numPr>
          <w:ilvl w:val="0"/>
          <w:numId w:val="6"/>
        </w:numPr>
        <w:spacing w:before="100" w:beforeAutospacing="1" w:after="100" w:afterAutospacing="1"/>
        <w:ind w:left="720"/>
        <w:rPr>
          <w:sz w:val="16"/>
        </w:rPr>
      </w:pPr>
      <w:r>
        <w:rPr>
          <w:sz w:val="16"/>
        </w:rPr>
        <w:t xml:space="preserve">COR-5 - Approve Evaluation Criteria, Methods and Measures </w:t>
      </w:r>
      <w:r>
        <w:br/>
      </w:r>
      <w:r>
        <w:rPr>
          <w:sz w:val="16"/>
        </w:rPr>
        <w:t xml:space="preserve">This key decision is not associated with application. </w:t>
      </w:r>
    </w:p>
    <w:p>
      <w:pPr>
        <w:pStyle w:val="html_content"/>
        <w:numPr>
          <w:ilvl w:val="0"/>
          <w:numId w:val="6"/>
        </w:numPr>
        <w:spacing w:before="100" w:beforeAutospacing="1" w:after="100" w:afterAutospacing="1"/>
        <w:ind w:left="720"/>
        <w:rPr>
          <w:sz w:val="16"/>
        </w:rPr>
      </w:pPr>
      <w:r>
        <w:rPr>
          <w:sz w:val="16"/>
        </w:rPr>
        <w:t xml:space="preserve">COR-6 - Approve Range of Solution Sets </w:t>
      </w:r>
      <w:r>
        <w:br/>
      </w:r>
      <w:r>
        <w:rPr>
          <w:sz w:val="16"/>
        </w:rPr>
        <w:t xml:space="preserve">Information provided on safety and security plans and GIS or field survey data, to inform the analysis of corridor solution sets. </w:t>
      </w:r>
    </w:p>
    <w:p>
      <w:pPr>
        <w:pStyle w:val="html_content"/>
        <w:numPr>
          <w:ilvl w:val="0"/>
          <w:numId w:val="6"/>
        </w:numPr>
        <w:spacing w:before="100" w:beforeAutospacing="1" w:after="100" w:afterAutospacing="1"/>
        <w:ind w:left="720"/>
        <w:rPr>
          <w:sz w:val="16"/>
        </w:rPr>
      </w:pPr>
      <w:r>
        <w:rPr>
          <w:sz w:val="16"/>
        </w:rPr>
        <w:t xml:space="preserve">COR-7 - Adopt Preferred Solution Set </w:t>
      </w:r>
      <w:r>
        <w:br/>
      </w:r>
      <w:r>
        <w:rPr>
          <w:sz w:val="16"/>
        </w:rPr>
        <w:t xml:space="preserve">This key decision is not associated with application. </w:t>
      </w:r>
    </w:p>
    <w:p>
      <w:pPr>
        <w:pStyle w:val="html_content"/>
        <w:numPr>
          <w:ilvl w:val="0"/>
          <w:numId w:val="6"/>
        </w:numPr>
        <w:spacing w:before="100" w:beforeAutospacing="1" w:after="100" w:afterAutospacing="1"/>
        <w:ind w:left="720"/>
        <w:rPr>
          <w:sz w:val="16"/>
        </w:rPr>
      </w:pPr>
      <w:r>
        <w:rPr>
          <w:sz w:val="16"/>
        </w:rPr>
        <w:t xml:space="preserve">COR-8 - Approve Evaluation Criteria, Methods and Measures for Prioritization of Projects </w:t>
      </w:r>
      <w:r>
        <w:br/>
      </w:r>
      <w:r>
        <w:rPr>
          <w:sz w:val="16"/>
        </w:rPr>
        <w:t xml:space="preserve">This key decision is not associated with application. </w:t>
      </w:r>
    </w:p>
    <w:p>
      <w:pPr>
        <w:pStyle w:val="html_content"/>
        <w:numPr>
          <w:ilvl w:val="0"/>
          <w:numId w:val="6"/>
        </w:numPr>
        <w:spacing w:before="100" w:beforeAutospacing="1" w:after="100" w:afterAutospacing="1"/>
        <w:ind w:left="720"/>
        <w:rPr>
          <w:sz w:val="16"/>
        </w:rPr>
      </w:pPr>
      <w:r>
        <w:rPr>
          <w:sz w:val="16"/>
        </w:rPr>
        <w:t xml:space="preserve">COR-9 - Adopt Priorities for Implementation </w:t>
      </w:r>
      <w:r>
        <w:br/>
      </w:r>
      <w:r>
        <w:rPr>
          <w:sz w:val="16"/>
        </w:rPr>
        <w:t xml:space="preserve">This key decision is not associated with application. </w:t>
      </w:r>
    </w:p>
    <w:p>
      <w:pPr>
        <w:pStyle w:val="html_content"/>
        <w:spacing w:before="100" w:beforeAutospacing="1" w:after="100" w:afterAutospacing="1"/>
        <w:rPr>
          <w:sz w:val="16"/>
        </w:rPr>
      </w:pPr>
      <w:r>
        <w:rPr>
          <w:b/>
          <w:sz w:val="16"/>
        </w:rPr>
        <w:t xml:space="preserve">Environmental Review/NEPA Merged with Permitting</w:t>
      </w:r>
    </w:p>
    <w:p>
      <w:pPr>
        <w:pStyle w:val="html_content"/>
        <w:numPr>
          <w:ilvl w:val="0"/>
          <w:numId w:val="7"/>
        </w:numPr>
        <w:spacing w:before="100" w:beforeAutospacing="1" w:after="100" w:afterAutospacing="1"/>
        <w:ind w:left="720"/>
        <w:rPr>
          <w:sz w:val="16"/>
        </w:rPr>
      </w:pPr>
      <w:r>
        <w:rPr>
          <w:sz w:val="16"/>
        </w:rPr>
        <w:t xml:space="preserve">ENV-1 - Reach Consensus on Scope of Environmental Review </w:t>
      </w:r>
      <w:r>
        <w:br/>
      </w:r>
      <w:r>
        <w:rPr>
          <w:sz w:val="16"/>
        </w:rPr>
        <w:t xml:space="preserve">Relevant data provided on safety and security, including information about plans and potential partnerships. </w:t>
      </w:r>
    </w:p>
    <w:p>
      <w:pPr>
        <w:pStyle w:val="html_content"/>
        <w:numPr>
          <w:ilvl w:val="0"/>
          <w:numId w:val="7"/>
        </w:numPr>
        <w:spacing w:before="100" w:beforeAutospacing="1" w:after="100" w:afterAutospacing="1"/>
        <w:ind w:left="720"/>
        <w:rPr>
          <w:sz w:val="16"/>
        </w:rPr>
      </w:pPr>
      <w:r>
        <w:rPr>
          <w:sz w:val="16"/>
        </w:rPr>
        <w:t xml:space="preserve">ENV-2 - Approve Notice of Intent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ENV-3 - Approve Purpose and Need/Reach Consensus on Project Purpose </w:t>
      </w:r>
      <w:r>
        <w:br/>
      </w:r>
      <w:r>
        <w:rPr>
          <w:sz w:val="16"/>
        </w:rPr>
        <w:t xml:space="preserve">Information provided on the safety and security context, to be used in the development of project purpose and need. </w:t>
      </w:r>
    </w:p>
    <w:p>
      <w:pPr>
        <w:pStyle w:val="html_content"/>
        <w:numPr>
          <w:ilvl w:val="0"/>
          <w:numId w:val="7"/>
        </w:numPr>
        <w:spacing w:before="100" w:beforeAutospacing="1" w:after="100" w:afterAutospacing="1"/>
        <w:ind w:left="720"/>
        <w:rPr>
          <w:sz w:val="16"/>
        </w:rPr>
      </w:pPr>
      <w:r>
        <w:rPr>
          <w:sz w:val="16"/>
        </w:rPr>
        <w:t xml:space="preserve">ENV-4 - Reach Consensus on Study Area </w:t>
      </w:r>
      <w:r>
        <w:br/>
      </w:r>
      <w:r>
        <w:rPr>
          <w:sz w:val="16"/>
        </w:rPr>
        <w:t xml:space="preserve">Information provided on approved safety and security plans, to inform the definition of the environmental review study area. </w:t>
      </w:r>
    </w:p>
    <w:p>
      <w:pPr>
        <w:pStyle w:val="html_content"/>
        <w:numPr>
          <w:ilvl w:val="0"/>
          <w:numId w:val="7"/>
        </w:numPr>
        <w:spacing w:before="100" w:beforeAutospacing="1" w:after="100" w:afterAutospacing="1"/>
        <w:ind w:left="720"/>
        <w:rPr>
          <w:sz w:val="16"/>
        </w:rPr>
      </w:pPr>
      <w:r>
        <w:rPr>
          <w:sz w:val="16"/>
        </w:rPr>
        <w:t xml:space="preserve">ENV-5 - Approve Evaluation Criteria, Methods and Measures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ENV-6 - Approve Full Range of Alternatives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ENV-7 - Approve Alternatives to be Carried Forward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ENV-8 - Approve Draft EIS with Conceptual Mitigation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ENV-9 - Approve Resource Agency Public Notice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ENV-10 - Approve Preferred Alternative / LEDPA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ENV-11 - Approve Final Jurisdictional Determination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ENV-12 - Reach Consensus on Avoidance and Minimization for the LEDPA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ENV-13 - Approve Final EIS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ENV-14 - Approve the Record of Decision </w:t>
      </w:r>
      <w:r>
        <w:br/>
      </w:r>
      <w:r>
        <w:rPr>
          <w:sz w:val="16"/>
        </w:rPr>
        <w:t xml:space="preserve">This key decision is not associated with application. </w:t>
      </w:r>
    </w:p>
    <w:p>
      <w:pPr>
        <w:pStyle w:val="html_content"/>
        <w:numPr>
          <w:ilvl w:val="0"/>
          <w:numId w:val="7"/>
        </w:numPr>
        <w:spacing w:before="100" w:beforeAutospacing="1" w:after="100" w:afterAutospacing="1"/>
        <w:ind w:left="720"/>
        <w:rPr>
          <w:sz w:val="16"/>
        </w:rPr>
      </w:pPr>
      <w:r>
        <w:rPr>
          <w:sz w:val="16"/>
        </w:rPr>
        <w:t xml:space="preserve">ENV-15 - Render Permit Decision and Approve Avoidance and Minimization </w:t>
      </w:r>
      <w:r>
        <w:br/>
      </w:r>
      <w:r>
        <w:rPr>
          <w:sz w:val="16"/>
        </w:rPr>
        <w:t xml:space="preserve">This key decision is not associated with application. </w:t>
      </w:r>
    </w:p>
    <w:p>
      <w:pPr>
        <w:spacing/>
        <w:rPr/>
      </w:pPr>
    </w:p>
    <w:sectPr>
      <w:footerReference w:type="default" r:id="rId1"/>
      <w:type w:val="nextPage"/>
      <w:pgSz w:w="12240" w:h="15840"/>
      <w:pgMar w:top="960" w:right="720" w:bottom="960" w:left="720" w:gutter="0"/>
      <w:pgBorders/>
      <w:pgNumType w:fmt="decimal"/>
      <w:col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rPr/>
    </w:pPr>
    <w:r>
      <w:rPr/>
      <w:t xml:space="preserve">Page </w:t>
    </w:r>
    <w:r>
      <w:rPr/>
      <w:fldChar w:fldCharType="begin"/>
    </w:r>
    <w:r>
      <w:rPr/>
      <w:instrText>PAGE Page</w:instrText>
    </w:r>
    <w:r>
      <w:rPr/>
      <w:fldChar w:fldCharType="separate"/>
    </w:r>
    <w:r>
      <w:rPr/>
      <w:t xml:space="preserve">Page</w:t>
    </w:r>
    <w:r>
      <w:rPr/>
      <w:fldChar w:fldCharType="end"/>
    </w:r>
    <w:r>
      <w:rPr/>
      <w:t xml:space="preserve"> of </w:t>
    </w:r>
    <w:r>
      <w:rPr/>
      <w:fldChar w:fldCharType="begin"/>
    </w:r>
    <w:r>
      <w:rPr/>
      <w:instrText xml:space="preserve">NUMPAGES Pages</w:instrText>
    </w:r>
    <w:r>
      <w:rPr/>
      <w:fldChar w:fldCharType="separate"/>
    </w:r>
    <w:r>
      <w:rPr/>
      <w:t xml:space="preserve">Pages</w:t>
    </w:r>
    <w: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tabs>
          <w:tab w:val="left" w:pos="200"/>
        </w:tabs>
        <w:spacing/>
        <w:ind w:left="720" w:hanging="36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3">
    <w:lvl w:ilvl="0">
      <w:start w:val="1"/>
      <w:numFmt w:val="bullet"/>
      <w:suff w:val="tab"/>
      <w:lvlText w:val=""/>
      <w:pPr>
        <w:tabs>
          <w:tab w:val="left" w:pos="200"/>
        </w:tabs>
        <w:spacing/>
        <w:ind w:left="720" w:hanging="36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4">
    <w:lvl w:ilvl="0">
      <w:start w:val="1"/>
      <w:numFmt w:val="bullet"/>
      <w:suff w:val="tab"/>
      <w:lvlText w:val=""/>
      <w:pPr>
        <w:tabs>
          <w:tab w:val="left" w:pos="200"/>
        </w:tabs>
        <w:spacing/>
        <w:ind w:left="720" w:hanging="36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5">
    <w:lvl w:ilvl="0">
      <w:start w:val="1"/>
      <w:numFmt w:val="bullet"/>
      <w:suff w:val="tab"/>
      <w:lvlText w:val=""/>
      <w:pPr>
        <w:tabs>
          <w:tab w:val="left" w:pos="200"/>
        </w:tabs>
        <w:spacing/>
        <w:ind w:left="720" w:hanging="36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6">
    <w:lvl w:ilvl="0">
      <w:start w:val="1"/>
      <w:numFmt w:val="bullet"/>
      <w:suff w:val="tab"/>
      <w:lvlText w:val=""/>
      <w:pPr>
        <w:tabs>
          <w:tab w:val="left" w:pos="200"/>
        </w:tabs>
        <w:spacing/>
        <w:ind w:left="720" w:hanging="36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720"/>
  <w:compat>
    <w:compatSetting w:name="compatibilityMode" w:uri="http://schemas.microsoft.com/office/word" w:val="12"/>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pPr>
      <w:spacing/>
    </w:pPr>
    <w:rPr>
      <w:rFonts w:ascii="Times New Roman" w:hAnsi="Times New Roman" w:eastAsia="Times New Roman"/>
      <w:sz w:val="24"/>
      <w:szCs w:val="24"/>
      <w:lang w:val="en-US" w:eastAsia="en-US"/>
    </w:rPr>
  </w:style>
  <w:style w:type="paragraph" w:styleId="footer">
    <w:name w:val="footer"/>
    <w:basedOn w:val="Normal"/>
    <w:next w:val="footer"/>
    <w:pPr>
      <w:spacing/>
      <w:jc w:val="center"/>
    </w:pPr>
    <w:rPr>
      <w:rFonts w:ascii="Arial" w:hAnsi="Arial" w:eastAsia="Arial" w:cs="Arial"/>
      <w:i/>
      <w:sz w:val="16"/>
    </w:rPr>
  </w:style>
  <w:style w:type="paragraph" w:styleId="html_content" w:customStyle="1">
    <w:name w:val="html_content"/>
    <w:basedOn w:val="Normal"/>
    <w:next w:val="html_content"/>
    <w:pPr>
      <w:spacing/>
    </w:pPr>
    <w:rPr>
      <w:rFonts w:ascii="Arial" w:hAnsi="Arial" w:eastAsia="Arial" w:cs="Arial"/>
      <w:sz w:val="16"/>
    </w:rPr>
  </w:style>
  <w:style w:type="paragraph" w:styleId="Heading2">
    <w:name w:val="Heading 2"/>
    <w:basedOn w:val="Normal"/>
    <w:next w:val="Heading2"/>
    <w:pPr>
      <w:keepNext w:val="0"/>
      <w:spacing w:before="240" w:after="60"/>
      <w:outlineLvl w:val="1"/>
    </w:pPr>
    <w:rPr>
      <w:rFonts w:ascii="Arial" w:hAnsi="Arial" w:cs="Arial"/>
      <w:b/>
      <w:bCs/>
      <w:i/>
      <w:iCs/>
      <w:sz w:val="28"/>
      <w:szCs w:val="28"/>
    </w:rPr>
  </w:style>
</w:styles>
</file>

<file path=word/_rels/document.xml.rels>&#65279;<?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numbering" Target="numbering.xml" /><Relationship Id="rId1" Type="http://schemas.openxmlformats.org/officeDocument/2006/relationships/footer" Target="footer1.xml" /></Relationships>
</file>

<file path=docProps/app.xml><?xml version="1.0" encoding="utf-8"?>
<Properties xmlns:vt="http://schemas.openxmlformats.org/officeDocument/2006/docPropsVTypes" xmlns="http://schemas.openxmlformats.org/officeDocument/2006/extended-properti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