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110"/>
        <w:gridCol w:w="2601"/>
        <w:gridCol w:w="2310"/>
        <w:gridCol w:w="1901"/>
        <w:gridCol w:w="1808"/>
      </w:tblGrid>
      <w:tr w:rsidR="00196B88" w:rsidRPr="00017705" w:rsidTr="00DE7B93">
        <w:trPr>
          <w:cantSplit/>
          <w:jc w:val="center"/>
        </w:trPr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DATA ITEM DESCRIPTION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196B88" w:rsidRPr="00017705" w:rsidTr="00DE7B93">
        <w:trPr>
          <w:cantSplit/>
          <w:jc w:val="center"/>
        </w:trPr>
        <w:tc>
          <w:tcPr>
            <w:tcW w:w="70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  TITLE</w:t>
            </w:r>
          </w:p>
        </w:tc>
        <w:tc>
          <w:tcPr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2.  IDENTIFICATION NUMBER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70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0B49FC" w:rsidP="00DE7B9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Design To Cost (DTC) Status Report</w:t>
            </w:r>
          </w:p>
        </w:tc>
        <w:tc>
          <w:tcPr>
            <w:tcW w:w="3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0B49FC" w:rsidP="00DE7B9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DI-MISC-80857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3.  DESCRIPTION/PURPOSE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3.1 The DTC Status Report shows the contractor performance of cost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management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and the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ction being taken,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to correct adverse trends.</w:t>
            </w:r>
          </w:p>
          <w:p w:rsidR="00196B88" w:rsidRPr="00C425D4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 The report can be used to determine if cost targets have been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reached.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196B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88" w:rsidRPr="00017705" w:rsidTr="00DE7B93">
        <w:trPr>
          <w:cantSplit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4.  APPROVAL DATE (YYMMDD)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5.  OFFICE OF PRIMARY RESPONSIBILITY (OPR)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6a.  DTC APPLICABLE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6b.  GIDEP APPLICABLE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0B49FC" w:rsidP="00DE7B93">
            <w:pPr>
              <w:tabs>
                <w:tab w:val="left" w:pos="720"/>
              </w:tabs>
              <w:spacing w:befor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890619</w:t>
            </w:r>
          </w:p>
        </w:tc>
        <w:tc>
          <w:tcPr>
            <w:tcW w:w="49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0B49FC" w:rsidP="00DE7B93">
            <w:pPr>
              <w:tabs>
                <w:tab w:val="left" w:pos="7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A/AMCDE-PQ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7.  APPLICATION/INTERRELATIONSHIP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D4" w:rsidRDefault="00C425D4" w:rsidP="00C425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7.1 This Data Item Description 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DID) contains the format and content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preparation instructions for the DTC Status Report resulting from the work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task described in 4.1.1 of MIL-STD-337.</w:t>
            </w:r>
          </w:p>
          <w:p w:rsidR="00196B88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7.2 This DID is only applicable when a Design To Cost Program is 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contractual requirement.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7.3 The specific media requirement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for delivery of the DTC status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report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by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electronic mail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or other preferred methods will be determined by the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Government user activity and provided in block 16 of the DD Form 1423.</w:t>
            </w:r>
          </w:p>
          <w:p w:rsidR="000B49FC" w:rsidRPr="00017705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7.4 This DID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supersede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B49FC">
              <w:rPr>
                <w:rFonts w:ascii="Times New Roman" w:hAnsi="Times New Roman" w:cs="Times New Roman"/>
                <w:sz w:val="25"/>
                <w:szCs w:val="25"/>
              </w:rPr>
              <w:t>DI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B49FC">
              <w:rPr>
                <w:rFonts w:ascii="Times New Roman" w:hAnsi="Times New Roman" w:cs="Times New Roman"/>
                <w:sz w:val="25"/>
                <w:szCs w:val="25"/>
              </w:rPr>
              <w:t>A-1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0B49FC">
              <w:rPr>
                <w:rFonts w:ascii="Times New Roman" w:hAnsi="Times New Roman" w:cs="Times New Roman"/>
                <w:sz w:val="25"/>
                <w:szCs w:val="25"/>
              </w:rPr>
              <w:t>18,</w:t>
            </w:r>
            <w:r>
              <w:rPr>
                <w:rFonts w:ascii="HiddenHorzOCR" w:eastAsia="HiddenHorzOCR" w:hAnsi="Times New Roman" w:cs="HiddenHorzOCR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U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DI-A-21396A, and UDI-A-22B56A.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8.  APPROVAL LIMITATION</w:t>
            </w:r>
          </w:p>
        </w:tc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9a.  REFERENCES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9b.  AMSC NUMBER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4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C425D4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88" w:rsidRPr="00017705" w:rsidRDefault="00196B88" w:rsidP="00DE7B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017705" w:rsidRDefault="000B49FC" w:rsidP="00DE7B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F4758</w:t>
            </w: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Default="00196B88" w:rsidP="00DE7B9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 PREPARATION INSTRUCTIONS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10.1 Format. The DTC Status Report format shall be contractor selected.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Unless effective presentation would be degraded, the initially used format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arrangement shall be used for all subsequent submissions.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10.2 Content. The DTC Status Report shall contain the following: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10.2.1 Cost target reporting. This section of the report shall summarize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the progress in meeting the cost targets, or if targets have not yet been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established, report the status of the present estimates compared to the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baseline estimates. The DTC Status Report shall be sufficiently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comprehensive to enable the procuring activity to monitor the contractual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effort to ensure timely and effective execution of the DTC program.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Additionally, the final periodic status report shall present as an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appendix, with supporting rationale, the contractor's cost targets for the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next phase effort.</w:t>
            </w:r>
          </w:p>
          <w:p w:rsidR="000B49FC" w:rsidRDefault="000B49FC" w:rsidP="000B49F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.2.2 Life cycle cost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(LCC)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and cost target tracking. This section of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the report shall compare the current status versus target and current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status versus the previously reported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status. For LCC this comparison shall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be the current LCC estimate versus the baseline LCC estimate and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previous LCC estimate to illustrate LCC trends. For cost targets this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comparison shall .be in terms of top level targets and any allocated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sub targets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 Whenever the cost targets or the baseline LCC estimate is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changed include an explanation and a quantitative substantiation for the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change. Also, this section shall contain the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curr.ent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list of high risk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and high cost items.</w:t>
            </w:r>
          </w:p>
          <w:p w:rsidR="000B49FC" w:rsidRPr="00C425D4" w:rsidRDefault="000B49FC" w:rsidP="000B49F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Pr="00C425D4" w:rsidRDefault="00196B88" w:rsidP="00196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B88" w:rsidRDefault="00196B88" w:rsidP="00DE7B93">
            <w:pPr>
              <w:tabs>
                <w:tab w:val="left" w:pos="720"/>
              </w:tabs>
              <w:ind w:left="5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1770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11.  DISTRIBUTION STATEMENT</w:t>
            </w:r>
          </w:p>
          <w:p w:rsidR="00196B88" w:rsidRPr="00017705" w:rsidRDefault="00196B88" w:rsidP="00DE7B93">
            <w:pPr>
              <w:tabs>
                <w:tab w:val="left" w:pos="720"/>
              </w:tabs>
              <w:ind w:left="56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196B88" w:rsidRPr="00017705" w:rsidTr="00DE7B93">
        <w:trPr>
          <w:cantSplit/>
          <w:jc w:val="center"/>
        </w:trPr>
        <w:tc>
          <w:tcPr>
            <w:tcW w:w="107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88" w:rsidRPr="009B1A58" w:rsidRDefault="009B1A58" w:rsidP="00DE7B9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A58">
              <w:rPr>
                <w:rFonts w:ascii="Times New Roman" w:hAnsi="Times New Roman" w:cs="Times New Roman"/>
                <w:bCs/>
                <w:sz w:val="20"/>
                <w:szCs w:val="20"/>
              </w:rPr>
              <w:t>DISTRIBUTION STATEMENT A.  Approved for public release; distribution is unlimited</w:t>
            </w:r>
          </w:p>
        </w:tc>
      </w:tr>
    </w:tbl>
    <w:p w:rsidR="000B49FC" w:rsidRDefault="000B49FC" w:rsidP="00196B88"/>
    <w:p w:rsidR="000B49FC" w:rsidRDefault="000B49FC">
      <w:r>
        <w:br w:type="page"/>
      </w:r>
    </w:p>
    <w:p w:rsidR="000B49FC" w:rsidRDefault="000B49FC" w:rsidP="000B49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10</w:t>
      </w:r>
      <w:r>
        <w:rPr>
          <w:rFonts w:ascii="Times New Roman" w:hAnsi="Times New Roman" w:cs="Times New Roman"/>
          <w:sz w:val="25"/>
          <w:szCs w:val="25"/>
        </w:rPr>
        <w:t>.2.3 Cost trend analysis. This section of the report shall evaluate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the tracking information to identify adver</w:t>
      </w:r>
      <w:r>
        <w:rPr>
          <w:rFonts w:ascii="Times New Roman" w:hAnsi="Times New Roman" w:cs="Times New Roman"/>
          <w:sz w:val="25"/>
          <w:szCs w:val="25"/>
        </w:rPr>
        <w:t xml:space="preserve">se trends in terms of LCC, cost </w:t>
      </w:r>
      <w:r>
        <w:rPr>
          <w:rFonts w:ascii="Times New Roman" w:hAnsi="Times New Roman" w:cs="Times New Roman"/>
          <w:sz w:val="25"/>
          <w:szCs w:val="25"/>
        </w:rPr>
        <w:t>targets, and the individual allocated cost sub</w:t>
      </w:r>
      <w:r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targets. A chart shall depict the cost tracking data points and thresholds from the beginning of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effort through the current status, i.e</w:t>
      </w:r>
      <w:r>
        <w:rPr>
          <w:rFonts w:ascii="Times New Roman" w:hAnsi="Times New Roman" w:cs="Times New Roman"/>
          <w:sz w:val="25"/>
          <w:szCs w:val="25"/>
        </w:rPr>
        <w:t xml:space="preserve">., current chart includes all </w:t>
      </w:r>
      <w:r>
        <w:rPr>
          <w:rFonts w:ascii="Times New Roman" w:hAnsi="Times New Roman" w:cs="Times New Roman"/>
          <w:sz w:val="25"/>
          <w:szCs w:val="25"/>
        </w:rPr>
        <w:t>previous data plus current data. Identified problem areas shall be analyzed for remedial action. When implemented these remedial actions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become cost reduction initiatives.</w:t>
      </w:r>
    </w:p>
    <w:p w:rsidR="000B49FC" w:rsidRDefault="000B49FC" w:rsidP="000B49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:rsidR="000B49FC" w:rsidRDefault="000B49FC" w:rsidP="000B49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10.2.4 Cost reduction initiatives. This section of the report shall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summarize progress in carrying out the initiatives identified by the cost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trend analysis. For each initiative discu</w:t>
      </w:r>
      <w:r>
        <w:rPr>
          <w:rFonts w:ascii="Times New Roman" w:hAnsi="Times New Roman" w:cs="Times New Roman"/>
          <w:sz w:val="25"/>
          <w:szCs w:val="25"/>
        </w:rPr>
        <w:t xml:space="preserve">ss the background, action taken </w:t>
      </w:r>
      <w:r>
        <w:rPr>
          <w:rFonts w:ascii="Times New Roman" w:hAnsi="Times New Roman" w:cs="Times New Roman"/>
          <w:sz w:val="25"/>
          <w:szCs w:val="25"/>
        </w:rPr>
        <w:t xml:space="preserve">to date, action </w:t>
      </w:r>
      <w:r>
        <w:rPr>
          <w:rFonts w:ascii="Times New Roman" w:hAnsi="Times New Roman" w:cs="Times New Roman"/>
          <w:sz w:val="25"/>
          <w:szCs w:val="25"/>
        </w:rPr>
        <w:t>planned</w:t>
      </w:r>
      <w:r>
        <w:rPr>
          <w:rFonts w:ascii="Times New Roman" w:hAnsi="Times New Roman" w:cs="Times New Roman"/>
          <w:sz w:val="25"/>
          <w:szCs w:val="25"/>
        </w:rPr>
        <w:t>, and the current assessment of successful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completion. Periodic progress on efforts to rectify a cost target 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threshold breach as identified in a DTC action plan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shall be reported in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this section.</w:t>
      </w:r>
    </w:p>
    <w:p w:rsidR="00174A41" w:rsidRDefault="00174A41" w:rsidP="000B49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:rsidR="00196B88" w:rsidRPr="000B49FC" w:rsidRDefault="000B49FC" w:rsidP="000B49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10.2.5 Tradeoff activity. This section shall summarize formal </w:t>
      </w:r>
      <w:r w:rsidR="00174A41">
        <w:rPr>
          <w:rFonts w:ascii="Times New Roman" w:hAnsi="Times New Roman" w:cs="Times New Roman"/>
          <w:sz w:val="25"/>
          <w:szCs w:val="25"/>
        </w:rPr>
        <w:t>tradeoff study</w:t>
      </w:r>
      <w:r>
        <w:rPr>
          <w:rFonts w:ascii="Times New Roman" w:hAnsi="Times New Roman" w:cs="Times New Roman"/>
          <w:sz w:val="25"/>
          <w:szCs w:val="25"/>
        </w:rPr>
        <w:t xml:space="preserve"> activity (including any DTC tradeoff studies) and any significant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informal tradeoff activity occurring </w:t>
      </w:r>
      <w:r w:rsidR="00174A41">
        <w:rPr>
          <w:rFonts w:ascii="Times New Roman" w:hAnsi="Times New Roman" w:cs="Times New Roman"/>
          <w:sz w:val="25"/>
          <w:szCs w:val="25"/>
        </w:rPr>
        <w:t xml:space="preserve">or completed since the previous </w:t>
      </w:r>
      <w:r>
        <w:rPr>
          <w:rFonts w:ascii="Times New Roman" w:hAnsi="Times New Roman" w:cs="Times New Roman"/>
          <w:sz w:val="25"/>
          <w:szCs w:val="25"/>
        </w:rPr>
        <w:t>reporting period. These tradeoffs shall be conducted relative to the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established cost drivers, a list of which shall be sent to the program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office for approval. A table shall identify all tradeoff </w:t>
      </w:r>
      <w:r w:rsidR="00174A41">
        <w:rPr>
          <w:rFonts w:ascii="Times New Roman" w:hAnsi="Times New Roman" w:cs="Times New Roman"/>
          <w:sz w:val="25"/>
          <w:szCs w:val="25"/>
        </w:rPr>
        <w:t xml:space="preserve">studies </w:t>
      </w:r>
      <w:r>
        <w:rPr>
          <w:rFonts w:ascii="Times New Roman" w:hAnsi="Times New Roman" w:cs="Times New Roman"/>
          <w:sz w:val="25"/>
          <w:szCs w:val="25"/>
        </w:rPr>
        <w:t>completed, underway, and planned. When the DTC recommended alternative in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formal tradeoffs or the low cost affordable option in informal tradeoffs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is not selected, include an explanation of why the cost-preferred</w:t>
      </w:r>
      <w:r w:rsidR="00174A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alternative was not adopted.</w:t>
      </w:r>
    </w:p>
    <w:sectPr w:rsidR="00196B88" w:rsidRPr="000B49FC" w:rsidSect="000B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300" w:h="159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D7" w:rsidRDefault="00B81CD7" w:rsidP="00B81CD7">
      <w:r>
        <w:separator/>
      </w:r>
    </w:p>
  </w:endnote>
  <w:endnote w:type="continuationSeparator" w:id="0">
    <w:p w:rsidR="00B81CD7" w:rsidRDefault="00B81CD7" w:rsidP="00B8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D7" w:rsidRDefault="00B81CD7" w:rsidP="00B81CD7">
      <w:r>
        <w:separator/>
      </w:r>
    </w:p>
  </w:footnote>
  <w:footnote w:type="continuationSeparator" w:id="0">
    <w:p w:rsidR="00B81CD7" w:rsidRDefault="00B81CD7" w:rsidP="00B8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D7" w:rsidRDefault="00B81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034"/>
    <w:multiLevelType w:val="hybridMultilevel"/>
    <w:tmpl w:val="39803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946"/>
    <w:multiLevelType w:val="multilevel"/>
    <w:tmpl w:val="8D14E1F6"/>
    <w:lvl w:ilvl="0">
      <w:start w:val="10"/>
      <w:numFmt w:val="decimal"/>
      <w:lvlText w:val="%1"/>
      <w:lvlJc w:val="left"/>
      <w:pPr>
        <w:ind w:hanging="68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88"/>
      </w:pPr>
      <w:rPr>
        <w:rFonts w:ascii="Courier New" w:eastAsia="Courier New" w:hAnsi="Courier New" w:hint="default"/>
        <w:w w:val="88"/>
        <w:sz w:val="24"/>
        <w:szCs w:val="24"/>
      </w:rPr>
    </w:lvl>
    <w:lvl w:ilvl="2">
      <w:start w:val="1"/>
      <w:numFmt w:val="lowerLetter"/>
      <w:lvlText w:val="%3."/>
      <w:lvlJc w:val="left"/>
      <w:pPr>
        <w:ind w:hanging="469"/>
      </w:pPr>
      <w:rPr>
        <w:rFonts w:ascii="Courier New" w:eastAsia="Courier New" w:hAnsi="Courier New" w:hint="default"/>
        <w:w w:val="88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F06668"/>
    <w:multiLevelType w:val="hybridMultilevel"/>
    <w:tmpl w:val="E37214B0"/>
    <w:lvl w:ilvl="0" w:tplc="13608DBA">
      <w:start w:val="3"/>
      <w:numFmt w:val="lowerLetter"/>
      <w:lvlText w:val="%1."/>
      <w:lvlJc w:val="left"/>
      <w:pPr>
        <w:ind w:hanging="360"/>
      </w:pPr>
      <w:rPr>
        <w:rFonts w:ascii="Courier New" w:eastAsia="Courier New" w:hAnsi="Courier New" w:hint="default"/>
        <w:w w:val="92"/>
        <w:sz w:val="24"/>
        <w:szCs w:val="24"/>
      </w:rPr>
    </w:lvl>
    <w:lvl w:ilvl="1" w:tplc="AC8E631A">
      <w:start w:val="1"/>
      <w:numFmt w:val="bullet"/>
      <w:lvlText w:val="•"/>
      <w:lvlJc w:val="left"/>
      <w:rPr>
        <w:rFonts w:hint="default"/>
      </w:rPr>
    </w:lvl>
    <w:lvl w:ilvl="2" w:tplc="48B0043E">
      <w:start w:val="1"/>
      <w:numFmt w:val="bullet"/>
      <w:lvlText w:val="•"/>
      <w:lvlJc w:val="left"/>
      <w:rPr>
        <w:rFonts w:hint="default"/>
      </w:rPr>
    </w:lvl>
    <w:lvl w:ilvl="3" w:tplc="123E1FEE">
      <w:start w:val="1"/>
      <w:numFmt w:val="bullet"/>
      <w:lvlText w:val="•"/>
      <w:lvlJc w:val="left"/>
      <w:rPr>
        <w:rFonts w:hint="default"/>
      </w:rPr>
    </w:lvl>
    <w:lvl w:ilvl="4" w:tplc="2DF2FD94">
      <w:start w:val="1"/>
      <w:numFmt w:val="bullet"/>
      <w:lvlText w:val="•"/>
      <w:lvlJc w:val="left"/>
      <w:rPr>
        <w:rFonts w:hint="default"/>
      </w:rPr>
    </w:lvl>
    <w:lvl w:ilvl="5" w:tplc="9F32D54C">
      <w:start w:val="1"/>
      <w:numFmt w:val="bullet"/>
      <w:lvlText w:val="•"/>
      <w:lvlJc w:val="left"/>
      <w:rPr>
        <w:rFonts w:hint="default"/>
      </w:rPr>
    </w:lvl>
    <w:lvl w:ilvl="6" w:tplc="6F744400">
      <w:start w:val="1"/>
      <w:numFmt w:val="bullet"/>
      <w:lvlText w:val="•"/>
      <w:lvlJc w:val="left"/>
      <w:rPr>
        <w:rFonts w:hint="default"/>
      </w:rPr>
    </w:lvl>
    <w:lvl w:ilvl="7" w:tplc="32740B50">
      <w:start w:val="1"/>
      <w:numFmt w:val="bullet"/>
      <w:lvlText w:val="•"/>
      <w:lvlJc w:val="left"/>
      <w:rPr>
        <w:rFonts w:hint="default"/>
      </w:rPr>
    </w:lvl>
    <w:lvl w:ilvl="8" w:tplc="3DC89A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974F56"/>
    <w:multiLevelType w:val="multilevel"/>
    <w:tmpl w:val="5BA08E4C"/>
    <w:lvl w:ilvl="0">
      <w:start w:val="7"/>
      <w:numFmt w:val="decimal"/>
      <w:lvlText w:val="%1."/>
      <w:lvlJc w:val="left"/>
      <w:pPr>
        <w:ind w:hanging="177"/>
      </w:pPr>
      <w:rPr>
        <w:rFonts w:ascii="Arial" w:eastAsia="Arial" w:hAnsi="Arial" w:hint="default"/>
        <w:w w:val="93"/>
        <w:sz w:val="15"/>
        <w:szCs w:val="15"/>
      </w:rPr>
    </w:lvl>
    <w:lvl w:ilvl="1">
      <w:start w:val="1"/>
      <w:numFmt w:val="decimal"/>
      <w:lvlText w:val="%1.%2"/>
      <w:lvlJc w:val="left"/>
      <w:pPr>
        <w:ind w:hanging="569"/>
      </w:pPr>
      <w:rPr>
        <w:rFonts w:ascii="Courier New" w:eastAsia="Courier New" w:hAnsi="Courier New" w:hint="default"/>
        <w:w w:val="8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3665E71"/>
    <w:multiLevelType w:val="multilevel"/>
    <w:tmpl w:val="7532953E"/>
    <w:lvl w:ilvl="0">
      <w:start w:val="10"/>
      <w:numFmt w:val="decimal"/>
      <w:lvlText w:val="%1"/>
      <w:lvlJc w:val="left"/>
      <w:pPr>
        <w:ind w:hanging="92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9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27"/>
      </w:pPr>
      <w:rPr>
        <w:rFonts w:ascii="Courier New" w:eastAsia="Courier New" w:hAnsi="Courier New" w:hint="default"/>
        <w:w w:val="81"/>
        <w:sz w:val="24"/>
        <w:szCs w:val="24"/>
      </w:rPr>
    </w:lvl>
    <w:lvl w:ilvl="3">
      <w:start w:val="1"/>
      <w:numFmt w:val="lowerLetter"/>
      <w:lvlText w:val="%4."/>
      <w:lvlJc w:val="left"/>
      <w:pPr>
        <w:ind w:hanging="354"/>
      </w:pPr>
      <w:rPr>
        <w:rFonts w:ascii="Courier New" w:eastAsia="Courier New" w:hAnsi="Courier New" w:hint="default"/>
        <w:w w:val="92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4F7F70"/>
    <w:multiLevelType w:val="hybridMultilevel"/>
    <w:tmpl w:val="39803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D2A7A"/>
    <w:multiLevelType w:val="hybridMultilevel"/>
    <w:tmpl w:val="D5269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F22C3"/>
    <w:multiLevelType w:val="hybridMultilevel"/>
    <w:tmpl w:val="C35AE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AF"/>
    <w:rsid w:val="000B49FC"/>
    <w:rsid w:val="00142990"/>
    <w:rsid w:val="00174A41"/>
    <w:rsid w:val="00196B88"/>
    <w:rsid w:val="00373CE2"/>
    <w:rsid w:val="00611D39"/>
    <w:rsid w:val="0068433D"/>
    <w:rsid w:val="006B70AF"/>
    <w:rsid w:val="009B1A58"/>
    <w:rsid w:val="00B81CD7"/>
    <w:rsid w:val="00C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1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CD7"/>
  </w:style>
  <w:style w:type="paragraph" w:styleId="Footer">
    <w:name w:val="footer"/>
    <w:basedOn w:val="Normal"/>
    <w:link w:val="FooterChar"/>
    <w:uiPriority w:val="99"/>
    <w:unhideWhenUsed/>
    <w:rsid w:val="00B8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1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CD7"/>
  </w:style>
  <w:style w:type="paragraph" w:styleId="Footer">
    <w:name w:val="footer"/>
    <w:basedOn w:val="Normal"/>
    <w:link w:val="FooterChar"/>
    <w:uiPriority w:val="99"/>
    <w:unhideWhenUsed/>
    <w:rsid w:val="00B8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D6DB-0C56-4DAB-8694-C98F6E1D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2015-04-21T14:09:00Z</dcterms:created>
  <dcterms:modified xsi:type="dcterms:W3CDTF">2015-04-21T14:38:00Z</dcterms:modified>
</cp:coreProperties>
</file>