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BB" w:rsidRDefault="007A3960">
      <w:pPr>
        <w:pStyle w:val="PlainText"/>
        <w:jc w:val="right"/>
        <w:rPr>
          <w:rFonts w:ascii="Times New Roman" w:eastAsia="MS Mincho" w:hAnsi="Times New Roman"/>
          <w:vanish/>
        </w:rPr>
      </w:pPr>
      <w:r>
        <w:rPr>
          <w:rFonts w:ascii="Times New Roman" w:eastAsia="MS Mincho" w:hAnsi="Times New Roman"/>
          <w:vanish/>
        </w:rPr>
        <w:t>09/11</w:t>
      </w:r>
      <w:r w:rsidR="009E0277">
        <w:rPr>
          <w:rFonts w:ascii="Times New Roman" w:eastAsia="MS Mincho" w:hAnsi="Times New Roman"/>
          <w:vanish/>
        </w:rPr>
        <w:t>/</w:t>
      </w:r>
      <w:r w:rsidR="00325E12">
        <w:rPr>
          <w:rFonts w:ascii="Times New Roman" w:eastAsia="MS Mincho" w:hAnsi="Times New Roman"/>
          <w:vanish/>
        </w:rPr>
        <w:t>20</w:t>
      </w:r>
      <w:r w:rsidR="009E0277">
        <w:rPr>
          <w:rFonts w:ascii="Times New Roman" w:eastAsia="MS Mincho" w:hAnsi="Times New Roman"/>
          <w:vanish/>
        </w:rPr>
        <w:t>1</w:t>
      </w:r>
      <w:r w:rsidR="00A91272">
        <w:rPr>
          <w:rFonts w:ascii="Times New Roman" w:eastAsia="MS Mincho" w:hAnsi="Times New Roman"/>
          <w:vanish/>
        </w:rPr>
        <w:t>4</w:t>
      </w:r>
    </w:p>
    <w:p w:rsidR="00AF6DBB" w:rsidRDefault="00AF6DBB">
      <w:pPr>
        <w:pStyle w:val="PlainText"/>
        <w:jc w:val="right"/>
        <w:rPr>
          <w:rFonts w:ascii="Times New Roman" w:eastAsia="MS Mincho" w:hAnsi="Times New Roman"/>
          <w:vanish/>
        </w:rPr>
      </w:pPr>
      <w:r>
        <w:rPr>
          <w:rFonts w:ascii="Times New Roman" w:eastAsia="MS Mincho" w:hAnsi="Times New Roman"/>
          <w:vanish/>
        </w:rPr>
        <w:t>S154-</w:t>
      </w:r>
      <w:r w:rsidR="00D76553">
        <w:rPr>
          <w:rFonts w:ascii="Times New Roman" w:eastAsia="MS Mincho" w:hAnsi="Times New Roman"/>
          <w:vanish/>
        </w:rPr>
        <w:t>14</w:t>
      </w:r>
      <w:r w:rsidR="007A3960">
        <w:rPr>
          <w:rFonts w:ascii="Times New Roman" w:eastAsia="MS Mincho" w:hAnsi="Times New Roman"/>
          <w:vanish/>
        </w:rPr>
        <w:t>_09112014</w:t>
      </w:r>
      <w:bookmarkStart w:id="0" w:name="_GoBack"/>
      <w:bookmarkEnd w:id="0"/>
      <w:r>
        <w:rPr>
          <w:rFonts w:ascii="Times New Roman" w:eastAsia="MS Mincho" w:hAnsi="Times New Roman"/>
          <w:vanish/>
        </w:rPr>
        <w:t>.doc</w:t>
      </w:r>
      <w:r w:rsidR="00D974AD">
        <w:rPr>
          <w:rFonts w:ascii="Times New Roman" w:eastAsia="MS Mincho" w:hAnsi="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AF6DBB" w:rsidTr="00667A4B">
        <w:trPr>
          <w:hidden/>
        </w:trPr>
        <w:tc>
          <w:tcPr>
            <w:tcW w:w="9576" w:type="dxa"/>
          </w:tcPr>
          <w:p w:rsidR="00AF6DBB" w:rsidRDefault="00AF6DBB">
            <w:pPr>
              <w:pStyle w:val="PlainText"/>
              <w:rPr>
                <w:rFonts w:ascii="Arial" w:eastAsia="MS Mincho" w:hAnsi="Arial"/>
                <w:vanish/>
                <w:color w:val="0000FF"/>
              </w:rPr>
            </w:pPr>
            <w:r>
              <w:rPr>
                <w:rFonts w:ascii="Arial" w:eastAsia="MS Mincho" w:hAnsi="Arial"/>
                <w:vanish/>
                <w:color w:val="0000FF"/>
              </w:rPr>
              <w:t>Use on all projects when 154 is a bid item.</w:t>
            </w:r>
          </w:p>
        </w:tc>
      </w:tr>
    </w:tbl>
    <w:p w:rsidR="00667A4B" w:rsidRPr="003A33E2" w:rsidRDefault="00667A4B" w:rsidP="00667A4B">
      <w:pPr>
        <w:pStyle w:val="Heading2"/>
      </w:pPr>
      <w:bookmarkStart w:id="1" w:name="_Toc35158852"/>
      <w:bookmarkStart w:id="2" w:name="_Toc334092494"/>
      <w:bookmarkStart w:id="3" w:name="_Toc382981259"/>
      <w:proofErr w:type="gramStart"/>
      <w:r w:rsidRPr="003A33E2">
        <w:t>Section 154.</w:t>
      </w:r>
      <w:proofErr w:type="gramEnd"/>
      <w:r w:rsidRPr="003A33E2">
        <w:t xml:space="preserve"> — CONTRACTOR SAMPLING AND TESTING</w:t>
      </w:r>
      <w:bookmarkEnd w:id="1"/>
      <w:bookmarkEnd w:id="2"/>
      <w:bookmarkEnd w:id="3"/>
    </w:p>
    <w:p w:rsidR="00AF6DBB" w:rsidRDefault="00AF6DBB" w:rsidP="00667A4B">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AF6DBB">
        <w:trPr>
          <w:hidden/>
        </w:trPr>
        <w:tc>
          <w:tcPr>
            <w:tcW w:w="9576" w:type="dxa"/>
          </w:tcPr>
          <w:p w:rsidR="00AF6DBB" w:rsidRDefault="00AF6DBB" w:rsidP="006A6F07">
            <w:pPr>
              <w:pStyle w:val="PlainText"/>
              <w:rPr>
                <w:rFonts w:ascii="Arial" w:eastAsia="MS Mincho" w:hAnsi="Arial"/>
                <w:vanish/>
                <w:color w:val="0000FF"/>
              </w:rPr>
            </w:pPr>
            <w:r>
              <w:rPr>
                <w:rFonts w:ascii="Arial" w:eastAsia="MS Mincho" w:hAnsi="Arial"/>
                <w:vanish/>
                <w:color w:val="0000FF"/>
              </w:rPr>
              <w:t>Use subsection 154.</w:t>
            </w:r>
            <w:r w:rsidR="006A6F07">
              <w:rPr>
                <w:rFonts w:ascii="Arial" w:eastAsia="MS Mincho" w:hAnsi="Arial"/>
                <w:vanish/>
                <w:color w:val="0000FF"/>
              </w:rPr>
              <w:t xml:space="preserve">03 </w:t>
            </w:r>
            <w:r>
              <w:rPr>
                <w:rFonts w:ascii="Arial" w:eastAsia="MS Mincho" w:hAnsi="Arial"/>
                <w:vanish/>
                <w:color w:val="0000FF"/>
              </w:rPr>
              <w:t>on all projects with concrete.</w:t>
            </w:r>
          </w:p>
        </w:tc>
      </w:tr>
    </w:tbl>
    <w:p w:rsidR="00AF6DBB" w:rsidRDefault="00AF6DBB" w:rsidP="00667A4B">
      <w:pPr>
        <w:pStyle w:val="PlainText"/>
        <w:spacing w:after="240"/>
        <w:rPr>
          <w:rFonts w:ascii="Times New Roman" w:eastAsia="MS Mincho" w:hAnsi="Times New Roman"/>
          <w:sz w:val="24"/>
        </w:rPr>
      </w:pPr>
      <w:proofErr w:type="gramStart"/>
      <w:r>
        <w:rPr>
          <w:rFonts w:ascii="Times New Roman" w:eastAsia="MS Mincho" w:hAnsi="Times New Roman"/>
          <w:b/>
          <w:bCs/>
          <w:sz w:val="24"/>
        </w:rPr>
        <w:t>154.0</w:t>
      </w:r>
      <w:r w:rsidR="00A91272">
        <w:rPr>
          <w:rFonts w:ascii="Times New Roman" w:eastAsia="MS Mincho" w:hAnsi="Times New Roman"/>
          <w:b/>
          <w:bCs/>
          <w:sz w:val="24"/>
        </w:rPr>
        <w:t>3</w:t>
      </w:r>
      <w:r>
        <w:rPr>
          <w:rFonts w:ascii="Times New Roman" w:eastAsia="MS Mincho" w:hAnsi="Times New Roman"/>
          <w:b/>
          <w:bCs/>
          <w:sz w:val="24"/>
        </w:rPr>
        <w:t xml:space="preserve">  Sampling</w:t>
      </w:r>
      <w:proofErr w:type="gramEnd"/>
      <w:r>
        <w:rPr>
          <w:rFonts w:ascii="Times New Roman" w:eastAsia="MS Mincho" w:hAnsi="Times New Roman"/>
          <w:b/>
          <w:bCs/>
          <w:sz w:val="24"/>
        </w:rPr>
        <w:t>.</w:t>
      </w:r>
      <w:r>
        <w:rPr>
          <w:rFonts w:ascii="Times New Roman" w:eastAsia="MS Mincho" w:hAnsi="Times New Roman"/>
          <w:sz w:val="24"/>
        </w:rPr>
        <w:t xml:space="preserve">  </w:t>
      </w:r>
      <w:r>
        <w:rPr>
          <w:rFonts w:ascii="Times New Roman" w:eastAsia="MS Mincho" w:hAnsi="Times New Roman"/>
          <w:sz w:val="24"/>
          <w:u w:val="single"/>
        </w:rPr>
        <w:t>Add the following:</w:t>
      </w:r>
    </w:p>
    <w:p w:rsidR="00AF6DBB" w:rsidRDefault="00AF6DBB" w:rsidP="00667A4B">
      <w:pPr>
        <w:pStyle w:val="PlainText"/>
        <w:spacing w:after="240"/>
        <w:rPr>
          <w:rFonts w:ascii="Times New Roman" w:eastAsia="MS Mincho" w:hAnsi="Times New Roman"/>
          <w:sz w:val="24"/>
        </w:rPr>
      </w:pPr>
      <w:r>
        <w:rPr>
          <w:rFonts w:ascii="Times New Roman" w:eastAsia="MS Mincho" w:hAnsi="Times New Roman"/>
          <w:sz w:val="24"/>
        </w:rPr>
        <w:t>P</w:t>
      </w:r>
      <w:r w:rsidR="00667A4B">
        <w:rPr>
          <w:rFonts w:ascii="Times New Roman" w:eastAsia="MS Mincho" w:hAnsi="Times New Roman"/>
          <w:sz w:val="24"/>
        </w:rPr>
        <w:t>e</w:t>
      </w:r>
      <w:r>
        <w:rPr>
          <w:rFonts w:ascii="Times New Roman" w:eastAsia="MS Mincho" w:hAnsi="Times New Roman"/>
          <w:sz w:val="24"/>
        </w:rPr>
        <w:t xml:space="preserve">rform the initial curing of all concrete test cylinders.  Provide for transporting the </w:t>
      </w:r>
      <w:r w:rsidR="00004992">
        <w:rPr>
          <w:rFonts w:ascii="Times New Roman" w:eastAsia="MS Mincho" w:hAnsi="Times New Roman"/>
          <w:sz w:val="24"/>
        </w:rPr>
        <w:t xml:space="preserve">government verification </w:t>
      </w:r>
      <w:r>
        <w:rPr>
          <w:rFonts w:ascii="Times New Roman" w:eastAsia="MS Mincho" w:hAnsi="Times New Roman"/>
          <w:sz w:val="24"/>
        </w:rPr>
        <w:t xml:space="preserve">cylinders to the </w:t>
      </w:r>
      <w:smartTag w:uri="urn:schemas-microsoft-com:office:smarttags" w:element="Street">
        <w:smartTag w:uri="urn:schemas-microsoft-com:office:smarttags" w:element="address">
          <w:r>
            <w:rPr>
              <w:rFonts w:ascii="Times New Roman" w:eastAsia="MS Mincho" w:hAnsi="Times New Roman"/>
              <w:sz w:val="24"/>
            </w:rPr>
            <w:t>FHWA-Central Federal Lands Highway</w:t>
          </w:r>
        </w:smartTag>
      </w:smartTag>
      <w:r>
        <w:rPr>
          <w:rFonts w:ascii="Times New Roman" w:eastAsia="MS Mincho" w:hAnsi="Times New Roman"/>
          <w:sz w:val="24"/>
        </w:rPr>
        <w:t>’s Laboratory unless other testing facilities are authorized by the CO.</w:t>
      </w:r>
    </w:p>
    <w:p w:rsidR="00AF6DBB" w:rsidRDefault="00AF6DBB" w:rsidP="00667A4B">
      <w:pPr>
        <w:pStyle w:val="PlainText"/>
        <w:spacing w:after="240"/>
        <w:rPr>
          <w:rFonts w:ascii="Times New Roman" w:eastAsia="MS Mincho" w:hAnsi="Times New Roman"/>
          <w:sz w:val="24"/>
        </w:rPr>
      </w:pPr>
      <w:r>
        <w:rPr>
          <w:rFonts w:ascii="Times New Roman" w:eastAsia="MS Mincho" w:hAnsi="Times New Roman"/>
          <w:sz w:val="24"/>
        </w:rPr>
        <w:t>Label each concrete mold with the name and number of the Project, the cylinder number, date molded, location of the sample, and the test age (i.e. – 7, 14, or 28 days).  Label the mold after casting and the cylinder after stripping to ensure the sample can be identified throughout the entire curing process.</w:t>
      </w:r>
    </w:p>
    <w:p w:rsidR="00AF6DBB" w:rsidRDefault="00AF6DBB" w:rsidP="00667A4B">
      <w:pPr>
        <w:pStyle w:val="PlainText"/>
        <w:spacing w:after="240"/>
        <w:rPr>
          <w:rFonts w:ascii="Times New Roman" w:eastAsia="MS Mincho" w:hAnsi="Times New Roman"/>
          <w:sz w:val="24"/>
        </w:rPr>
      </w:pPr>
      <w:r>
        <w:rPr>
          <w:rFonts w:ascii="Times New Roman" w:eastAsia="MS Mincho" w:hAnsi="Times New Roman"/>
          <w:sz w:val="24"/>
        </w:rPr>
        <w:t>Provide the required cylinder molds.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AF6DBB">
        <w:trPr>
          <w:hidden/>
        </w:trPr>
        <w:tc>
          <w:tcPr>
            <w:tcW w:w="9576" w:type="dxa"/>
          </w:tcPr>
          <w:p w:rsidR="00AF6DBB" w:rsidRDefault="00AF6DBB" w:rsidP="00667A4B">
            <w:pPr>
              <w:pStyle w:val="PlainText"/>
              <w:rPr>
                <w:rFonts w:ascii="Arial" w:eastAsia="MS Mincho" w:hAnsi="Arial"/>
                <w:vanish/>
                <w:color w:val="0000FF"/>
              </w:rPr>
            </w:pPr>
            <w:r>
              <w:rPr>
                <w:rFonts w:ascii="Arial" w:eastAsia="MS Mincho" w:hAnsi="Arial"/>
                <w:vanish/>
                <w:color w:val="0000FF"/>
              </w:rPr>
              <w:t>Use subsection 154.</w:t>
            </w:r>
            <w:r w:rsidR="00667A4B">
              <w:rPr>
                <w:rFonts w:ascii="Arial" w:eastAsia="MS Mincho" w:hAnsi="Arial"/>
                <w:vanish/>
                <w:color w:val="0000FF"/>
              </w:rPr>
              <w:t xml:space="preserve">04 </w:t>
            </w:r>
            <w:r>
              <w:rPr>
                <w:rFonts w:ascii="Arial" w:eastAsia="MS Mincho" w:hAnsi="Arial"/>
                <w:vanish/>
                <w:color w:val="0000FF"/>
              </w:rPr>
              <w:t>on all projects.</w:t>
            </w:r>
          </w:p>
        </w:tc>
      </w:tr>
    </w:tbl>
    <w:p w:rsidR="00AF6DBB" w:rsidRDefault="00AF6DBB" w:rsidP="00667A4B">
      <w:pPr>
        <w:pStyle w:val="PlainText"/>
        <w:spacing w:after="240"/>
        <w:rPr>
          <w:rFonts w:ascii="Times New Roman" w:eastAsia="MS Mincho" w:hAnsi="Times New Roman"/>
          <w:sz w:val="24"/>
          <w:u w:val="single"/>
        </w:rPr>
      </w:pPr>
      <w:proofErr w:type="gramStart"/>
      <w:r>
        <w:rPr>
          <w:rFonts w:ascii="Times New Roman" w:eastAsia="MS Mincho" w:hAnsi="Times New Roman"/>
          <w:b/>
          <w:bCs/>
          <w:color w:val="000000"/>
          <w:sz w:val="24"/>
        </w:rPr>
        <w:t>154.0</w:t>
      </w:r>
      <w:r w:rsidR="00A91272">
        <w:rPr>
          <w:rFonts w:ascii="Times New Roman" w:eastAsia="MS Mincho" w:hAnsi="Times New Roman"/>
          <w:b/>
          <w:bCs/>
          <w:color w:val="000000"/>
          <w:sz w:val="24"/>
        </w:rPr>
        <w:t>4</w:t>
      </w:r>
      <w:r>
        <w:rPr>
          <w:rFonts w:ascii="Times New Roman" w:eastAsia="MS Mincho" w:hAnsi="Times New Roman"/>
          <w:b/>
          <w:bCs/>
          <w:color w:val="000000"/>
          <w:sz w:val="24"/>
        </w:rPr>
        <w:t xml:space="preserve">  Testing</w:t>
      </w:r>
      <w:proofErr w:type="gramEnd"/>
      <w:r>
        <w:rPr>
          <w:rFonts w:ascii="Times New Roman" w:eastAsia="MS Mincho" w:hAnsi="Times New Roman"/>
          <w:b/>
          <w:bCs/>
          <w:color w:val="000000"/>
          <w:sz w:val="24"/>
        </w:rPr>
        <w:t xml:space="preserve">  </w:t>
      </w:r>
      <w:r>
        <w:rPr>
          <w:rFonts w:ascii="Times New Roman" w:eastAsia="MS Mincho" w:hAnsi="Times New Roman"/>
          <w:sz w:val="24"/>
          <w:u w:val="single"/>
        </w:rPr>
        <w:t>Add the following:</w:t>
      </w:r>
    </w:p>
    <w:p w:rsidR="00AF6DBB" w:rsidRDefault="00AF6DBB" w:rsidP="00667A4B">
      <w:pPr>
        <w:pStyle w:val="PlainText"/>
        <w:spacing w:after="240"/>
        <w:rPr>
          <w:rFonts w:ascii="Times New Roman" w:eastAsia="MS Mincho" w:hAnsi="Times New Roman"/>
          <w:sz w:val="24"/>
        </w:rPr>
      </w:pPr>
      <w:r>
        <w:rPr>
          <w:rFonts w:ascii="Times New Roman" w:eastAsia="MS Mincho" w:hAnsi="Times New Roman"/>
          <w:sz w:val="24"/>
        </w:rPr>
        <w:t xml:space="preserve">Where Process </w:t>
      </w:r>
      <w:r w:rsidR="00097B40">
        <w:rPr>
          <w:rFonts w:ascii="Times New Roman" w:eastAsia="MS Mincho" w:hAnsi="Times New Roman"/>
          <w:sz w:val="24"/>
        </w:rPr>
        <w:t>C</w:t>
      </w:r>
      <w:r>
        <w:rPr>
          <w:rFonts w:ascii="Times New Roman" w:eastAsia="MS Mincho" w:hAnsi="Times New Roman"/>
          <w:sz w:val="24"/>
        </w:rPr>
        <w:t xml:space="preserve">ontrol Sampling and Testing frequencies are identical to the </w:t>
      </w:r>
      <w:r w:rsidR="00EA516E">
        <w:rPr>
          <w:rFonts w:ascii="Times New Roman" w:eastAsia="MS Mincho" w:hAnsi="Times New Roman"/>
          <w:sz w:val="24"/>
        </w:rPr>
        <w:t>Sampling, Testing, and Acceptance Tables at the end of each Section</w:t>
      </w:r>
      <w:r w:rsidR="00B82FB5">
        <w:rPr>
          <w:rFonts w:ascii="Times New Roman" w:eastAsia="MS Mincho" w:hAnsi="Times New Roman"/>
          <w:sz w:val="24"/>
        </w:rPr>
        <w:t xml:space="preserve"> for all applicable work</w:t>
      </w:r>
      <w:r w:rsidR="00EA516E">
        <w:rPr>
          <w:rFonts w:ascii="Times New Roman" w:eastAsia="MS Mincho" w:hAnsi="Times New Roman"/>
          <w:sz w:val="24"/>
        </w:rPr>
        <w:t xml:space="preserve">, </w:t>
      </w:r>
      <w:r>
        <w:rPr>
          <w:rFonts w:ascii="Times New Roman" w:eastAsia="MS Mincho" w:hAnsi="Times New Roman"/>
          <w:sz w:val="24"/>
        </w:rPr>
        <w:t>the Process Control Samples may be used for acceptance.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D34EF4" w:rsidRPr="001F64E6">
        <w:trPr>
          <w:hidden/>
        </w:trPr>
        <w:tc>
          <w:tcPr>
            <w:tcW w:w="9576" w:type="dxa"/>
          </w:tcPr>
          <w:p w:rsidR="00D34EF4" w:rsidRPr="00535CD2" w:rsidRDefault="00D34EF4" w:rsidP="00BC0F38">
            <w:pPr>
              <w:pStyle w:val="PlainText"/>
              <w:rPr>
                <w:rFonts w:ascii="Arial" w:eastAsia="MS Mincho" w:hAnsi="Arial" w:cs="Arial"/>
                <w:vanish/>
                <w:color w:val="0000FF"/>
              </w:rPr>
            </w:pPr>
            <w:r w:rsidRPr="00535CD2">
              <w:rPr>
                <w:rFonts w:ascii="Arial" w:eastAsia="MS Mincho" w:hAnsi="Arial" w:cs="Arial"/>
                <w:vanish/>
                <w:color w:val="0000FF"/>
              </w:rPr>
              <w:t>Use subsections 154.</w:t>
            </w:r>
            <w:r w:rsidR="00667A4B" w:rsidRPr="00535CD2">
              <w:rPr>
                <w:rFonts w:ascii="Arial" w:eastAsia="MS Mincho" w:hAnsi="Arial" w:cs="Arial"/>
                <w:vanish/>
                <w:color w:val="0000FF"/>
              </w:rPr>
              <w:t>0</w:t>
            </w:r>
            <w:r w:rsidR="00667A4B">
              <w:rPr>
                <w:rFonts w:ascii="Arial" w:eastAsia="MS Mincho" w:hAnsi="Arial" w:cs="Arial"/>
                <w:vanish/>
                <w:color w:val="0000FF"/>
              </w:rPr>
              <w:t>4</w:t>
            </w:r>
            <w:r w:rsidR="00667A4B" w:rsidRPr="00535CD2">
              <w:rPr>
                <w:rFonts w:ascii="Arial" w:eastAsia="MS Mincho" w:hAnsi="Arial" w:cs="Arial"/>
                <w:vanish/>
                <w:color w:val="0000FF"/>
              </w:rPr>
              <w:t xml:space="preserve">A </w:t>
            </w:r>
            <w:r w:rsidRPr="00535CD2">
              <w:rPr>
                <w:rFonts w:ascii="Arial" w:eastAsia="MS Mincho" w:hAnsi="Arial" w:cs="Arial"/>
                <w:vanish/>
                <w:color w:val="0000FF"/>
              </w:rPr>
              <w:t>and 154.</w:t>
            </w:r>
            <w:r w:rsidR="00667A4B" w:rsidRPr="00535CD2">
              <w:rPr>
                <w:rFonts w:ascii="Arial" w:eastAsia="MS Mincho" w:hAnsi="Arial" w:cs="Arial"/>
                <w:vanish/>
                <w:color w:val="0000FF"/>
              </w:rPr>
              <w:t>0</w:t>
            </w:r>
            <w:r w:rsidR="00667A4B">
              <w:rPr>
                <w:rFonts w:ascii="Arial" w:eastAsia="MS Mincho" w:hAnsi="Arial" w:cs="Arial"/>
                <w:vanish/>
                <w:color w:val="0000FF"/>
              </w:rPr>
              <w:t>4</w:t>
            </w:r>
            <w:r w:rsidR="00667A4B" w:rsidRPr="00535CD2">
              <w:rPr>
                <w:rFonts w:ascii="Arial" w:eastAsia="MS Mincho" w:hAnsi="Arial" w:cs="Arial"/>
                <w:vanish/>
                <w:color w:val="0000FF"/>
              </w:rPr>
              <w:t xml:space="preserve">B </w:t>
            </w:r>
            <w:r w:rsidRPr="00535CD2">
              <w:rPr>
                <w:rFonts w:ascii="Arial" w:eastAsia="MS Mincho" w:hAnsi="Arial" w:cs="Arial"/>
                <w:vanish/>
                <w:color w:val="0000FF"/>
              </w:rPr>
              <w:t>on all projects with material testing.</w:t>
            </w:r>
            <w:r>
              <w:rPr>
                <w:rFonts w:ascii="Arial" w:eastAsia="MS Mincho" w:hAnsi="Arial" w:cs="Arial"/>
                <w:vanish/>
                <w:color w:val="0000FF"/>
              </w:rPr>
              <w:t xml:space="preserve">  Check with the CO regarding the need for and availability of a Government-furnished field laboratory to the project.  (Small, short duration projects </w:t>
            </w:r>
            <w:r w:rsidR="00B82FB5">
              <w:rPr>
                <w:rFonts w:ascii="Arial" w:eastAsia="MS Mincho" w:hAnsi="Arial" w:cs="Arial"/>
                <w:vanish/>
                <w:color w:val="0000FF"/>
              </w:rPr>
              <w:t xml:space="preserve">and projects that </w:t>
            </w:r>
            <w:r w:rsidR="00441BF5">
              <w:rPr>
                <w:rFonts w:ascii="Arial" w:eastAsia="MS Mincho" w:hAnsi="Arial" w:cs="Arial"/>
                <w:vanish/>
                <w:color w:val="0000FF"/>
              </w:rPr>
              <w:t>do</w:t>
            </w:r>
            <w:r w:rsidR="00B82FB5">
              <w:rPr>
                <w:rFonts w:ascii="Arial" w:eastAsia="MS Mincho" w:hAnsi="Arial" w:cs="Arial"/>
                <w:vanish/>
                <w:color w:val="0000FF"/>
              </w:rPr>
              <w:t xml:space="preserve"> not </w:t>
            </w:r>
            <w:r w:rsidR="00441BF5">
              <w:rPr>
                <w:rFonts w:ascii="Arial" w:eastAsia="MS Mincho" w:hAnsi="Arial" w:cs="Arial"/>
                <w:vanish/>
                <w:color w:val="0000FF"/>
              </w:rPr>
              <w:t xml:space="preserve">include </w:t>
            </w:r>
            <w:r w:rsidR="00B82FB5">
              <w:rPr>
                <w:rFonts w:ascii="Arial" w:eastAsia="MS Mincho" w:hAnsi="Arial" w:cs="Arial"/>
                <w:vanish/>
                <w:color w:val="0000FF"/>
              </w:rPr>
              <w:t xml:space="preserve">statistically accepted </w:t>
            </w:r>
            <w:r w:rsidR="00441BF5">
              <w:rPr>
                <w:rFonts w:ascii="Arial" w:eastAsia="MS Mincho" w:hAnsi="Arial" w:cs="Arial"/>
                <w:vanish/>
                <w:color w:val="0000FF"/>
              </w:rPr>
              <w:t xml:space="preserve">materials may </w:t>
            </w:r>
            <w:r>
              <w:rPr>
                <w:rFonts w:ascii="Arial" w:eastAsia="MS Mincho" w:hAnsi="Arial" w:cs="Arial"/>
                <w:vanish/>
                <w:color w:val="0000FF"/>
              </w:rPr>
              <w:t>not warrant a Government trailer).  If a Government-furnished field laboratory is not available or warranted, do not include Section 154.0</w:t>
            </w:r>
            <w:r w:rsidR="00BC0F38">
              <w:rPr>
                <w:rFonts w:ascii="Arial" w:eastAsia="MS Mincho" w:hAnsi="Arial" w:cs="Arial"/>
                <w:vanish/>
                <w:color w:val="0000FF"/>
              </w:rPr>
              <w:t>4</w:t>
            </w:r>
            <w:r>
              <w:rPr>
                <w:rFonts w:ascii="Arial" w:eastAsia="MS Mincho" w:hAnsi="Arial" w:cs="Arial"/>
                <w:vanish/>
                <w:color w:val="0000FF"/>
              </w:rPr>
              <w:t>A.</w:t>
            </w:r>
          </w:p>
        </w:tc>
      </w:tr>
    </w:tbl>
    <w:p w:rsidR="00D34EF4" w:rsidRPr="001F64E6" w:rsidRDefault="00D34EF4" w:rsidP="00D34EF4">
      <w:pPr>
        <w:pStyle w:val="PlainText"/>
        <w:rPr>
          <w:rFonts w:ascii="Times New Roman" w:eastAsia="MS Mincho" w:hAnsi="Times New Roman"/>
          <w:sz w:val="24"/>
          <w:szCs w:val="24"/>
          <w:u w:val="single"/>
        </w:rPr>
      </w:pPr>
      <w:r w:rsidRPr="001F64E6">
        <w:rPr>
          <w:rFonts w:ascii="Times New Roman" w:eastAsia="MS Mincho" w:hAnsi="Times New Roman"/>
          <w:sz w:val="24"/>
          <w:szCs w:val="24"/>
          <w:u w:val="single"/>
        </w:rPr>
        <w:t>Add the following subsections:</w:t>
      </w:r>
    </w:p>
    <w:p w:rsidR="00D34EF4" w:rsidRPr="001F64E6" w:rsidRDefault="00D34EF4" w:rsidP="00D34EF4">
      <w:pPr>
        <w:pStyle w:val="PlainText"/>
        <w:rPr>
          <w:rFonts w:ascii="Times New Roman" w:eastAsia="MS Mincho" w:hAnsi="Times New Roman"/>
          <w:sz w:val="24"/>
          <w:szCs w:val="24"/>
        </w:rPr>
      </w:pPr>
    </w:p>
    <w:p w:rsidR="00D34EF4" w:rsidRPr="002A6B76" w:rsidRDefault="00D34EF4" w:rsidP="007A3960">
      <w:pPr>
        <w:pStyle w:val="PlainText"/>
        <w:spacing w:after="240"/>
        <w:ind w:right="-187"/>
        <w:rPr>
          <w:rFonts w:ascii="Times New Roman" w:hAnsi="Times New Roman"/>
          <w:b/>
          <w:sz w:val="24"/>
          <w:szCs w:val="24"/>
        </w:rPr>
      </w:pPr>
      <w:bookmarkStart w:id="4" w:name="OLE_LINK1"/>
      <w:bookmarkStart w:id="5" w:name="OLE_LINK2"/>
      <w:proofErr w:type="gramStart"/>
      <w:r w:rsidRPr="001F64E6">
        <w:rPr>
          <w:rFonts w:ascii="Times New Roman" w:eastAsia="MS Mincho" w:hAnsi="Times New Roman"/>
          <w:b/>
          <w:bCs/>
          <w:sz w:val="24"/>
          <w:szCs w:val="24"/>
        </w:rPr>
        <w:t>154.0</w:t>
      </w:r>
      <w:r w:rsidR="00A91272">
        <w:rPr>
          <w:rFonts w:ascii="Times New Roman" w:eastAsia="MS Mincho" w:hAnsi="Times New Roman"/>
          <w:b/>
          <w:bCs/>
          <w:sz w:val="24"/>
          <w:szCs w:val="24"/>
        </w:rPr>
        <w:t>4</w:t>
      </w:r>
      <w:r w:rsidRPr="001F64E6">
        <w:rPr>
          <w:rFonts w:ascii="Times New Roman" w:eastAsia="MS Mincho" w:hAnsi="Times New Roman"/>
          <w:b/>
          <w:bCs/>
          <w:sz w:val="24"/>
          <w:szCs w:val="24"/>
        </w:rPr>
        <w:t>A  Field</w:t>
      </w:r>
      <w:proofErr w:type="gramEnd"/>
      <w:r w:rsidRPr="001F64E6">
        <w:rPr>
          <w:rFonts w:ascii="Times New Roman" w:eastAsia="MS Mincho" w:hAnsi="Times New Roman"/>
          <w:b/>
          <w:bCs/>
          <w:sz w:val="24"/>
          <w:szCs w:val="24"/>
        </w:rPr>
        <w:t xml:space="preserve"> Laboratory (Government-Furnished).</w:t>
      </w:r>
      <w:r w:rsidRPr="001F64E6">
        <w:rPr>
          <w:rFonts w:ascii="Times New Roman" w:eastAsia="MS Mincho" w:hAnsi="Times New Roman"/>
          <w:sz w:val="24"/>
          <w:szCs w:val="24"/>
        </w:rPr>
        <w:t xml:space="preserve">  </w:t>
      </w:r>
      <w:r w:rsidRPr="002A6B76">
        <w:rPr>
          <w:rFonts w:ascii="Times New Roman" w:hAnsi="Times New Roman"/>
          <w:sz w:val="24"/>
          <w:szCs w:val="24"/>
        </w:rPr>
        <w:t xml:space="preserve">Refer to the “Notice </w:t>
      </w:r>
      <w:proofErr w:type="gramStart"/>
      <w:r w:rsidRPr="002A6B76">
        <w:rPr>
          <w:rFonts w:ascii="Times New Roman" w:hAnsi="Times New Roman"/>
          <w:sz w:val="24"/>
          <w:szCs w:val="24"/>
        </w:rPr>
        <w:t>To</w:t>
      </w:r>
      <w:proofErr w:type="gramEnd"/>
      <w:r w:rsidRPr="002A6B76">
        <w:rPr>
          <w:rFonts w:ascii="Times New Roman" w:hAnsi="Times New Roman"/>
          <w:sz w:val="24"/>
          <w:szCs w:val="24"/>
        </w:rPr>
        <w:t xml:space="preserve"> Bidders</w:t>
      </w:r>
      <w:r w:rsidRPr="002A6B76">
        <w:rPr>
          <w:rFonts w:ascii="Times New Roman" w:hAnsi="Times New Roman"/>
          <w:b/>
          <w:sz w:val="24"/>
          <w:szCs w:val="24"/>
        </w:rPr>
        <w:t xml:space="preserve">” </w:t>
      </w:r>
      <w:r w:rsidRPr="002A6B76">
        <w:rPr>
          <w:rFonts w:ascii="Times New Roman" w:hAnsi="Times New Roman"/>
          <w:sz w:val="24"/>
          <w:szCs w:val="24"/>
        </w:rPr>
        <w:t xml:space="preserve">in the bid proposal for information regarding the option to use a Government-Furnished field laboratory. </w:t>
      </w:r>
      <w:r w:rsidRPr="002A6B76">
        <w:rPr>
          <w:rFonts w:ascii="Times New Roman" w:hAnsi="Times New Roman"/>
          <w:b/>
          <w:sz w:val="24"/>
          <w:szCs w:val="24"/>
        </w:rPr>
        <w:t xml:space="preserve">  </w:t>
      </w:r>
    </w:p>
    <w:p w:rsidR="00D34EF4" w:rsidRDefault="00D34EF4" w:rsidP="007A3960">
      <w:pPr>
        <w:pStyle w:val="PlainText"/>
        <w:spacing w:after="240"/>
        <w:ind w:right="-187"/>
        <w:rPr>
          <w:rFonts w:ascii="Times New Roman" w:hAnsi="Times New Roman"/>
          <w:sz w:val="24"/>
          <w:szCs w:val="24"/>
        </w:rPr>
      </w:pPr>
      <w:r w:rsidRPr="002A6B76">
        <w:rPr>
          <w:rFonts w:ascii="Times New Roman" w:hAnsi="Times New Roman"/>
          <w:sz w:val="24"/>
          <w:szCs w:val="24"/>
        </w:rPr>
        <w:t xml:space="preserve">If the bid option “Item 15401-0000, Contractor Testing, Using Government Furnished Field Laboratory” is </w:t>
      </w:r>
      <w:r w:rsidRPr="002A6B76">
        <w:rPr>
          <w:rFonts w:ascii="Times New Roman" w:hAnsi="Times New Roman"/>
          <w:b/>
          <w:sz w:val="24"/>
          <w:szCs w:val="24"/>
        </w:rPr>
        <w:t>exercised,</w:t>
      </w:r>
      <w:r w:rsidRPr="002A6B76">
        <w:rPr>
          <w:rFonts w:ascii="Times New Roman" w:hAnsi="Times New Roman"/>
          <w:sz w:val="24"/>
          <w:szCs w:val="24"/>
        </w:rPr>
        <w:t xml:space="preserve"> the government will provide for the Contractor’s use</w:t>
      </w:r>
      <w:r>
        <w:rPr>
          <w:rFonts w:ascii="Times New Roman" w:hAnsi="Times New Roman"/>
          <w:color w:val="FF0000"/>
          <w:sz w:val="24"/>
          <w:szCs w:val="24"/>
        </w:rPr>
        <w:t xml:space="preserve"> </w:t>
      </w:r>
      <w:r w:rsidRPr="001F64E6">
        <w:rPr>
          <w:rFonts w:ascii="Times New Roman" w:hAnsi="Times New Roman"/>
          <w:sz w:val="24"/>
          <w:szCs w:val="24"/>
        </w:rPr>
        <w:t>a mobile field laboratory</w:t>
      </w:r>
      <w:r>
        <w:rPr>
          <w:rFonts w:ascii="Times New Roman" w:hAnsi="Times New Roman"/>
          <w:sz w:val="24"/>
          <w:szCs w:val="24"/>
        </w:rPr>
        <w:t>,</w:t>
      </w:r>
      <w:r w:rsidRPr="001F64E6">
        <w:rPr>
          <w:rFonts w:ascii="Times New Roman" w:hAnsi="Times New Roman"/>
          <w:sz w:val="24"/>
          <w:szCs w:val="24"/>
        </w:rPr>
        <w:t xml:space="preserve"> </w:t>
      </w:r>
      <w:r>
        <w:rPr>
          <w:rFonts w:ascii="Times New Roman" w:hAnsi="Times New Roman"/>
          <w:sz w:val="24"/>
          <w:szCs w:val="24"/>
        </w:rPr>
        <w:t xml:space="preserve">including </w:t>
      </w:r>
      <w:r w:rsidRPr="001F64E6">
        <w:rPr>
          <w:rFonts w:ascii="Times New Roman" w:hAnsi="Times New Roman"/>
          <w:sz w:val="24"/>
          <w:szCs w:val="24"/>
        </w:rPr>
        <w:t>testing equipment</w:t>
      </w:r>
      <w:r>
        <w:rPr>
          <w:rFonts w:ascii="Times New Roman" w:hAnsi="Times New Roman"/>
          <w:sz w:val="24"/>
          <w:szCs w:val="24"/>
        </w:rPr>
        <w:t xml:space="preserve"> as follows:</w:t>
      </w:r>
    </w:p>
    <w:p w:rsidR="00467921" w:rsidRPr="00DC5E26" w:rsidRDefault="00467921" w:rsidP="00467921">
      <w:pPr>
        <w:pStyle w:val="PlainText"/>
        <w:numPr>
          <w:ilvl w:val="0"/>
          <w:numId w:val="7"/>
        </w:numPr>
        <w:tabs>
          <w:tab w:val="clear" w:pos="720"/>
        </w:tabs>
        <w:rPr>
          <w:rFonts w:ascii="Times New Roman" w:hAnsi="Times New Roman"/>
          <w:sz w:val="24"/>
          <w:szCs w:val="24"/>
          <w:highlight w:val="yellow"/>
        </w:rPr>
      </w:pPr>
      <w:r w:rsidRPr="00DC5E26">
        <w:rPr>
          <w:rFonts w:ascii="Times New Roman" w:hAnsi="Times New Roman"/>
          <w:sz w:val="24"/>
          <w:szCs w:val="24"/>
          <w:highlight w:val="yellow"/>
        </w:rPr>
        <w:t>Pine AFG1</w:t>
      </w:r>
      <w:r w:rsidR="00DC5E26" w:rsidRPr="00DC5E26">
        <w:rPr>
          <w:rFonts w:ascii="Times New Roman" w:hAnsi="Times New Roman"/>
          <w:sz w:val="24"/>
          <w:szCs w:val="24"/>
          <w:highlight w:val="yellow"/>
        </w:rPr>
        <w:t>A Gyratory Compactor</w:t>
      </w:r>
      <w:r w:rsidR="00DC5E26">
        <w:rPr>
          <w:rFonts w:ascii="Times New Roman" w:hAnsi="Times New Roman"/>
          <w:sz w:val="24"/>
          <w:szCs w:val="24"/>
          <w:highlight w:val="yellow"/>
        </w:rPr>
        <w:t xml:space="preserve"> </w:t>
      </w:r>
      <w:r w:rsidR="00DC5E26" w:rsidRPr="00467921">
        <w:rPr>
          <w:rFonts w:ascii="Times New Roman" w:hAnsi="Times New Roman"/>
          <w:color w:val="FF0000"/>
          <w:sz w:val="24"/>
          <w:szCs w:val="24"/>
          <w:highlight w:val="yellow"/>
        </w:rPr>
        <w:t>(only include</w:t>
      </w:r>
      <w:r w:rsidR="00D76553">
        <w:rPr>
          <w:rFonts w:ascii="Times New Roman" w:hAnsi="Times New Roman"/>
          <w:color w:val="FF0000"/>
          <w:sz w:val="24"/>
          <w:szCs w:val="24"/>
          <w:highlight w:val="yellow"/>
        </w:rPr>
        <w:t>d</w:t>
      </w:r>
      <w:r w:rsidR="00DC5E26" w:rsidRPr="00467921">
        <w:rPr>
          <w:rFonts w:ascii="Times New Roman" w:hAnsi="Times New Roman"/>
          <w:color w:val="FF0000"/>
          <w:sz w:val="24"/>
          <w:szCs w:val="24"/>
          <w:highlight w:val="yellow"/>
        </w:rPr>
        <w:t xml:space="preserve"> on </w:t>
      </w:r>
      <w:r w:rsidR="00D76553">
        <w:rPr>
          <w:rFonts w:ascii="Times New Roman" w:hAnsi="Times New Roman"/>
          <w:color w:val="FF0000"/>
          <w:sz w:val="24"/>
          <w:szCs w:val="24"/>
          <w:highlight w:val="yellow"/>
        </w:rPr>
        <w:t>Section 401</w:t>
      </w:r>
      <w:r w:rsidR="00DC5E26" w:rsidRPr="00467921">
        <w:rPr>
          <w:rFonts w:ascii="Times New Roman" w:hAnsi="Times New Roman"/>
          <w:color w:val="FF0000"/>
          <w:sz w:val="24"/>
          <w:szCs w:val="24"/>
          <w:highlight w:val="yellow"/>
        </w:rPr>
        <w:t xml:space="preserve"> projects)</w:t>
      </w:r>
    </w:p>
    <w:p w:rsidR="00467921" w:rsidRDefault="00467921" w:rsidP="00467921">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 xml:space="preserve">NCAT </w:t>
      </w:r>
      <w:proofErr w:type="spellStart"/>
      <w:r>
        <w:rPr>
          <w:rFonts w:ascii="Times New Roman" w:hAnsi="Times New Roman"/>
          <w:sz w:val="24"/>
          <w:szCs w:val="24"/>
        </w:rPr>
        <w:t>Thermolyne</w:t>
      </w:r>
      <w:proofErr w:type="spellEnd"/>
      <w:r>
        <w:rPr>
          <w:rFonts w:ascii="Times New Roman" w:hAnsi="Times New Roman"/>
          <w:sz w:val="24"/>
          <w:szCs w:val="24"/>
        </w:rPr>
        <w:t xml:space="preserve"> Ignition Oven</w:t>
      </w:r>
    </w:p>
    <w:p w:rsidR="00467921" w:rsidRPr="009E0277" w:rsidRDefault="00467921" w:rsidP="00467921">
      <w:pPr>
        <w:pStyle w:val="PlainText"/>
        <w:numPr>
          <w:ilvl w:val="0"/>
          <w:numId w:val="7"/>
        </w:numPr>
        <w:tabs>
          <w:tab w:val="clear" w:pos="720"/>
        </w:tabs>
        <w:rPr>
          <w:rFonts w:ascii="Times New Roman" w:hAnsi="Times New Roman"/>
          <w:sz w:val="24"/>
          <w:szCs w:val="24"/>
        </w:rPr>
      </w:pPr>
      <w:r w:rsidRPr="009E0277">
        <w:rPr>
          <w:rFonts w:ascii="Times New Roman" w:hAnsi="Times New Roman"/>
          <w:sz w:val="24"/>
          <w:szCs w:val="24"/>
        </w:rPr>
        <w:t>AASHTO T 209 Rice Vacuum Equipment</w:t>
      </w:r>
    </w:p>
    <w:p w:rsidR="00D34EF4" w:rsidRDefault="00467921"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AASHTO T 166 Bulk Specific Gravity of Compacted Mix Equipment</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Convection Oven</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lastRenderedPageBreak/>
        <w:t>Liquid Limit Machine and Grooving Tool</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30,000 Gram Balance</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12,000 Gram Balance</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4,600 Gram Balance (readable to 0.01)</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Platform Scale</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Mechanical Compactor (Moisture Density) and Accessories</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12-inch Sieve Shaker and Sieve Stack</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Drill Press with Muller</w:t>
      </w:r>
    </w:p>
    <w:p w:rsidR="00D34EF4" w:rsidRDefault="00D34EF4"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Large Sample Splitter</w:t>
      </w:r>
    </w:p>
    <w:p w:rsidR="00D34EF4" w:rsidRDefault="00486DBA" w:rsidP="00D34EF4">
      <w:pPr>
        <w:pStyle w:val="PlainText"/>
        <w:numPr>
          <w:ilvl w:val="0"/>
          <w:numId w:val="7"/>
        </w:numPr>
        <w:tabs>
          <w:tab w:val="clear" w:pos="720"/>
        </w:tabs>
        <w:rPr>
          <w:rFonts w:ascii="Times New Roman" w:hAnsi="Times New Roman"/>
          <w:sz w:val="24"/>
          <w:szCs w:val="24"/>
        </w:rPr>
      </w:pPr>
      <w:r>
        <w:rPr>
          <w:rFonts w:ascii="Times New Roman" w:hAnsi="Times New Roman"/>
          <w:sz w:val="24"/>
          <w:szCs w:val="24"/>
        </w:rPr>
        <w:t>Small Sample Splitter</w:t>
      </w:r>
    </w:p>
    <w:p w:rsidR="00D34EF4" w:rsidRDefault="00D34EF4" w:rsidP="00D34EF4">
      <w:pPr>
        <w:pStyle w:val="PlainText"/>
        <w:ind w:right="-180"/>
        <w:rPr>
          <w:rFonts w:ascii="Times New Roman" w:hAnsi="Times New Roman"/>
          <w:sz w:val="24"/>
          <w:szCs w:val="24"/>
        </w:rPr>
      </w:pPr>
    </w:p>
    <w:p w:rsidR="00D34EF4" w:rsidRDefault="00D34EF4" w:rsidP="007A3960">
      <w:pPr>
        <w:pStyle w:val="PlainText"/>
        <w:spacing w:after="240"/>
        <w:ind w:right="-180"/>
        <w:rPr>
          <w:rFonts w:ascii="Times New Roman" w:hAnsi="Times New Roman"/>
          <w:sz w:val="24"/>
          <w:szCs w:val="24"/>
        </w:rPr>
      </w:pPr>
      <w:r>
        <w:rPr>
          <w:rFonts w:ascii="Times New Roman" w:hAnsi="Times New Roman"/>
          <w:sz w:val="24"/>
          <w:szCs w:val="24"/>
        </w:rPr>
        <w:t>Provide any additional equipment or facilities necessary to fulfill the requirements of the Contract.</w:t>
      </w:r>
    </w:p>
    <w:p w:rsidR="00D34EF4" w:rsidRPr="00D974AD" w:rsidRDefault="00D34EF4" w:rsidP="007A3960">
      <w:pPr>
        <w:pStyle w:val="PlainText"/>
        <w:spacing w:after="240"/>
        <w:ind w:right="-180"/>
        <w:rPr>
          <w:rFonts w:ascii="Times New Roman" w:hAnsi="Times New Roman"/>
          <w:sz w:val="24"/>
          <w:szCs w:val="24"/>
        </w:rPr>
      </w:pPr>
      <w:r w:rsidRPr="002A6B76">
        <w:rPr>
          <w:rFonts w:ascii="Times New Roman" w:eastAsia="MS Mincho" w:hAnsi="Times New Roman"/>
          <w:sz w:val="24"/>
          <w:szCs w:val="24"/>
        </w:rPr>
        <w:t xml:space="preserve">Transport the laboratory from 12300 West Dakota Avenue, Lakewood, CO to the point of use and return the laboratory to the same Lakewood address upon completion of the work.  The trailer will be available upon issuance of Notice to Proceed and must be returned no later than 14 days following final acceptance of the contract.  Contact </w:t>
      </w:r>
      <w:r>
        <w:rPr>
          <w:rFonts w:ascii="Times New Roman" w:eastAsia="MS Mincho" w:hAnsi="Times New Roman"/>
          <w:sz w:val="24"/>
          <w:szCs w:val="24"/>
        </w:rPr>
        <w:t>the CFLHD Equipment Depot</w:t>
      </w:r>
      <w:r w:rsidRPr="002A6B76">
        <w:rPr>
          <w:rFonts w:ascii="Times New Roman" w:eastAsia="MS Mincho" w:hAnsi="Times New Roman"/>
          <w:sz w:val="24"/>
          <w:szCs w:val="24"/>
        </w:rPr>
        <w:t xml:space="preserve"> at </w:t>
      </w:r>
      <w:r w:rsidRPr="00D974AD">
        <w:rPr>
          <w:rFonts w:ascii="Times New Roman" w:eastAsia="MS Mincho" w:hAnsi="Times New Roman"/>
          <w:sz w:val="24"/>
          <w:szCs w:val="24"/>
        </w:rPr>
        <w:t>(720) 963-3</w:t>
      </w:r>
      <w:r w:rsidR="00DE0A79" w:rsidRPr="00D974AD">
        <w:rPr>
          <w:rFonts w:ascii="Times New Roman" w:eastAsia="MS Mincho" w:hAnsi="Times New Roman"/>
          <w:sz w:val="24"/>
          <w:szCs w:val="24"/>
        </w:rPr>
        <w:t>459 or (720) 963-3384</w:t>
      </w:r>
      <w:r w:rsidRPr="00D974AD">
        <w:rPr>
          <w:rFonts w:ascii="Times New Roman" w:eastAsia="MS Mincho" w:hAnsi="Times New Roman"/>
          <w:sz w:val="24"/>
          <w:szCs w:val="24"/>
        </w:rPr>
        <w:t xml:space="preserve"> for specific directions to the laboratory storage location.</w:t>
      </w:r>
    </w:p>
    <w:p w:rsidR="00D34EF4" w:rsidRPr="00D974AD" w:rsidRDefault="00D34EF4" w:rsidP="007A3960">
      <w:pPr>
        <w:pStyle w:val="PlainText"/>
        <w:spacing w:after="240"/>
        <w:rPr>
          <w:rFonts w:ascii="Times New Roman" w:eastAsia="MS Mincho" w:hAnsi="Times New Roman"/>
          <w:sz w:val="24"/>
          <w:szCs w:val="24"/>
        </w:rPr>
      </w:pPr>
      <w:r w:rsidRPr="00D974AD">
        <w:rPr>
          <w:rFonts w:ascii="Times New Roman" w:eastAsia="MS Mincho" w:hAnsi="Times New Roman"/>
          <w:sz w:val="24"/>
          <w:szCs w:val="24"/>
        </w:rPr>
        <w:t>Assume responsibility for the replacement of any and all missing or damaged equipment and for the repair of any damage to the laboratory.  Replacement cost for missing or damaged equipment or facilities will be deducted from any remaining monies owed the Contractor.  If sufficient funds are not available under the Contract for such retention, the Contractor agrees to make payment directly to the Government for any damaged or missing equipment or facilities.</w:t>
      </w:r>
    </w:p>
    <w:p w:rsidR="00D34EF4" w:rsidRPr="002A6B76" w:rsidRDefault="00D34EF4" w:rsidP="007A3960">
      <w:pPr>
        <w:pStyle w:val="PlainText"/>
        <w:spacing w:after="240"/>
        <w:rPr>
          <w:rFonts w:ascii="Times New Roman" w:eastAsia="MS Mincho" w:hAnsi="Times New Roman"/>
          <w:sz w:val="24"/>
          <w:szCs w:val="24"/>
        </w:rPr>
      </w:pPr>
      <w:r w:rsidRPr="002A6B76">
        <w:rPr>
          <w:rFonts w:ascii="Times New Roman" w:eastAsia="MS Mincho" w:hAnsi="Times New Roman"/>
          <w:sz w:val="24"/>
          <w:szCs w:val="24"/>
        </w:rPr>
        <w:t>Specifics:</w:t>
      </w:r>
    </w:p>
    <w:p w:rsidR="00D34EF4" w:rsidRDefault="00D34EF4" w:rsidP="007A3960">
      <w:pPr>
        <w:pStyle w:val="PlainText"/>
        <w:spacing w:after="240"/>
        <w:ind w:left="360"/>
        <w:rPr>
          <w:rFonts w:ascii="Times New Roman" w:eastAsia="MS Mincho" w:hAnsi="Times New Roman"/>
          <w:sz w:val="24"/>
          <w:szCs w:val="24"/>
        </w:rPr>
      </w:pPr>
      <w:r>
        <w:rPr>
          <w:rFonts w:ascii="Times New Roman" w:eastAsia="MS Mincho" w:hAnsi="Times New Roman"/>
          <w:sz w:val="24"/>
          <w:szCs w:val="24"/>
        </w:rPr>
        <w:t xml:space="preserve">Furnished </w:t>
      </w:r>
      <w:r w:rsidRPr="001F64E6">
        <w:rPr>
          <w:rFonts w:ascii="Times New Roman" w:eastAsia="MS Mincho" w:hAnsi="Times New Roman"/>
          <w:sz w:val="24"/>
          <w:szCs w:val="24"/>
        </w:rPr>
        <w:t xml:space="preserve">equipment </w:t>
      </w:r>
      <w:r>
        <w:rPr>
          <w:rFonts w:ascii="Times New Roman" w:eastAsia="MS Mincho" w:hAnsi="Times New Roman"/>
          <w:sz w:val="24"/>
          <w:szCs w:val="24"/>
        </w:rPr>
        <w:t>will be</w:t>
      </w:r>
      <w:r w:rsidRPr="001F64E6">
        <w:rPr>
          <w:rFonts w:ascii="Times New Roman" w:eastAsia="MS Mincho" w:hAnsi="Times New Roman"/>
          <w:sz w:val="24"/>
          <w:szCs w:val="24"/>
        </w:rPr>
        <w:t xml:space="preserve"> </w:t>
      </w:r>
      <w:r>
        <w:rPr>
          <w:rFonts w:ascii="Times New Roman" w:eastAsia="MS Mincho" w:hAnsi="Times New Roman"/>
          <w:sz w:val="24"/>
          <w:szCs w:val="24"/>
        </w:rPr>
        <w:t>inspected by the Government by checking, standardizing, calibrating and/or verifying, as appropriate, in accordance with applicable AASHTO and ASTM standards</w:t>
      </w:r>
      <w:r w:rsidRPr="001F64E6">
        <w:rPr>
          <w:rFonts w:ascii="Times New Roman" w:eastAsia="MS Mincho" w:hAnsi="Times New Roman"/>
          <w:sz w:val="24"/>
          <w:szCs w:val="24"/>
        </w:rPr>
        <w:t>.</w:t>
      </w:r>
      <w:r>
        <w:rPr>
          <w:rFonts w:ascii="Times New Roman" w:eastAsia="MS Mincho" w:hAnsi="Times New Roman"/>
          <w:sz w:val="24"/>
          <w:szCs w:val="24"/>
        </w:rPr>
        <w:t xml:space="preserve">  The Government equipment inspection will be completed after the laboratory has been moved to its permanent location on the project site prior to actual use in project testing and at least once a year thereafter.  Notify the CO at least 30 days in advance of intent to use the testing equipment on the project so that Government equipment inspection can be scheduled and performed.  Assume responsibility for additional equipment inspections prior to the Government’s yearly inspection if the mobile laboratory is moved.  Maintain records documenting these inspections in the laboratory.</w:t>
      </w:r>
    </w:p>
    <w:p w:rsidR="00D34EF4" w:rsidRDefault="00D34EF4" w:rsidP="007A3960">
      <w:pPr>
        <w:pStyle w:val="PlainText"/>
        <w:spacing w:after="240"/>
        <w:ind w:left="360"/>
        <w:rPr>
          <w:rFonts w:ascii="Times New Roman" w:eastAsia="MS Mincho" w:hAnsi="Times New Roman"/>
          <w:sz w:val="24"/>
          <w:szCs w:val="24"/>
        </w:rPr>
      </w:pPr>
      <w:r>
        <w:rPr>
          <w:rFonts w:ascii="Times New Roman" w:eastAsia="MS Mincho" w:hAnsi="Times New Roman"/>
          <w:sz w:val="24"/>
          <w:szCs w:val="24"/>
        </w:rPr>
        <w:t xml:space="preserve">Maintain </w:t>
      </w:r>
      <w:r w:rsidRPr="001F64E6">
        <w:rPr>
          <w:rFonts w:ascii="Times New Roman" w:eastAsia="MS Mincho" w:hAnsi="Times New Roman"/>
          <w:sz w:val="24"/>
          <w:szCs w:val="24"/>
        </w:rPr>
        <w:t>equipment in proper operating condition.</w:t>
      </w:r>
      <w:r>
        <w:rPr>
          <w:rFonts w:ascii="Times New Roman" w:eastAsia="MS Mincho" w:hAnsi="Times New Roman"/>
          <w:sz w:val="24"/>
          <w:szCs w:val="24"/>
        </w:rPr>
        <w:t xml:space="preserve">  Do not use equipment that is found to be deficient or defective.  Mark deficient or defective equipment and take it out-of-service and immediately notify the </w:t>
      </w:r>
      <w:smartTag w:uri="urn:schemas-microsoft-com:office:smarttags" w:element="place">
        <w:r>
          <w:rPr>
            <w:rFonts w:ascii="Times New Roman" w:eastAsia="MS Mincho" w:hAnsi="Times New Roman"/>
            <w:sz w:val="24"/>
            <w:szCs w:val="24"/>
          </w:rPr>
          <w:t>CO.</w:t>
        </w:r>
      </w:smartTag>
      <w:r>
        <w:rPr>
          <w:rFonts w:ascii="Times New Roman" w:eastAsia="MS Mincho" w:hAnsi="Times New Roman"/>
          <w:sz w:val="24"/>
          <w:szCs w:val="24"/>
        </w:rPr>
        <w:t xml:space="preserve">  If Government-furnished testing components fail through no fault or negligence of the Contractor, the Government will replace or repair the equipment in the most expeditious manner practicable.  Requests for time extension and/or delay damages will not be granted for delays of less than 48 hours for any one occurrence, or for cumulative delays amounting to less than 5 (five) days in any one 365-day period.  Requests for time extensions or damages due to equipment-related delays caused by equipment misuse or other Contractor fault will not be granted.</w:t>
      </w:r>
    </w:p>
    <w:p w:rsidR="00D34EF4" w:rsidRPr="00206854" w:rsidRDefault="00D34EF4" w:rsidP="007A3960">
      <w:pPr>
        <w:pStyle w:val="PlainText"/>
        <w:numPr>
          <w:ilvl w:val="0"/>
          <w:numId w:val="6"/>
        </w:numPr>
        <w:tabs>
          <w:tab w:val="clear" w:pos="360"/>
        </w:tabs>
        <w:spacing w:after="240"/>
        <w:ind w:left="720"/>
        <w:rPr>
          <w:rFonts w:ascii="Times New Roman" w:eastAsia="MS Mincho" w:hAnsi="Times New Roman"/>
          <w:sz w:val="24"/>
          <w:szCs w:val="24"/>
        </w:rPr>
      </w:pPr>
      <w:r w:rsidRPr="00206854">
        <w:rPr>
          <w:rFonts w:ascii="Times New Roman" w:eastAsia="MS Mincho" w:hAnsi="Times New Roman"/>
          <w:color w:val="000000"/>
          <w:sz w:val="24"/>
          <w:szCs w:val="24"/>
        </w:rPr>
        <w:t>Furnish water to the Government-provided field laboratory which is clear and free of oil, acid, rust, alkali, sugar, and vegetable substances.  Furnish</w:t>
      </w:r>
      <w:r w:rsidR="003D15D7">
        <w:rPr>
          <w:rFonts w:ascii="Times New Roman" w:eastAsia="MS Mincho" w:hAnsi="Times New Roman"/>
          <w:color w:val="000000"/>
          <w:sz w:val="24"/>
          <w:szCs w:val="24"/>
        </w:rPr>
        <w:t xml:space="preserve"> </w:t>
      </w:r>
      <w:r w:rsidRPr="00206854">
        <w:rPr>
          <w:rFonts w:ascii="Times New Roman" w:eastAsia="MS Mincho" w:hAnsi="Times New Roman"/>
          <w:sz w:val="24"/>
          <w:szCs w:val="24"/>
        </w:rPr>
        <w:t>120/240</w:t>
      </w:r>
      <w:r w:rsidRPr="00206854">
        <w:rPr>
          <w:rFonts w:ascii="Times New Roman" w:eastAsia="MS Mincho" w:hAnsi="Times New Roman"/>
          <w:color w:val="000000"/>
          <w:sz w:val="24"/>
          <w:szCs w:val="24"/>
        </w:rPr>
        <w:t>-volt, 60-cycle, single-</w:t>
      </w:r>
      <w:r w:rsidRPr="00206854">
        <w:rPr>
          <w:rFonts w:ascii="Times New Roman" w:eastAsia="MS Mincho" w:hAnsi="Times New Roman"/>
          <w:color w:val="000000"/>
          <w:sz w:val="24"/>
          <w:szCs w:val="24"/>
        </w:rPr>
        <w:lastRenderedPageBreak/>
        <w:t xml:space="preserve">phase current adequate to operate all of the Government field laboratory facilities at all times as required by the CO.  </w:t>
      </w:r>
      <w:r w:rsidRPr="00206854">
        <w:rPr>
          <w:rFonts w:ascii="Times New Roman" w:eastAsia="MS Mincho" w:hAnsi="Times New Roman"/>
          <w:sz w:val="24"/>
          <w:szCs w:val="24"/>
        </w:rPr>
        <w:t>Supply enough power to support a 200 amp service panel.</w:t>
      </w:r>
      <w:r w:rsidRPr="00206854">
        <w:rPr>
          <w:rFonts w:ascii="Times New Roman" w:eastAsia="MS Mincho" w:hAnsi="Times New Roman"/>
          <w:color w:val="000000"/>
          <w:sz w:val="24"/>
          <w:szCs w:val="24"/>
        </w:rPr>
        <w:t xml:space="preserve">  Equip the power supply with a regulator that limits the voltage of the power furnished to the laboratory to not less than 220 volts and not more than 240 volts.</w:t>
      </w:r>
    </w:p>
    <w:p w:rsidR="00D34EF4" w:rsidRPr="001F64E6" w:rsidRDefault="00D34EF4" w:rsidP="007A3960">
      <w:pPr>
        <w:pStyle w:val="PlainText"/>
        <w:numPr>
          <w:ilvl w:val="0"/>
          <w:numId w:val="6"/>
        </w:numPr>
        <w:tabs>
          <w:tab w:val="clear" w:pos="360"/>
        </w:tabs>
        <w:spacing w:after="240"/>
        <w:ind w:left="720"/>
        <w:rPr>
          <w:rFonts w:ascii="Times New Roman" w:eastAsia="MS Mincho" w:hAnsi="Times New Roman"/>
          <w:sz w:val="24"/>
          <w:szCs w:val="24"/>
        </w:rPr>
      </w:pPr>
      <w:r w:rsidRPr="001F64E6">
        <w:rPr>
          <w:rFonts w:ascii="Times New Roman" w:eastAsia="MS Mincho" w:hAnsi="Times New Roman"/>
          <w:sz w:val="24"/>
          <w:szCs w:val="24"/>
        </w:rPr>
        <w:t xml:space="preserve">All equipment provided by the Government and replaced by the Contractor </w:t>
      </w:r>
      <w:r>
        <w:rPr>
          <w:rFonts w:ascii="Times New Roman" w:eastAsia="MS Mincho" w:hAnsi="Times New Roman"/>
          <w:sz w:val="24"/>
          <w:szCs w:val="24"/>
        </w:rPr>
        <w:t xml:space="preserve">will </w:t>
      </w:r>
      <w:r w:rsidRPr="001F64E6">
        <w:rPr>
          <w:rFonts w:ascii="Times New Roman" w:eastAsia="MS Mincho" w:hAnsi="Times New Roman"/>
          <w:sz w:val="24"/>
          <w:szCs w:val="24"/>
        </w:rPr>
        <w:t xml:space="preserve">remain </w:t>
      </w:r>
      <w:r>
        <w:rPr>
          <w:rFonts w:ascii="Times New Roman" w:eastAsia="MS Mincho" w:hAnsi="Times New Roman"/>
          <w:sz w:val="24"/>
          <w:szCs w:val="24"/>
        </w:rPr>
        <w:t>with the laboratory and will be</w:t>
      </w:r>
      <w:r w:rsidRPr="001F64E6">
        <w:rPr>
          <w:rFonts w:ascii="Times New Roman" w:eastAsia="MS Mincho" w:hAnsi="Times New Roman"/>
          <w:sz w:val="24"/>
          <w:szCs w:val="24"/>
        </w:rPr>
        <w:t>come the property of the Government.</w:t>
      </w:r>
    </w:p>
    <w:p w:rsidR="00D34EF4" w:rsidRDefault="00D34EF4" w:rsidP="007A3960">
      <w:pPr>
        <w:pStyle w:val="PlainText"/>
        <w:numPr>
          <w:ilvl w:val="0"/>
          <w:numId w:val="6"/>
        </w:numPr>
        <w:tabs>
          <w:tab w:val="clear" w:pos="360"/>
        </w:tabs>
        <w:spacing w:after="240"/>
        <w:ind w:left="720"/>
        <w:rPr>
          <w:rFonts w:ascii="Times New Roman" w:eastAsia="MS Mincho" w:hAnsi="Times New Roman"/>
          <w:sz w:val="24"/>
          <w:szCs w:val="24"/>
        </w:rPr>
      </w:pPr>
      <w:r w:rsidRPr="001F64E6">
        <w:rPr>
          <w:rFonts w:ascii="Times New Roman" w:eastAsia="MS Mincho" w:hAnsi="Times New Roman"/>
          <w:sz w:val="24"/>
          <w:szCs w:val="24"/>
        </w:rPr>
        <w:t xml:space="preserve">Use of the laboratory is limited to testing materials </w:t>
      </w:r>
      <w:r>
        <w:rPr>
          <w:rFonts w:ascii="Times New Roman" w:eastAsia="MS Mincho" w:hAnsi="Times New Roman"/>
          <w:sz w:val="24"/>
          <w:szCs w:val="24"/>
        </w:rPr>
        <w:t xml:space="preserve">in connection with </w:t>
      </w:r>
      <w:r w:rsidRPr="001F64E6">
        <w:rPr>
          <w:rFonts w:ascii="Times New Roman" w:eastAsia="MS Mincho" w:hAnsi="Times New Roman"/>
          <w:sz w:val="24"/>
          <w:szCs w:val="24"/>
        </w:rPr>
        <w:t>this contract.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D34EF4" w:rsidTr="007A3960">
        <w:trPr>
          <w:hidden/>
        </w:trPr>
        <w:tc>
          <w:tcPr>
            <w:tcW w:w="9576" w:type="dxa"/>
          </w:tcPr>
          <w:p w:rsidR="00D34EF4" w:rsidRDefault="00D34EF4" w:rsidP="007A3960">
            <w:pPr>
              <w:pStyle w:val="PlainText"/>
              <w:spacing w:after="240"/>
              <w:rPr>
                <w:rFonts w:ascii="Arial" w:eastAsia="MS Mincho" w:hAnsi="Arial"/>
                <w:vanish/>
                <w:color w:val="0000FF"/>
              </w:rPr>
            </w:pPr>
            <w:r>
              <w:rPr>
                <w:rFonts w:ascii="Arial" w:eastAsia="MS Mincho" w:hAnsi="Arial"/>
                <w:vanish/>
                <w:color w:val="0000FF"/>
              </w:rPr>
              <w:t>If a Government-furnished field laboratory is not available to the project, do not include the first portion of the first sentence which states, “If the Government-furnished field laboratory bid option is not exercised.”  Include the remainder of the sentence which states</w:t>
            </w:r>
            <w:r w:rsidR="00441BF5">
              <w:rPr>
                <w:rFonts w:ascii="Arial" w:eastAsia="MS Mincho" w:hAnsi="Arial"/>
                <w:vanish/>
                <w:color w:val="0000FF"/>
              </w:rPr>
              <w:t>, “</w:t>
            </w:r>
            <w:r>
              <w:rPr>
                <w:rFonts w:ascii="Arial" w:eastAsia="MS Mincho" w:hAnsi="Arial"/>
                <w:vanish/>
                <w:color w:val="0000FF"/>
              </w:rPr>
              <w:t>Furnish a laboratory equipped with all test equipment necessary to satisfy the requirements of the contract.”</w:t>
            </w:r>
          </w:p>
        </w:tc>
      </w:tr>
    </w:tbl>
    <w:p w:rsidR="00D34EF4" w:rsidRPr="002A6B76" w:rsidRDefault="00D34EF4" w:rsidP="007A3960">
      <w:pPr>
        <w:pStyle w:val="PlainText"/>
        <w:spacing w:after="240"/>
        <w:rPr>
          <w:rFonts w:ascii="Times New Roman" w:eastAsia="MS Mincho" w:hAnsi="Times New Roman"/>
          <w:sz w:val="24"/>
          <w:szCs w:val="24"/>
        </w:rPr>
      </w:pPr>
      <w:proofErr w:type="gramStart"/>
      <w:r w:rsidRPr="002A6B76">
        <w:rPr>
          <w:rFonts w:ascii="Times New Roman" w:eastAsia="MS Mincho" w:hAnsi="Times New Roman"/>
          <w:b/>
          <w:bCs/>
          <w:sz w:val="24"/>
          <w:szCs w:val="24"/>
        </w:rPr>
        <w:t>154.0</w:t>
      </w:r>
      <w:r w:rsidR="00A91272">
        <w:rPr>
          <w:rFonts w:ascii="Times New Roman" w:eastAsia="MS Mincho" w:hAnsi="Times New Roman"/>
          <w:b/>
          <w:bCs/>
          <w:sz w:val="24"/>
          <w:szCs w:val="24"/>
        </w:rPr>
        <w:t>4</w:t>
      </w:r>
      <w:r w:rsidRPr="002A6B76">
        <w:rPr>
          <w:rFonts w:ascii="Times New Roman" w:eastAsia="MS Mincho" w:hAnsi="Times New Roman"/>
          <w:b/>
          <w:bCs/>
          <w:sz w:val="24"/>
          <w:szCs w:val="24"/>
        </w:rPr>
        <w:t>B  Field</w:t>
      </w:r>
      <w:proofErr w:type="gramEnd"/>
      <w:r w:rsidRPr="002A6B76">
        <w:rPr>
          <w:rFonts w:ascii="Times New Roman" w:eastAsia="MS Mincho" w:hAnsi="Times New Roman"/>
          <w:b/>
          <w:bCs/>
          <w:sz w:val="24"/>
          <w:szCs w:val="24"/>
        </w:rPr>
        <w:t xml:space="preserve"> Laboratory (Contractor-Furnished).</w:t>
      </w:r>
      <w:r w:rsidRPr="002A6B76">
        <w:rPr>
          <w:rFonts w:ascii="Times New Roman" w:eastAsia="MS Mincho" w:hAnsi="Times New Roman"/>
          <w:sz w:val="24"/>
          <w:szCs w:val="24"/>
        </w:rPr>
        <w:t xml:space="preserve">  If the Government</w:t>
      </w:r>
      <w:r>
        <w:rPr>
          <w:rFonts w:ascii="Times New Roman" w:eastAsia="MS Mincho" w:hAnsi="Times New Roman"/>
          <w:sz w:val="24"/>
          <w:szCs w:val="24"/>
        </w:rPr>
        <w:t>-f</w:t>
      </w:r>
      <w:r w:rsidRPr="002A6B76">
        <w:rPr>
          <w:rFonts w:ascii="Times New Roman" w:eastAsia="MS Mincho" w:hAnsi="Times New Roman"/>
          <w:sz w:val="24"/>
          <w:szCs w:val="24"/>
        </w:rPr>
        <w:t>urnished field laboratory bid option is not exercised, furnish a laboratory equipped with all test equipment necessary to satisfy the requirements of the contract.</w:t>
      </w:r>
    </w:p>
    <w:p w:rsidR="00D34EF4" w:rsidRDefault="00D34EF4" w:rsidP="007A3960">
      <w:pPr>
        <w:pStyle w:val="PlainText"/>
        <w:spacing w:after="240"/>
        <w:rPr>
          <w:rFonts w:ascii="Times New Roman" w:eastAsia="MS Mincho" w:hAnsi="Times New Roman"/>
          <w:sz w:val="24"/>
          <w:szCs w:val="24"/>
        </w:rPr>
      </w:pPr>
      <w:r>
        <w:rPr>
          <w:rFonts w:ascii="Times New Roman" w:eastAsia="MS Mincho" w:hAnsi="Times New Roman"/>
          <w:sz w:val="24"/>
          <w:szCs w:val="24"/>
        </w:rPr>
        <w:t>The s</w:t>
      </w:r>
      <w:r w:rsidRPr="001F64E6">
        <w:rPr>
          <w:rFonts w:ascii="Times New Roman" w:eastAsia="MS Mincho" w:hAnsi="Times New Roman"/>
          <w:sz w:val="24"/>
          <w:szCs w:val="24"/>
        </w:rPr>
        <w:t xml:space="preserve">ampling and testing services of </w:t>
      </w:r>
      <w:r>
        <w:rPr>
          <w:rFonts w:ascii="Times New Roman" w:eastAsia="MS Mincho" w:hAnsi="Times New Roman"/>
          <w:sz w:val="24"/>
          <w:szCs w:val="24"/>
        </w:rPr>
        <w:t xml:space="preserve">a </w:t>
      </w:r>
      <w:r w:rsidRPr="001F64E6">
        <w:rPr>
          <w:rFonts w:ascii="Times New Roman" w:eastAsia="MS Mincho" w:hAnsi="Times New Roman"/>
          <w:sz w:val="24"/>
          <w:szCs w:val="24"/>
        </w:rPr>
        <w:t xml:space="preserve">commercial laboratory </w:t>
      </w:r>
      <w:r>
        <w:rPr>
          <w:rFonts w:ascii="Times New Roman" w:eastAsia="MS Mincho" w:hAnsi="Times New Roman"/>
          <w:sz w:val="24"/>
          <w:szCs w:val="24"/>
        </w:rPr>
        <w:t xml:space="preserve">meeting or exceeding the requirements described herein </w:t>
      </w:r>
      <w:r w:rsidRPr="001F64E6">
        <w:rPr>
          <w:rFonts w:ascii="Times New Roman" w:eastAsia="MS Mincho" w:hAnsi="Times New Roman"/>
          <w:sz w:val="24"/>
          <w:szCs w:val="24"/>
        </w:rPr>
        <w:t>may be used</w:t>
      </w:r>
      <w:r>
        <w:rPr>
          <w:rFonts w:ascii="Times New Roman" w:eastAsia="MS Mincho" w:hAnsi="Times New Roman"/>
          <w:sz w:val="24"/>
          <w:szCs w:val="24"/>
        </w:rPr>
        <w:t xml:space="preserve"> if all contract sampling and testing requirements are satisfied by the use of the commercial facility.</w:t>
      </w:r>
    </w:p>
    <w:p w:rsidR="00D34EF4" w:rsidRPr="00133EBF" w:rsidRDefault="00D34EF4" w:rsidP="007A3960">
      <w:pPr>
        <w:pStyle w:val="PlainText"/>
        <w:spacing w:after="240"/>
        <w:rPr>
          <w:rFonts w:ascii="Times New Roman" w:eastAsia="MS Mincho" w:hAnsi="Times New Roman"/>
          <w:sz w:val="24"/>
          <w:szCs w:val="24"/>
        </w:rPr>
      </w:pPr>
      <w:r w:rsidRPr="00133EBF">
        <w:rPr>
          <w:rFonts w:ascii="Times New Roman" w:eastAsia="MS Mincho" w:hAnsi="Times New Roman"/>
          <w:sz w:val="24"/>
          <w:szCs w:val="24"/>
        </w:rPr>
        <w:t xml:space="preserve">Ensure test equipment has been checked, calibrated, standardized and/or otherwise verified in accordance with AASHTO and ASTM standards by an individual qualified to do this work. </w:t>
      </w:r>
      <w:r>
        <w:rPr>
          <w:rFonts w:ascii="Times New Roman" w:eastAsia="MS Mincho" w:hAnsi="Times New Roman"/>
          <w:sz w:val="24"/>
          <w:szCs w:val="24"/>
        </w:rPr>
        <w:t xml:space="preserve"> </w:t>
      </w:r>
      <w:r w:rsidRPr="00133EBF">
        <w:rPr>
          <w:rFonts w:ascii="Times New Roman" w:eastAsia="MS Mincho" w:hAnsi="Times New Roman"/>
          <w:sz w:val="24"/>
          <w:szCs w:val="24"/>
        </w:rPr>
        <w:t>Ensure mobile laboratories receive an equipment inspection after the laboratory has been moved to its permanent location on the project site and anytime it is moved thereafter.  Inspect equipment within 45 days of actual use in project testing and at least once a year thereafter</w:t>
      </w:r>
      <w:r>
        <w:rPr>
          <w:rFonts w:ascii="Times New Roman" w:eastAsia="MS Mincho" w:hAnsi="Times New Roman"/>
          <w:sz w:val="24"/>
          <w:szCs w:val="24"/>
        </w:rPr>
        <w:t>.</w:t>
      </w:r>
      <w:r w:rsidRPr="00133EBF">
        <w:rPr>
          <w:rFonts w:ascii="Times New Roman" w:eastAsia="MS Mincho" w:hAnsi="Times New Roman"/>
          <w:sz w:val="24"/>
          <w:szCs w:val="24"/>
        </w:rPr>
        <w:t xml:space="preserve">  </w:t>
      </w:r>
      <w:r>
        <w:rPr>
          <w:rFonts w:ascii="Times New Roman" w:eastAsia="MS Mincho" w:hAnsi="Times New Roman"/>
          <w:sz w:val="24"/>
          <w:szCs w:val="24"/>
        </w:rPr>
        <w:t>D</w:t>
      </w:r>
      <w:r w:rsidRPr="00133EBF">
        <w:rPr>
          <w:rFonts w:ascii="Times New Roman" w:eastAsia="MS Mincho" w:hAnsi="Times New Roman"/>
          <w:sz w:val="24"/>
          <w:szCs w:val="24"/>
        </w:rPr>
        <w:t xml:space="preserve">o not use equipment that has not been inspected or is found to be deficient.  Mark deficient equipment and it take out-of-service until it is repaired </w:t>
      </w:r>
      <w:r>
        <w:rPr>
          <w:rFonts w:ascii="Times New Roman" w:eastAsia="MS Mincho" w:hAnsi="Times New Roman"/>
          <w:sz w:val="24"/>
          <w:szCs w:val="24"/>
        </w:rPr>
        <w:t xml:space="preserve">or replaced </w:t>
      </w:r>
      <w:r w:rsidRPr="00133EBF">
        <w:rPr>
          <w:rFonts w:ascii="Times New Roman" w:eastAsia="MS Mincho" w:hAnsi="Times New Roman"/>
          <w:sz w:val="24"/>
          <w:szCs w:val="24"/>
        </w:rPr>
        <w:t>and shown by subsequent inspection to perform as required.  Maintain records documenting these inspections in the laboratory.  Provide certification(s) stating the equipment conforms to testing requirements and provide evidence of current inspection.</w:t>
      </w:r>
    </w:p>
    <w:p w:rsidR="00D34EF4" w:rsidRDefault="00D34EF4" w:rsidP="007A3960">
      <w:pPr>
        <w:pStyle w:val="PlainText"/>
        <w:spacing w:after="240"/>
        <w:rPr>
          <w:rFonts w:ascii="Times New Roman" w:eastAsia="MS Mincho" w:hAnsi="Times New Roman"/>
          <w:sz w:val="24"/>
          <w:szCs w:val="24"/>
        </w:rPr>
      </w:pPr>
      <w:r w:rsidRPr="00133EBF">
        <w:rPr>
          <w:rFonts w:ascii="Times New Roman" w:eastAsia="MS Mincho" w:hAnsi="Times New Roman"/>
          <w:sz w:val="24"/>
          <w:szCs w:val="24"/>
        </w:rPr>
        <w:t>The CO may require the Contractor to perform testing to demonstrate acceptable equipment and an acceptable level of technician competence.  The CO may also check equipment and inspection records to verify condition.  Repair or replace equipment not meeting applicable requirements.  Keep laboratory facilities clean and maintain equipment in proper working condition.  Provide the CO unrestricted access to the laboratory for inspection and review.</w:t>
      </w:r>
      <w:bookmarkEnd w:id="4"/>
      <w:bookmarkEnd w:id="5"/>
    </w:p>
    <w:sectPr w:rsidR="00D34EF4">
      <w:pgSz w:w="12240" w:h="15840" w:code="1"/>
      <w:pgMar w:top="720" w:right="1440" w:bottom="1440" w:left="1440" w:header="720" w:footer="1440" w:gutter="0"/>
      <w:paperSrc w:first="15" w:other="15"/>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073B"/>
    <w:multiLevelType w:val="hybridMultilevel"/>
    <w:tmpl w:val="EE8E7D18"/>
    <w:lvl w:ilvl="0" w:tplc="80D8616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C84A78"/>
    <w:multiLevelType w:val="hybridMultilevel"/>
    <w:tmpl w:val="27B849C0"/>
    <w:lvl w:ilvl="0" w:tplc="BD9A528A">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D2604D"/>
    <w:multiLevelType w:val="hybridMultilevel"/>
    <w:tmpl w:val="8FE4A0B0"/>
    <w:lvl w:ilvl="0" w:tplc="BD9A528A">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0E3B7E"/>
    <w:multiLevelType w:val="hybridMultilevel"/>
    <w:tmpl w:val="2DDA77DA"/>
    <w:lvl w:ilvl="0" w:tplc="B0203F2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7406DC"/>
    <w:multiLevelType w:val="hybridMultilevel"/>
    <w:tmpl w:val="5AF871DA"/>
    <w:lvl w:ilvl="0" w:tplc="AA98157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920347"/>
    <w:multiLevelType w:val="hybridMultilevel"/>
    <w:tmpl w:val="BB10F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4C0A95"/>
    <w:multiLevelType w:val="hybridMultilevel"/>
    <w:tmpl w:val="469C3256"/>
    <w:lvl w:ilvl="0" w:tplc="B0203F2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01"/>
    <w:rsid w:val="00004992"/>
    <w:rsid w:val="00097B40"/>
    <w:rsid w:val="001F18E0"/>
    <w:rsid w:val="002F5001"/>
    <w:rsid w:val="00325E12"/>
    <w:rsid w:val="003627DA"/>
    <w:rsid w:val="003D15D7"/>
    <w:rsid w:val="00441BF5"/>
    <w:rsid w:val="00467921"/>
    <w:rsid w:val="00486DBA"/>
    <w:rsid w:val="00663D63"/>
    <w:rsid w:val="00667A4B"/>
    <w:rsid w:val="006A6F07"/>
    <w:rsid w:val="007A3960"/>
    <w:rsid w:val="00804FB0"/>
    <w:rsid w:val="00991C42"/>
    <w:rsid w:val="009E0277"/>
    <w:rsid w:val="00A91272"/>
    <w:rsid w:val="00AF6DBB"/>
    <w:rsid w:val="00B82FB5"/>
    <w:rsid w:val="00BC0F38"/>
    <w:rsid w:val="00C541D7"/>
    <w:rsid w:val="00D34EF4"/>
    <w:rsid w:val="00D76553"/>
    <w:rsid w:val="00D974AD"/>
    <w:rsid w:val="00DC5E26"/>
    <w:rsid w:val="00DE0A79"/>
    <w:rsid w:val="00EA516E"/>
    <w:rsid w:val="00EE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7A4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qFormat/>
    <w:rsid w:val="00667A4B"/>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sz w:val="20"/>
      <w:szCs w:val="20"/>
    </w:rPr>
  </w:style>
  <w:style w:type="character" w:styleId="Hyperlink">
    <w:name w:val="Hyperlink"/>
    <w:rsid w:val="002F5001"/>
    <w:rPr>
      <w:color w:val="0000FF"/>
      <w:u w:val="single"/>
    </w:rPr>
  </w:style>
  <w:style w:type="character" w:styleId="CommentReference">
    <w:name w:val="annotation reference"/>
    <w:rsid w:val="00991C42"/>
    <w:rPr>
      <w:sz w:val="16"/>
      <w:szCs w:val="16"/>
    </w:rPr>
  </w:style>
  <w:style w:type="paragraph" w:styleId="CommentText">
    <w:name w:val="annotation text"/>
    <w:basedOn w:val="Normal"/>
    <w:link w:val="CommentTextChar"/>
    <w:rsid w:val="00991C42"/>
    <w:rPr>
      <w:sz w:val="20"/>
      <w:szCs w:val="20"/>
    </w:rPr>
  </w:style>
  <w:style w:type="character" w:customStyle="1" w:styleId="CommentTextChar">
    <w:name w:val="Comment Text Char"/>
    <w:basedOn w:val="DefaultParagraphFont"/>
    <w:link w:val="CommentText"/>
    <w:rsid w:val="00991C42"/>
  </w:style>
  <w:style w:type="paragraph" w:styleId="CommentSubject">
    <w:name w:val="annotation subject"/>
    <w:basedOn w:val="CommentText"/>
    <w:next w:val="CommentText"/>
    <w:link w:val="CommentSubjectChar"/>
    <w:rsid w:val="00991C42"/>
    <w:rPr>
      <w:b/>
      <w:bCs/>
    </w:rPr>
  </w:style>
  <w:style w:type="character" w:customStyle="1" w:styleId="CommentSubjectChar">
    <w:name w:val="Comment Subject Char"/>
    <w:link w:val="CommentSubject"/>
    <w:rsid w:val="00991C42"/>
    <w:rPr>
      <w:b/>
      <w:bCs/>
    </w:rPr>
  </w:style>
  <w:style w:type="paragraph" w:styleId="BalloonText">
    <w:name w:val="Balloon Text"/>
    <w:basedOn w:val="Normal"/>
    <w:link w:val="BalloonTextChar"/>
    <w:rsid w:val="00991C42"/>
    <w:rPr>
      <w:rFonts w:ascii="Tahoma" w:hAnsi="Tahoma" w:cs="Tahoma"/>
      <w:sz w:val="16"/>
      <w:szCs w:val="16"/>
    </w:rPr>
  </w:style>
  <w:style w:type="character" w:customStyle="1" w:styleId="BalloonTextChar">
    <w:name w:val="Balloon Text Char"/>
    <w:link w:val="BalloonText"/>
    <w:rsid w:val="00991C42"/>
    <w:rPr>
      <w:rFonts w:ascii="Tahoma" w:hAnsi="Tahoma" w:cs="Tahoma"/>
      <w:sz w:val="16"/>
      <w:szCs w:val="16"/>
    </w:rPr>
  </w:style>
  <w:style w:type="character" w:customStyle="1" w:styleId="Heading2Char">
    <w:name w:val="Heading 2 Char"/>
    <w:basedOn w:val="DefaultParagraphFont"/>
    <w:link w:val="Heading2"/>
    <w:rsid w:val="00667A4B"/>
    <w:rPr>
      <w:b/>
      <w:sz w:val="28"/>
      <w:szCs w:val="28"/>
    </w:rPr>
  </w:style>
  <w:style w:type="character" w:customStyle="1" w:styleId="Heading1Char">
    <w:name w:val="Heading 1 Char"/>
    <w:basedOn w:val="DefaultParagraphFont"/>
    <w:link w:val="Heading1"/>
    <w:rsid w:val="00667A4B"/>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7A4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qFormat/>
    <w:rsid w:val="00667A4B"/>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sz w:val="20"/>
      <w:szCs w:val="20"/>
    </w:rPr>
  </w:style>
  <w:style w:type="character" w:styleId="Hyperlink">
    <w:name w:val="Hyperlink"/>
    <w:rsid w:val="002F5001"/>
    <w:rPr>
      <w:color w:val="0000FF"/>
      <w:u w:val="single"/>
    </w:rPr>
  </w:style>
  <w:style w:type="character" w:styleId="CommentReference">
    <w:name w:val="annotation reference"/>
    <w:rsid w:val="00991C42"/>
    <w:rPr>
      <w:sz w:val="16"/>
      <w:szCs w:val="16"/>
    </w:rPr>
  </w:style>
  <w:style w:type="paragraph" w:styleId="CommentText">
    <w:name w:val="annotation text"/>
    <w:basedOn w:val="Normal"/>
    <w:link w:val="CommentTextChar"/>
    <w:rsid w:val="00991C42"/>
    <w:rPr>
      <w:sz w:val="20"/>
      <w:szCs w:val="20"/>
    </w:rPr>
  </w:style>
  <w:style w:type="character" w:customStyle="1" w:styleId="CommentTextChar">
    <w:name w:val="Comment Text Char"/>
    <w:basedOn w:val="DefaultParagraphFont"/>
    <w:link w:val="CommentText"/>
    <w:rsid w:val="00991C42"/>
  </w:style>
  <w:style w:type="paragraph" w:styleId="CommentSubject">
    <w:name w:val="annotation subject"/>
    <w:basedOn w:val="CommentText"/>
    <w:next w:val="CommentText"/>
    <w:link w:val="CommentSubjectChar"/>
    <w:rsid w:val="00991C42"/>
    <w:rPr>
      <w:b/>
      <w:bCs/>
    </w:rPr>
  </w:style>
  <w:style w:type="character" w:customStyle="1" w:styleId="CommentSubjectChar">
    <w:name w:val="Comment Subject Char"/>
    <w:link w:val="CommentSubject"/>
    <w:rsid w:val="00991C42"/>
    <w:rPr>
      <w:b/>
      <w:bCs/>
    </w:rPr>
  </w:style>
  <w:style w:type="paragraph" w:styleId="BalloonText">
    <w:name w:val="Balloon Text"/>
    <w:basedOn w:val="Normal"/>
    <w:link w:val="BalloonTextChar"/>
    <w:rsid w:val="00991C42"/>
    <w:rPr>
      <w:rFonts w:ascii="Tahoma" w:hAnsi="Tahoma" w:cs="Tahoma"/>
      <w:sz w:val="16"/>
      <w:szCs w:val="16"/>
    </w:rPr>
  </w:style>
  <w:style w:type="character" w:customStyle="1" w:styleId="BalloonTextChar">
    <w:name w:val="Balloon Text Char"/>
    <w:link w:val="BalloonText"/>
    <w:rsid w:val="00991C42"/>
    <w:rPr>
      <w:rFonts w:ascii="Tahoma" w:hAnsi="Tahoma" w:cs="Tahoma"/>
      <w:sz w:val="16"/>
      <w:szCs w:val="16"/>
    </w:rPr>
  </w:style>
  <w:style w:type="character" w:customStyle="1" w:styleId="Heading2Char">
    <w:name w:val="Heading 2 Char"/>
    <w:basedOn w:val="DefaultParagraphFont"/>
    <w:link w:val="Heading2"/>
    <w:rsid w:val="00667A4B"/>
    <w:rPr>
      <w:b/>
      <w:sz w:val="28"/>
      <w:szCs w:val="28"/>
    </w:rPr>
  </w:style>
  <w:style w:type="character" w:customStyle="1" w:styleId="Heading1Char">
    <w:name w:val="Heading 1 Char"/>
    <w:basedOn w:val="DefaultParagraphFont"/>
    <w:link w:val="Heading1"/>
    <w:rsid w:val="00667A4B"/>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06AD-27EF-424A-9674-EA355734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154</vt:lpstr>
    </vt:vector>
  </TitlesOfParts>
  <Company>Central Federal Lands Highway Division</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dc:title>
  <dc:creator>andresen</dc:creator>
  <cp:lastModifiedBy>Black, Christine (FHWA)</cp:lastModifiedBy>
  <cp:revision>3</cp:revision>
  <dcterms:created xsi:type="dcterms:W3CDTF">2014-06-30T17:11:00Z</dcterms:created>
  <dcterms:modified xsi:type="dcterms:W3CDTF">2014-09-11T17:46:00Z</dcterms:modified>
</cp:coreProperties>
</file>