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9C8" w:rsidRDefault="004109C8" w:rsidP="004109C8">
      <w:pPr>
        <w:ind w:left="-90"/>
        <w:rPr>
          <w:rFonts w:ascii="Arial" w:hAnsi="Arial" w:cs="Arial"/>
          <w:b/>
        </w:rPr>
      </w:pPr>
      <w:r>
        <w:rPr>
          <w:rFonts w:ascii="Arial" w:hAnsi="Arial" w:cs="Arial"/>
          <w:b/>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2800350" cy="1028700"/>
            <wp:effectExtent l="19050" t="0" r="0" b="0"/>
            <wp:wrapSquare wrapText="right"/>
            <wp:docPr id="3" name="Picture 3" descr="FS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Head"/>
                    <pic:cNvPicPr>
                      <a:picLocks noChangeAspect="1" noChangeArrowheads="1"/>
                    </pic:cNvPicPr>
                  </pic:nvPicPr>
                  <pic:blipFill>
                    <a:blip r:embed="rId8" cstate="print"/>
                    <a:srcRect r="52428"/>
                    <a:stretch>
                      <a:fillRect/>
                    </a:stretch>
                  </pic:blipFill>
                  <pic:spPr bwMode="auto">
                    <a:xfrm>
                      <a:off x="0" y="0"/>
                      <a:ext cx="2800350" cy="1028700"/>
                    </a:xfrm>
                    <a:prstGeom prst="rect">
                      <a:avLst/>
                    </a:prstGeom>
                    <a:noFill/>
                    <a:ln w="9525">
                      <a:noFill/>
                      <a:miter lim="800000"/>
                      <a:headEnd/>
                      <a:tailEnd/>
                    </a:ln>
                  </pic:spPr>
                </pic:pic>
              </a:graphicData>
            </a:graphic>
          </wp:anchor>
        </w:drawing>
      </w:r>
      <w:r>
        <w:rPr>
          <w:rFonts w:ascii="Arial" w:hAnsi="Arial" w:cs="Arial"/>
          <w:b/>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2800350" cy="914400"/>
            <wp:effectExtent l="19050" t="0" r="0" b="0"/>
            <wp:wrapSquare wrapText="right"/>
            <wp:docPr id="2" name="Picture 2" descr="FS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Head"/>
                    <pic:cNvPicPr>
                      <a:picLocks noChangeAspect="1" noChangeArrowheads="1"/>
                    </pic:cNvPicPr>
                  </pic:nvPicPr>
                  <pic:blipFill>
                    <a:blip r:embed="rId8" cstate="print"/>
                    <a:srcRect r="52428"/>
                    <a:stretch>
                      <a:fillRect/>
                    </a:stretch>
                  </pic:blipFill>
                  <pic:spPr bwMode="auto">
                    <a:xfrm>
                      <a:off x="0" y="0"/>
                      <a:ext cx="2800350" cy="914400"/>
                    </a:xfrm>
                    <a:prstGeom prst="rect">
                      <a:avLst/>
                    </a:prstGeom>
                    <a:noFill/>
                    <a:ln w="9525">
                      <a:noFill/>
                      <a:miter lim="800000"/>
                      <a:headEnd/>
                      <a:tailEnd/>
                    </a:ln>
                  </pic:spPr>
                </pic:pic>
              </a:graphicData>
            </a:graphic>
          </wp:anchor>
        </w:drawing>
      </w:r>
      <w:r>
        <w:rPr>
          <w:rFonts w:ascii="Arial" w:hAnsi="Arial" w:cs="Arial"/>
          <w:b/>
        </w:rPr>
        <w:t xml:space="preserve">   </w:t>
      </w:r>
    </w:p>
    <w:p w:rsidR="003D356F" w:rsidRDefault="004109C8" w:rsidP="004109C8">
      <w:pPr>
        <w:ind w:left="-90"/>
        <w:rPr>
          <w:rFonts w:ascii="Arial" w:hAnsi="Arial" w:cs="Arial"/>
          <w:b/>
        </w:rPr>
      </w:pPr>
      <w:r>
        <w:rPr>
          <w:rFonts w:ascii="Arial" w:hAnsi="Arial" w:cs="Arial"/>
          <w:b/>
        </w:rPr>
        <w:t xml:space="preserve">   </w:t>
      </w:r>
      <w:r w:rsidR="003D356F">
        <w:rPr>
          <w:rFonts w:ascii="Arial" w:hAnsi="Arial" w:cs="Arial"/>
          <w:b/>
        </w:rPr>
        <w:t xml:space="preserve">Office of </w:t>
      </w:r>
      <w:r>
        <w:rPr>
          <w:rFonts w:ascii="Arial" w:hAnsi="Arial" w:cs="Arial"/>
          <w:b/>
        </w:rPr>
        <w:t>Homeless Services</w:t>
      </w:r>
    </w:p>
    <w:p w:rsidR="003D356F" w:rsidRDefault="003D356F" w:rsidP="003D356F">
      <w:pPr>
        <w:ind w:left="-90"/>
        <w:rPr>
          <w:rFonts w:ascii="Arial" w:hAnsi="Arial" w:cs="Arial"/>
          <w:b/>
        </w:rPr>
      </w:pPr>
    </w:p>
    <w:p w:rsidR="00C55957" w:rsidRDefault="003D356F" w:rsidP="003D356F">
      <w:r w:rsidRPr="00677B7B">
        <w:rPr>
          <w:rFonts w:ascii="Arial" w:hAnsi="Arial" w:cs="Arial"/>
          <w:b/>
          <w:sz w:val="72"/>
          <w:szCs w:val="72"/>
        </w:rPr>
        <w:t>Fact Sheet</w:t>
      </w:r>
    </w:p>
    <w:p w:rsidR="0013205E" w:rsidRPr="00E4084D" w:rsidRDefault="0013205E" w:rsidP="00E4084D">
      <w:pPr>
        <w:spacing w:after="120" w:line="280" w:lineRule="exact"/>
        <w:contextualSpacing/>
        <w:jc w:val="center"/>
        <w:rPr>
          <w:b/>
          <w:bCs/>
        </w:rPr>
      </w:pPr>
    </w:p>
    <w:p w:rsidR="0013205E" w:rsidRDefault="00E4084D" w:rsidP="00E4084D">
      <w:pPr>
        <w:spacing w:after="120" w:line="280" w:lineRule="exact"/>
        <w:contextualSpacing/>
        <w:jc w:val="center"/>
        <w:rPr>
          <w:rFonts w:ascii="Arial" w:hAnsi="Arial" w:cs="Arial"/>
          <w:b/>
          <w:bCs/>
          <w:iCs/>
        </w:rPr>
      </w:pPr>
      <w:r w:rsidRPr="00E4084D">
        <w:rPr>
          <w:rFonts w:ascii="Arial" w:hAnsi="Arial" w:cs="Arial"/>
          <w:b/>
          <w:bCs/>
          <w:iCs/>
        </w:rPr>
        <w:t>Supportive Services for Veteran Families (SSVF) Program</w:t>
      </w:r>
    </w:p>
    <w:p w:rsidR="00E4084D" w:rsidRPr="00E4084D" w:rsidRDefault="00E4084D" w:rsidP="00E4084D">
      <w:pPr>
        <w:spacing w:after="120" w:line="280" w:lineRule="exact"/>
        <w:contextualSpacing/>
        <w:jc w:val="center"/>
        <w:rPr>
          <w:rFonts w:ascii="Arial" w:hAnsi="Arial" w:cs="Arial"/>
          <w:b/>
          <w:bCs/>
        </w:rPr>
      </w:pPr>
    </w:p>
    <w:p w:rsidR="0013205E" w:rsidRDefault="0013205E" w:rsidP="00E4084D">
      <w:pPr>
        <w:spacing w:after="120" w:line="280" w:lineRule="exact"/>
        <w:contextualSpacing/>
        <w:jc w:val="both"/>
        <w:rPr>
          <w:rFonts w:ascii="Arial" w:hAnsi="Arial" w:cs="Arial"/>
          <w:sz w:val="22"/>
          <w:szCs w:val="22"/>
        </w:rPr>
      </w:pPr>
      <w:r w:rsidRPr="00E4084D">
        <w:rPr>
          <w:rFonts w:ascii="Arial" w:hAnsi="Arial" w:cs="Arial"/>
          <w:b/>
          <w:bCs/>
          <w:sz w:val="22"/>
          <w:szCs w:val="22"/>
        </w:rPr>
        <w:t xml:space="preserve">Overview: </w:t>
      </w:r>
      <w:r w:rsidRPr="00E4084D">
        <w:rPr>
          <w:rFonts w:ascii="Arial" w:hAnsi="Arial" w:cs="Arial"/>
          <w:sz w:val="22"/>
          <w:szCs w:val="22"/>
        </w:rPr>
        <w:t xml:space="preserve">VA </w:t>
      </w:r>
      <w:r w:rsidR="0088457F">
        <w:rPr>
          <w:rFonts w:ascii="Arial" w:hAnsi="Arial" w:cs="Arial"/>
          <w:sz w:val="22"/>
          <w:szCs w:val="22"/>
        </w:rPr>
        <w:t>has been</w:t>
      </w:r>
      <w:r w:rsidRPr="00E4084D">
        <w:rPr>
          <w:rFonts w:ascii="Arial" w:hAnsi="Arial" w:cs="Arial"/>
          <w:sz w:val="22"/>
          <w:szCs w:val="22"/>
        </w:rPr>
        <w:t xml:space="preserve"> authorized to </w:t>
      </w:r>
      <w:r w:rsidR="0088457F">
        <w:rPr>
          <w:rFonts w:ascii="Arial" w:hAnsi="Arial" w:cs="Arial"/>
          <w:sz w:val="22"/>
          <w:szCs w:val="22"/>
        </w:rPr>
        <w:t>offer community-based grants through</w:t>
      </w:r>
      <w:r w:rsidRPr="00E4084D">
        <w:rPr>
          <w:rFonts w:ascii="Arial" w:hAnsi="Arial" w:cs="Arial"/>
          <w:sz w:val="22"/>
          <w:szCs w:val="22"/>
        </w:rPr>
        <w:t xml:space="preserve"> the Supportive Services for Veteran Families (SSVF) Program, which will provide supportive services to very low-income Veteran families in or transitioning to permanent housing.  Funds </w:t>
      </w:r>
      <w:r w:rsidR="0088457F">
        <w:rPr>
          <w:rFonts w:ascii="Arial" w:hAnsi="Arial" w:cs="Arial"/>
          <w:sz w:val="22"/>
          <w:szCs w:val="22"/>
        </w:rPr>
        <w:t>are</w:t>
      </w:r>
      <w:r w:rsidRPr="00E4084D">
        <w:rPr>
          <w:rFonts w:ascii="Arial" w:hAnsi="Arial" w:cs="Arial"/>
          <w:sz w:val="22"/>
          <w:szCs w:val="22"/>
        </w:rPr>
        <w:t xml:space="preserve"> granted to private non-profit organizations and consumer cooperatives </w:t>
      </w:r>
      <w:proofErr w:type="gramStart"/>
      <w:r w:rsidRPr="00E4084D">
        <w:rPr>
          <w:rFonts w:ascii="Arial" w:hAnsi="Arial" w:cs="Arial"/>
          <w:sz w:val="22"/>
          <w:szCs w:val="22"/>
        </w:rPr>
        <w:t>who</w:t>
      </w:r>
      <w:proofErr w:type="gramEnd"/>
      <w:r w:rsidRPr="00E4084D">
        <w:rPr>
          <w:rFonts w:ascii="Arial" w:hAnsi="Arial" w:cs="Arial"/>
          <w:sz w:val="22"/>
          <w:szCs w:val="22"/>
        </w:rPr>
        <w:t xml:space="preserve"> will assist very low-income Veteran families by providing a range of supportive services designed to promote housing stability.  </w:t>
      </w:r>
    </w:p>
    <w:p w:rsidR="00E4084D" w:rsidRPr="00E4084D" w:rsidRDefault="00E4084D" w:rsidP="00E4084D">
      <w:pPr>
        <w:spacing w:after="120" w:line="280" w:lineRule="exact"/>
        <w:contextualSpacing/>
        <w:jc w:val="both"/>
        <w:rPr>
          <w:rFonts w:ascii="Arial" w:hAnsi="Arial" w:cs="Arial"/>
          <w:b/>
          <w:bCs/>
          <w:sz w:val="22"/>
          <w:szCs w:val="22"/>
        </w:rPr>
      </w:pPr>
    </w:p>
    <w:p w:rsidR="0013205E" w:rsidRPr="00E4084D" w:rsidRDefault="0013205E" w:rsidP="0013205E">
      <w:pPr>
        <w:spacing w:after="120" w:line="280" w:lineRule="exact"/>
        <w:jc w:val="both"/>
        <w:rPr>
          <w:rFonts w:ascii="Arial" w:hAnsi="Arial" w:cs="Arial"/>
          <w:b/>
          <w:bCs/>
          <w:sz w:val="22"/>
          <w:szCs w:val="22"/>
        </w:rPr>
      </w:pPr>
      <w:r w:rsidRPr="00E4084D">
        <w:rPr>
          <w:rFonts w:ascii="Arial" w:hAnsi="Arial" w:cs="Arial"/>
          <w:b/>
          <w:bCs/>
          <w:sz w:val="22"/>
          <w:szCs w:val="22"/>
        </w:rPr>
        <w:t xml:space="preserve">Background: </w:t>
      </w:r>
      <w:r w:rsidRPr="00E4084D">
        <w:rPr>
          <w:rFonts w:ascii="Arial" w:hAnsi="Arial" w:cs="Arial"/>
          <w:sz w:val="22"/>
          <w:szCs w:val="22"/>
        </w:rPr>
        <w:t>Estimates for Veteran homelessness have dropped substantially in the past five years.  However, despite the success of VA Homeless Services and its community partners, to end Veteran homelessness, VA must continue to assist families transitioning from homelessness to permanent housing and prevent at-risk families from becoming homeless.  In 20</w:t>
      </w:r>
      <w:r w:rsidR="004109C8">
        <w:rPr>
          <w:rFonts w:ascii="Arial" w:hAnsi="Arial" w:cs="Arial"/>
          <w:sz w:val="22"/>
          <w:szCs w:val="22"/>
        </w:rPr>
        <w:t>10</w:t>
      </w:r>
      <w:r w:rsidRPr="00E4084D">
        <w:rPr>
          <w:rFonts w:ascii="Arial" w:hAnsi="Arial" w:cs="Arial"/>
          <w:sz w:val="22"/>
          <w:szCs w:val="22"/>
        </w:rPr>
        <w:t xml:space="preserve">, the Department of Housing and Urban Development (HUD) reported that </w:t>
      </w:r>
      <w:r w:rsidR="004109C8">
        <w:rPr>
          <w:rFonts w:ascii="Arial" w:hAnsi="Arial" w:cs="Arial"/>
          <w:sz w:val="22"/>
          <w:szCs w:val="22"/>
        </w:rPr>
        <w:t>13 percent of impoverished individual Veterans become homeless at some point during the year</w:t>
      </w:r>
      <w:r w:rsidRPr="00E4084D">
        <w:rPr>
          <w:rFonts w:ascii="Arial" w:hAnsi="Arial" w:cs="Arial"/>
          <w:sz w:val="22"/>
          <w:szCs w:val="22"/>
        </w:rPr>
        <w:t>.  In 200</w:t>
      </w:r>
      <w:r w:rsidR="00650636">
        <w:rPr>
          <w:rFonts w:ascii="Arial" w:hAnsi="Arial" w:cs="Arial"/>
          <w:sz w:val="22"/>
          <w:szCs w:val="22"/>
        </w:rPr>
        <w:t>9</w:t>
      </w:r>
      <w:r w:rsidRPr="00E4084D">
        <w:rPr>
          <w:rFonts w:ascii="Arial" w:hAnsi="Arial" w:cs="Arial"/>
          <w:sz w:val="22"/>
          <w:szCs w:val="22"/>
        </w:rPr>
        <w:t xml:space="preserve">, the </w:t>
      </w:r>
      <w:r w:rsidR="00650636">
        <w:rPr>
          <w:rFonts w:ascii="Arial" w:hAnsi="Arial" w:cs="Arial"/>
          <w:sz w:val="22"/>
          <w:szCs w:val="22"/>
        </w:rPr>
        <w:t xml:space="preserve">American Community Survey estimated that </w:t>
      </w:r>
      <w:r w:rsidR="00650636" w:rsidRPr="00650636">
        <w:rPr>
          <w:rFonts w:ascii="Arial" w:hAnsi="Arial" w:cs="Arial"/>
          <w:sz w:val="22"/>
          <w:szCs w:val="22"/>
        </w:rPr>
        <w:t>1,356,610</w:t>
      </w:r>
      <w:r w:rsidR="00650636">
        <w:rPr>
          <w:rFonts w:ascii="Arial" w:hAnsi="Arial" w:cs="Arial"/>
          <w:sz w:val="22"/>
          <w:szCs w:val="22"/>
        </w:rPr>
        <w:t xml:space="preserve"> Veterans lived in poverty</w:t>
      </w:r>
      <w:r w:rsidRPr="00E4084D">
        <w:rPr>
          <w:rFonts w:ascii="Arial" w:hAnsi="Arial" w:cs="Arial"/>
          <w:sz w:val="22"/>
          <w:szCs w:val="22"/>
        </w:rPr>
        <w:t>.</w:t>
      </w:r>
    </w:p>
    <w:p w:rsidR="0013205E" w:rsidRPr="00E4084D" w:rsidRDefault="0013205E" w:rsidP="0013205E">
      <w:pPr>
        <w:spacing w:after="120" w:line="280" w:lineRule="exact"/>
        <w:jc w:val="both"/>
        <w:rPr>
          <w:rFonts w:ascii="Arial" w:hAnsi="Arial" w:cs="Arial"/>
          <w:sz w:val="22"/>
          <w:szCs w:val="22"/>
        </w:rPr>
      </w:pPr>
      <w:r w:rsidRPr="00E4084D">
        <w:rPr>
          <w:rFonts w:ascii="Arial" w:hAnsi="Arial" w:cs="Arial"/>
          <w:b/>
          <w:bCs/>
          <w:sz w:val="22"/>
          <w:szCs w:val="22"/>
        </w:rPr>
        <w:t xml:space="preserve">Supportive Services: </w:t>
      </w:r>
      <w:r w:rsidRPr="00E4084D">
        <w:rPr>
          <w:rFonts w:ascii="Arial" w:hAnsi="Arial" w:cs="Arial"/>
          <w:sz w:val="22"/>
          <w:szCs w:val="22"/>
        </w:rPr>
        <w:t>Through the SSVF Program, VA aims to improve very low-income Veteran families’ housing stability.  Grantees (private non-profit organizations and consumer cooperatives) will provide eligible Veteran families with outreach, case management,</w:t>
      </w:r>
      <w:r w:rsidR="004109C8">
        <w:rPr>
          <w:rFonts w:ascii="Arial" w:hAnsi="Arial" w:cs="Arial"/>
          <w:sz w:val="22"/>
          <w:szCs w:val="22"/>
        </w:rPr>
        <w:t xml:space="preserve"> </w:t>
      </w:r>
      <w:r w:rsidRPr="00E4084D">
        <w:rPr>
          <w:rFonts w:ascii="Arial" w:hAnsi="Arial" w:cs="Arial"/>
          <w:sz w:val="22"/>
          <w:szCs w:val="22"/>
        </w:rPr>
        <w:t xml:space="preserve">and assistance in obtaining VA and other benefits, which may include: </w:t>
      </w:r>
    </w:p>
    <w:tbl>
      <w:tblPr>
        <w:tblW w:w="0" w:type="auto"/>
        <w:tblInd w:w="108" w:type="dxa"/>
        <w:tblLook w:val="01E0"/>
      </w:tblPr>
      <w:tblGrid>
        <w:gridCol w:w="4680"/>
        <w:gridCol w:w="4788"/>
      </w:tblGrid>
      <w:tr w:rsidR="0013205E" w:rsidRPr="00E4084D" w:rsidTr="00D15172">
        <w:tc>
          <w:tcPr>
            <w:tcW w:w="4680" w:type="dxa"/>
          </w:tcPr>
          <w:p w:rsidR="0013205E" w:rsidRPr="00E4084D" w:rsidRDefault="0013205E" w:rsidP="0013205E">
            <w:pPr>
              <w:numPr>
                <w:ilvl w:val="0"/>
                <w:numId w:val="1"/>
              </w:numPr>
              <w:tabs>
                <w:tab w:val="clear" w:pos="360"/>
                <w:tab w:val="num" w:pos="612"/>
              </w:tabs>
              <w:spacing w:line="280" w:lineRule="exact"/>
              <w:ind w:left="612" w:hanging="360"/>
              <w:jc w:val="both"/>
              <w:rPr>
                <w:rFonts w:ascii="Arial" w:hAnsi="Arial" w:cs="Arial"/>
                <w:sz w:val="22"/>
                <w:szCs w:val="22"/>
              </w:rPr>
            </w:pPr>
            <w:r w:rsidRPr="00E4084D">
              <w:rPr>
                <w:rFonts w:ascii="Arial" w:hAnsi="Arial" w:cs="Arial"/>
                <w:sz w:val="22"/>
                <w:szCs w:val="22"/>
              </w:rPr>
              <w:t>Health care services</w:t>
            </w:r>
          </w:p>
          <w:p w:rsidR="0013205E" w:rsidRPr="00E4084D" w:rsidRDefault="0013205E" w:rsidP="0013205E">
            <w:pPr>
              <w:numPr>
                <w:ilvl w:val="0"/>
                <w:numId w:val="1"/>
              </w:numPr>
              <w:tabs>
                <w:tab w:val="clear" w:pos="360"/>
                <w:tab w:val="num" w:pos="612"/>
              </w:tabs>
              <w:spacing w:line="280" w:lineRule="exact"/>
              <w:ind w:left="612" w:hanging="360"/>
              <w:jc w:val="both"/>
              <w:rPr>
                <w:rFonts w:ascii="Arial" w:hAnsi="Arial" w:cs="Arial"/>
                <w:sz w:val="22"/>
                <w:szCs w:val="22"/>
              </w:rPr>
            </w:pPr>
            <w:r w:rsidRPr="00E4084D">
              <w:rPr>
                <w:rFonts w:ascii="Arial" w:hAnsi="Arial" w:cs="Arial"/>
                <w:sz w:val="22"/>
                <w:szCs w:val="22"/>
              </w:rPr>
              <w:t>Daily living services</w:t>
            </w:r>
          </w:p>
          <w:p w:rsidR="0013205E" w:rsidRPr="00E4084D" w:rsidRDefault="0013205E" w:rsidP="0013205E">
            <w:pPr>
              <w:numPr>
                <w:ilvl w:val="0"/>
                <w:numId w:val="1"/>
              </w:numPr>
              <w:tabs>
                <w:tab w:val="clear" w:pos="360"/>
                <w:tab w:val="num" w:pos="612"/>
              </w:tabs>
              <w:spacing w:line="280" w:lineRule="exact"/>
              <w:ind w:left="612" w:hanging="360"/>
              <w:jc w:val="both"/>
              <w:rPr>
                <w:rFonts w:ascii="Arial" w:hAnsi="Arial" w:cs="Arial"/>
                <w:sz w:val="22"/>
                <w:szCs w:val="22"/>
              </w:rPr>
            </w:pPr>
            <w:r w:rsidRPr="00E4084D">
              <w:rPr>
                <w:rFonts w:ascii="Arial" w:hAnsi="Arial" w:cs="Arial"/>
                <w:sz w:val="22"/>
                <w:szCs w:val="22"/>
              </w:rPr>
              <w:t xml:space="preserve">Personal financial planning services </w:t>
            </w:r>
          </w:p>
          <w:p w:rsidR="0013205E" w:rsidRPr="00E4084D" w:rsidRDefault="0013205E" w:rsidP="0013205E">
            <w:pPr>
              <w:numPr>
                <w:ilvl w:val="0"/>
                <w:numId w:val="1"/>
              </w:numPr>
              <w:tabs>
                <w:tab w:val="clear" w:pos="360"/>
                <w:tab w:val="num" w:pos="612"/>
              </w:tabs>
              <w:spacing w:line="280" w:lineRule="exact"/>
              <w:ind w:left="612" w:hanging="360"/>
              <w:jc w:val="both"/>
              <w:rPr>
                <w:rFonts w:ascii="Arial" w:hAnsi="Arial" w:cs="Arial"/>
                <w:sz w:val="22"/>
                <w:szCs w:val="22"/>
              </w:rPr>
            </w:pPr>
            <w:r w:rsidRPr="00E4084D">
              <w:rPr>
                <w:rFonts w:ascii="Arial" w:hAnsi="Arial" w:cs="Arial"/>
                <w:sz w:val="22"/>
                <w:szCs w:val="22"/>
              </w:rPr>
              <w:t xml:space="preserve">Transportation services </w:t>
            </w:r>
          </w:p>
        </w:tc>
        <w:tc>
          <w:tcPr>
            <w:tcW w:w="4788" w:type="dxa"/>
          </w:tcPr>
          <w:p w:rsidR="0013205E" w:rsidRPr="00E4084D" w:rsidRDefault="0013205E" w:rsidP="0013205E">
            <w:pPr>
              <w:numPr>
                <w:ilvl w:val="0"/>
                <w:numId w:val="1"/>
              </w:numPr>
              <w:tabs>
                <w:tab w:val="clear" w:pos="360"/>
                <w:tab w:val="num" w:pos="612"/>
              </w:tabs>
              <w:spacing w:line="280" w:lineRule="exact"/>
              <w:ind w:left="612" w:hanging="360"/>
              <w:jc w:val="both"/>
              <w:rPr>
                <w:rFonts w:ascii="Arial" w:hAnsi="Arial" w:cs="Arial"/>
                <w:sz w:val="22"/>
                <w:szCs w:val="22"/>
              </w:rPr>
            </w:pPr>
            <w:r w:rsidRPr="00E4084D">
              <w:rPr>
                <w:rFonts w:ascii="Arial" w:hAnsi="Arial" w:cs="Arial"/>
                <w:sz w:val="22"/>
                <w:szCs w:val="22"/>
              </w:rPr>
              <w:t xml:space="preserve">Fiduciary and payee services </w:t>
            </w:r>
          </w:p>
          <w:p w:rsidR="0013205E" w:rsidRPr="00E4084D" w:rsidRDefault="0013205E" w:rsidP="0013205E">
            <w:pPr>
              <w:numPr>
                <w:ilvl w:val="0"/>
                <w:numId w:val="1"/>
              </w:numPr>
              <w:tabs>
                <w:tab w:val="clear" w:pos="360"/>
                <w:tab w:val="num" w:pos="612"/>
              </w:tabs>
              <w:spacing w:line="280" w:lineRule="exact"/>
              <w:ind w:left="612" w:hanging="360"/>
              <w:jc w:val="both"/>
              <w:rPr>
                <w:rFonts w:ascii="Arial" w:hAnsi="Arial" w:cs="Arial"/>
                <w:sz w:val="22"/>
                <w:szCs w:val="22"/>
              </w:rPr>
            </w:pPr>
            <w:r w:rsidRPr="00E4084D">
              <w:rPr>
                <w:rFonts w:ascii="Arial" w:hAnsi="Arial" w:cs="Arial"/>
                <w:sz w:val="22"/>
                <w:szCs w:val="22"/>
              </w:rPr>
              <w:t xml:space="preserve">Legal services </w:t>
            </w:r>
          </w:p>
          <w:p w:rsidR="0013205E" w:rsidRPr="00E4084D" w:rsidRDefault="0013205E" w:rsidP="0013205E">
            <w:pPr>
              <w:numPr>
                <w:ilvl w:val="0"/>
                <w:numId w:val="1"/>
              </w:numPr>
              <w:tabs>
                <w:tab w:val="clear" w:pos="360"/>
                <w:tab w:val="num" w:pos="612"/>
              </w:tabs>
              <w:spacing w:line="280" w:lineRule="exact"/>
              <w:ind w:left="612" w:hanging="360"/>
              <w:jc w:val="both"/>
              <w:rPr>
                <w:rFonts w:ascii="Arial" w:hAnsi="Arial" w:cs="Arial"/>
                <w:sz w:val="22"/>
                <w:szCs w:val="22"/>
              </w:rPr>
            </w:pPr>
            <w:r w:rsidRPr="00E4084D">
              <w:rPr>
                <w:rFonts w:ascii="Arial" w:hAnsi="Arial" w:cs="Arial"/>
                <w:sz w:val="22"/>
                <w:szCs w:val="22"/>
              </w:rPr>
              <w:t>Child care services</w:t>
            </w:r>
          </w:p>
          <w:p w:rsidR="0013205E" w:rsidRPr="00E4084D" w:rsidRDefault="0013205E" w:rsidP="0013205E">
            <w:pPr>
              <w:numPr>
                <w:ilvl w:val="0"/>
                <w:numId w:val="1"/>
              </w:numPr>
              <w:tabs>
                <w:tab w:val="clear" w:pos="360"/>
                <w:tab w:val="num" w:pos="612"/>
              </w:tabs>
              <w:spacing w:line="280" w:lineRule="exact"/>
              <w:ind w:left="612" w:hanging="360"/>
              <w:jc w:val="both"/>
              <w:rPr>
                <w:rFonts w:ascii="Arial" w:hAnsi="Arial" w:cs="Arial"/>
                <w:sz w:val="22"/>
                <w:szCs w:val="22"/>
              </w:rPr>
            </w:pPr>
            <w:r w:rsidRPr="00E4084D">
              <w:rPr>
                <w:rFonts w:ascii="Arial" w:hAnsi="Arial" w:cs="Arial"/>
                <w:sz w:val="22"/>
                <w:szCs w:val="22"/>
              </w:rPr>
              <w:t xml:space="preserve">Housing counseling services  </w:t>
            </w:r>
          </w:p>
        </w:tc>
      </w:tr>
    </w:tbl>
    <w:p w:rsidR="0013205E" w:rsidRPr="00E4084D" w:rsidRDefault="0013205E" w:rsidP="0013205E">
      <w:pPr>
        <w:spacing w:before="60" w:after="120" w:line="280" w:lineRule="exact"/>
        <w:jc w:val="both"/>
        <w:rPr>
          <w:rFonts w:ascii="Arial" w:hAnsi="Arial" w:cs="Arial"/>
          <w:sz w:val="22"/>
          <w:szCs w:val="22"/>
        </w:rPr>
      </w:pPr>
      <w:r w:rsidRPr="00E4084D">
        <w:rPr>
          <w:rFonts w:ascii="Arial" w:hAnsi="Arial" w:cs="Arial"/>
          <w:sz w:val="22"/>
          <w:szCs w:val="22"/>
        </w:rPr>
        <w:t xml:space="preserve">In addition, grantees may also provide time-limited payments to third parties (e.g., landlords, utility companies, moving companies, and licensed child care providers) if these payments help Veterans’ families stay in or acquire permanent housing on a sustainable basis.  </w:t>
      </w:r>
    </w:p>
    <w:p w:rsidR="0013205E" w:rsidRPr="00E4084D" w:rsidRDefault="0013205E" w:rsidP="0013205E">
      <w:pPr>
        <w:spacing w:after="120" w:line="280" w:lineRule="exact"/>
        <w:jc w:val="both"/>
        <w:rPr>
          <w:rFonts w:ascii="Arial" w:hAnsi="Arial" w:cs="Arial"/>
          <w:b/>
          <w:bCs/>
          <w:sz w:val="22"/>
          <w:szCs w:val="22"/>
        </w:rPr>
      </w:pPr>
      <w:r w:rsidRPr="00E4084D">
        <w:rPr>
          <w:rFonts w:ascii="Arial" w:hAnsi="Arial" w:cs="Arial"/>
          <w:b/>
          <w:bCs/>
          <w:sz w:val="22"/>
          <w:szCs w:val="22"/>
        </w:rPr>
        <w:t xml:space="preserve">Application Process: </w:t>
      </w:r>
      <w:r w:rsidRPr="00E4084D">
        <w:rPr>
          <w:rFonts w:ascii="Arial" w:hAnsi="Arial" w:cs="Arial"/>
          <w:sz w:val="22"/>
          <w:szCs w:val="22"/>
        </w:rPr>
        <w:t xml:space="preserve">Once funds are available, VA will publish a Notice of Fund Availability (NOFA) in the Federal Register.  Application information will also be available online: </w:t>
      </w:r>
      <w:r w:rsidR="004109C8">
        <w:rPr>
          <w:rFonts w:ascii="Arial" w:hAnsi="Arial" w:cs="Arial"/>
          <w:color w:val="0000FF"/>
          <w:sz w:val="22"/>
          <w:szCs w:val="22"/>
          <w:u w:val="single"/>
        </w:rPr>
        <w:t>http://www</w:t>
      </w:r>
      <w:r w:rsidRPr="00E4084D">
        <w:rPr>
          <w:rFonts w:ascii="Arial" w:hAnsi="Arial" w:cs="Arial"/>
          <w:color w:val="0000FF"/>
          <w:sz w:val="22"/>
          <w:szCs w:val="22"/>
          <w:u w:val="single"/>
        </w:rPr>
        <w:t>.va.gov/homeless</w:t>
      </w:r>
      <w:r w:rsidR="004109C8">
        <w:rPr>
          <w:rFonts w:ascii="Arial" w:hAnsi="Arial" w:cs="Arial"/>
          <w:color w:val="0000FF"/>
          <w:sz w:val="22"/>
          <w:szCs w:val="22"/>
          <w:u w:val="single"/>
        </w:rPr>
        <w:t>/ssvf.asp</w:t>
      </w:r>
      <w:r w:rsidRPr="00E4084D">
        <w:rPr>
          <w:rFonts w:ascii="Arial" w:hAnsi="Arial" w:cs="Arial"/>
          <w:sz w:val="22"/>
          <w:szCs w:val="22"/>
        </w:rPr>
        <w:t xml:space="preserve"> and </w:t>
      </w:r>
      <w:hyperlink r:id="rId9" w:history="1">
        <w:r w:rsidRPr="00E4084D">
          <w:rPr>
            <w:rStyle w:val="Hyperlink"/>
            <w:rFonts w:ascii="Arial" w:hAnsi="Arial" w:cs="Arial"/>
            <w:sz w:val="22"/>
            <w:szCs w:val="22"/>
          </w:rPr>
          <w:t>http://grants.gov</w:t>
        </w:r>
      </w:hyperlink>
      <w:r w:rsidRPr="00E4084D">
        <w:rPr>
          <w:rFonts w:ascii="Arial" w:hAnsi="Arial" w:cs="Arial"/>
          <w:sz w:val="22"/>
          <w:szCs w:val="22"/>
        </w:rPr>
        <w:t xml:space="preserve">. </w:t>
      </w:r>
    </w:p>
    <w:p w:rsidR="0013205E" w:rsidRPr="00E4084D" w:rsidRDefault="0013205E" w:rsidP="0013205E">
      <w:pPr>
        <w:spacing w:after="120" w:line="280" w:lineRule="exact"/>
        <w:jc w:val="both"/>
        <w:rPr>
          <w:rFonts w:ascii="Arial" w:hAnsi="Arial" w:cs="Arial"/>
          <w:sz w:val="22"/>
          <w:szCs w:val="22"/>
        </w:rPr>
      </w:pPr>
      <w:r w:rsidRPr="00E4084D">
        <w:rPr>
          <w:rFonts w:ascii="Arial" w:hAnsi="Arial" w:cs="Arial"/>
          <w:b/>
          <w:bCs/>
          <w:sz w:val="22"/>
          <w:szCs w:val="22"/>
        </w:rPr>
        <w:t>Additional Information:</w:t>
      </w:r>
      <w:r w:rsidRPr="00E4084D">
        <w:rPr>
          <w:rFonts w:ascii="Arial" w:hAnsi="Arial" w:cs="Arial"/>
          <w:sz w:val="22"/>
          <w:szCs w:val="22"/>
        </w:rPr>
        <w:t xml:space="preserve"> For further information about the SSVF Program, please email </w:t>
      </w:r>
      <w:r w:rsidR="004109C8">
        <w:rPr>
          <w:rFonts w:ascii="Arial" w:hAnsi="Arial" w:cs="Arial"/>
          <w:sz w:val="22"/>
          <w:szCs w:val="22"/>
        </w:rPr>
        <w:t>the program at</w:t>
      </w:r>
      <w:r w:rsidRPr="00E4084D">
        <w:rPr>
          <w:rFonts w:ascii="Arial" w:hAnsi="Arial" w:cs="Arial"/>
          <w:sz w:val="22"/>
          <w:szCs w:val="22"/>
        </w:rPr>
        <w:t xml:space="preserve"> </w:t>
      </w:r>
      <w:hyperlink r:id="rId10" w:history="1">
        <w:r w:rsidR="004109C8" w:rsidRPr="003604E4">
          <w:rPr>
            <w:rStyle w:val="Hyperlink"/>
            <w:rFonts w:ascii="Arial" w:hAnsi="Arial" w:cs="Arial"/>
            <w:sz w:val="22"/>
            <w:szCs w:val="22"/>
          </w:rPr>
          <w:t>SSVF@va.gov</w:t>
        </w:r>
      </w:hyperlink>
      <w:r w:rsidRPr="00E4084D">
        <w:rPr>
          <w:rFonts w:ascii="Arial" w:hAnsi="Arial" w:cs="Arial"/>
          <w:sz w:val="22"/>
          <w:szCs w:val="22"/>
        </w:rPr>
        <w:t xml:space="preserve">. </w:t>
      </w:r>
    </w:p>
    <w:p w:rsidR="003D356F" w:rsidRDefault="003D356F" w:rsidP="00C55957">
      <w:pPr>
        <w:pStyle w:val="Heading2"/>
        <w:jc w:val="center"/>
        <w:rPr>
          <w:i w:val="0"/>
          <w:sz w:val="28"/>
          <w:u w:val="single"/>
        </w:rPr>
      </w:pPr>
    </w:p>
    <w:sectPr w:rsidR="003D356F" w:rsidSect="005258CB">
      <w:headerReference w:type="even" r:id="rId11"/>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A4D" w:rsidRDefault="00E45A4D">
      <w:r>
        <w:separator/>
      </w:r>
    </w:p>
  </w:endnote>
  <w:endnote w:type="continuationSeparator" w:id="0">
    <w:p w:rsidR="00E45A4D" w:rsidRDefault="00E45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A4D" w:rsidRDefault="00E45A4D">
      <w:r>
        <w:separator/>
      </w:r>
    </w:p>
  </w:footnote>
  <w:footnote w:type="continuationSeparator" w:id="0">
    <w:p w:rsidR="00E45A4D" w:rsidRDefault="00E45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C1" w:rsidRDefault="00E85B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C1" w:rsidRDefault="00E85BC1" w:rsidP="005258CB">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C1" w:rsidRDefault="00E85B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91DA6"/>
    <w:multiLevelType w:val="hybridMultilevel"/>
    <w:tmpl w:val="B88A0DEE"/>
    <w:lvl w:ilvl="0" w:tplc="B5F60D50">
      <w:start w:val="1"/>
      <w:numFmt w:val="decimal"/>
      <w:lvlText w:val="%1."/>
      <w:lvlJc w:val="left"/>
      <w:pPr>
        <w:tabs>
          <w:tab w:val="num" w:pos="360"/>
        </w:tabs>
        <w:ind w:left="360" w:hanging="360"/>
      </w:pPr>
      <w:rPr>
        <w:rFonts w:hint="default"/>
        <w:b/>
        <w:bCs/>
        <w:color w:val="auto"/>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186CC1"/>
    <w:multiLevelType w:val="hybridMultilevel"/>
    <w:tmpl w:val="D5AE36B4"/>
    <w:lvl w:ilvl="0" w:tplc="51CC6872">
      <w:start w:val="1"/>
      <w:numFmt w:val="bullet"/>
      <w:lvlText w:val=""/>
      <w:lvlJc w:val="left"/>
      <w:pPr>
        <w:tabs>
          <w:tab w:val="num" w:pos="360"/>
        </w:tabs>
        <w:ind w:left="1440" w:hanging="144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C55957"/>
    <w:rsid w:val="00000B45"/>
    <w:rsid w:val="000057F2"/>
    <w:rsid w:val="00015C51"/>
    <w:rsid w:val="00032B74"/>
    <w:rsid w:val="000330F2"/>
    <w:rsid w:val="00046F51"/>
    <w:rsid w:val="00055A60"/>
    <w:rsid w:val="00091218"/>
    <w:rsid w:val="00095850"/>
    <w:rsid w:val="000C4A31"/>
    <w:rsid w:val="000C56A3"/>
    <w:rsid w:val="000D4768"/>
    <w:rsid w:val="000D7E79"/>
    <w:rsid w:val="000E2431"/>
    <w:rsid w:val="000E2A76"/>
    <w:rsid w:val="000E45D8"/>
    <w:rsid w:val="000F3C86"/>
    <w:rsid w:val="000F5CAF"/>
    <w:rsid w:val="000F6CA3"/>
    <w:rsid w:val="00104DA1"/>
    <w:rsid w:val="00105C6B"/>
    <w:rsid w:val="00120547"/>
    <w:rsid w:val="0013205E"/>
    <w:rsid w:val="00135035"/>
    <w:rsid w:val="00136538"/>
    <w:rsid w:val="001405B3"/>
    <w:rsid w:val="0017269B"/>
    <w:rsid w:val="00174E80"/>
    <w:rsid w:val="001761C2"/>
    <w:rsid w:val="00177934"/>
    <w:rsid w:val="0019613E"/>
    <w:rsid w:val="0019780B"/>
    <w:rsid w:val="001A0796"/>
    <w:rsid w:val="001A1C2C"/>
    <w:rsid w:val="001A65A8"/>
    <w:rsid w:val="001B1AD7"/>
    <w:rsid w:val="001B2ECA"/>
    <w:rsid w:val="001D4EF7"/>
    <w:rsid w:val="001E74B6"/>
    <w:rsid w:val="001F3F5F"/>
    <w:rsid w:val="001F652F"/>
    <w:rsid w:val="002205CA"/>
    <w:rsid w:val="002316FF"/>
    <w:rsid w:val="002419FC"/>
    <w:rsid w:val="0024766E"/>
    <w:rsid w:val="00257E80"/>
    <w:rsid w:val="00274A48"/>
    <w:rsid w:val="00282037"/>
    <w:rsid w:val="002962B6"/>
    <w:rsid w:val="002C5E76"/>
    <w:rsid w:val="002D28C4"/>
    <w:rsid w:val="002E0C8F"/>
    <w:rsid w:val="002F01CC"/>
    <w:rsid w:val="002F23D7"/>
    <w:rsid w:val="002F725E"/>
    <w:rsid w:val="00302CF4"/>
    <w:rsid w:val="003071EC"/>
    <w:rsid w:val="0032251F"/>
    <w:rsid w:val="00325F78"/>
    <w:rsid w:val="003332DA"/>
    <w:rsid w:val="00354765"/>
    <w:rsid w:val="003723D5"/>
    <w:rsid w:val="003757F0"/>
    <w:rsid w:val="003804C7"/>
    <w:rsid w:val="00381356"/>
    <w:rsid w:val="0038263E"/>
    <w:rsid w:val="003B0D1B"/>
    <w:rsid w:val="003C6A6B"/>
    <w:rsid w:val="003D0511"/>
    <w:rsid w:val="003D1A22"/>
    <w:rsid w:val="003D356F"/>
    <w:rsid w:val="003D6D4A"/>
    <w:rsid w:val="003E40A8"/>
    <w:rsid w:val="003E5BE3"/>
    <w:rsid w:val="004001C6"/>
    <w:rsid w:val="00401C37"/>
    <w:rsid w:val="00405490"/>
    <w:rsid w:val="004106AB"/>
    <w:rsid w:val="004109C8"/>
    <w:rsid w:val="00410FB0"/>
    <w:rsid w:val="00415679"/>
    <w:rsid w:val="00420913"/>
    <w:rsid w:val="00421893"/>
    <w:rsid w:val="00424D03"/>
    <w:rsid w:val="00432D84"/>
    <w:rsid w:val="0044061A"/>
    <w:rsid w:val="00443BBC"/>
    <w:rsid w:val="00444B59"/>
    <w:rsid w:val="0046390C"/>
    <w:rsid w:val="00474986"/>
    <w:rsid w:val="0048242E"/>
    <w:rsid w:val="00487643"/>
    <w:rsid w:val="00487A57"/>
    <w:rsid w:val="00492A15"/>
    <w:rsid w:val="004B463E"/>
    <w:rsid w:val="004B4C97"/>
    <w:rsid w:val="004C0111"/>
    <w:rsid w:val="004C6021"/>
    <w:rsid w:val="004D3AA4"/>
    <w:rsid w:val="004F3FD4"/>
    <w:rsid w:val="004F64D0"/>
    <w:rsid w:val="0051411F"/>
    <w:rsid w:val="005168BE"/>
    <w:rsid w:val="005258CB"/>
    <w:rsid w:val="00534662"/>
    <w:rsid w:val="00543D00"/>
    <w:rsid w:val="005475B0"/>
    <w:rsid w:val="00552554"/>
    <w:rsid w:val="00565120"/>
    <w:rsid w:val="00576A9E"/>
    <w:rsid w:val="005905D0"/>
    <w:rsid w:val="0059267C"/>
    <w:rsid w:val="005949B5"/>
    <w:rsid w:val="00595827"/>
    <w:rsid w:val="005C6771"/>
    <w:rsid w:val="005C7AE7"/>
    <w:rsid w:val="005D02E6"/>
    <w:rsid w:val="005D59FE"/>
    <w:rsid w:val="005D6246"/>
    <w:rsid w:val="005F2E2C"/>
    <w:rsid w:val="005F5062"/>
    <w:rsid w:val="006055E1"/>
    <w:rsid w:val="00610F84"/>
    <w:rsid w:val="00621444"/>
    <w:rsid w:val="00623059"/>
    <w:rsid w:val="006258B5"/>
    <w:rsid w:val="00626C0D"/>
    <w:rsid w:val="00631064"/>
    <w:rsid w:val="00633805"/>
    <w:rsid w:val="00635B06"/>
    <w:rsid w:val="00637514"/>
    <w:rsid w:val="00643870"/>
    <w:rsid w:val="006460A8"/>
    <w:rsid w:val="00650636"/>
    <w:rsid w:val="00655740"/>
    <w:rsid w:val="00661064"/>
    <w:rsid w:val="00664724"/>
    <w:rsid w:val="00671E3D"/>
    <w:rsid w:val="0067583B"/>
    <w:rsid w:val="0067766B"/>
    <w:rsid w:val="0068431C"/>
    <w:rsid w:val="00692AE2"/>
    <w:rsid w:val="00695B8D"/>
    <w:rsid w:val="006A0C10"/>
    <w:rsid w:val="006A1A1E"/>
    <w:rsid w:val="006C222B"/>
    <w:rsid w:val="006D2BA0"/>
    <w:rsid w:val="006D51A0"/>
    <w:rsid w:val="006E19D5"/>
    <w:rsid w:val="007005A6"/>
    <w:rsid w:val="00702690"/>
    <w:rsid w:val="00704B6B"/>
    <w:rsid w:val="007055E5"/>
    <w:rsid w:val="007057A3"/>
    <w:rsid w:val="00711122"/>
    <w:rsid w:val="00711B4A"/>
    <w:rsid w:val="00712DAE"/>
    <w:rsid w:val="00722458"/>
    <w:rsid w:val="00722C34"/>
    <w:rsid w:val="00724CE9"/>
    <w:rsid w:val="00725729"/>
    <w:rsid w:val="007371D9"/>
    <w:rsid w:val="00740A24"/>
    <w:rsid w:val="0074473B"/>
    <w:rsid w:val="007450C4"/>
    <w:rsid w:val="007722CD"/>
    <w:rsid w:val="00775F8B"/>
    <w:rsid w:val="00780791"/>
    <w:rsid w:val="00781086"/>
    <w:rsid w:val="007977E9"/>
    <w:rsid w:val="007C538E"/>
    <w:rsid w:val="007C5CD2"/>
    <w:rsid w:val="007C6135"/>
    <w:rsid w:val="007D31C3"/>
    <w:rsid w:val="007D4800"/>
    <w:rsid w:val="007E1999"/>
    <w:rsid w:val="007E4ED4"/>
    <w:rsid w:val="007E704D"/>
    <w:rsid w:val="007F5D83"/>
    <w:rsid w:val="007F77F9"/>
    <w:rsid w:val="00803834"/>
    <w:rsid w:val="008174C5"/>
    <w:rsid w:val="00817653"/>
    <w:rsid w:val="00820144"/>
    <w:rsid w:val="00824D8C"/>
    <w:rsid w:val="00843476"/>
    <w:rsid w:val="00847E47"/>
    <w:rsid w:val="00860EDC"/>
    <w:rsid w:val="00861952"/>
    <w:rsid w:val="0086631E"/>
    <w:rsid w:val="00867A8C"/>
    <w:rsid w:val="008769E7"/>
    <w:rsid w:val="0088457F"/>
    <w:rsid w:val="00887031"/>
    <w:rsid w:val="008A46D3"/>
    <w:rsid w:val="008B2A09"/>
    <w:rsid w:val="008C0714"/>
    <w:rsid w:val="008C557B"/>
    <w:rsid w:val="008E2F00"/>
    <w:rsid w:val="008E4FA1"/>
    <w:rsid w:val="008F0859"/>
    <w:rsid w:val="008F755E"/>
    <w:rsid w:val="0090056A"/>
    <w:rsid w:val="0090280E"/>
    <w:rsid w:val="0090582C"/>
    <w:rsid w:val="00912BD1"/>
    <w:rsid w:val="0091350E"/>
    <w:rsid w:val="009269BD"/>
    <w:rsid w:val="0093170D"/>
    <w:rsid w:val="00942C6C"/>
    <w:rsid w:val="009505DA"/>
    <w:rsid w:val="0095498C"/>
    <w:rsid w:val="0096544C"/>
    <w:rsid w:val="00980392"/>
    <w:rsid w:val="00985417"/>
    <w:rsid w:val="0098752A"/>
    <w:rsid w:val="00990068"/>
    <w:rsid w:val="00996637"/>
    <w:rsid w:val="0099664A"/>
    <w:rsid w:val="009A0C08"/>
    <w:rsid w:val="009A4CC8"/>
    <w:rsid w:val="009B4133"/>
    <w:rsid w:val="009B5FB6"/>
    <w:rsid w:val="009C2399"/>
    <w:rsid w:val="009D36D9"/>
    <w:rsid w:val="009D3EF3"/>
    <w:rsid w:val="009D450F"/>
    <w:rsid w:val="009D72D3"/>
    <w:rsid w:val="009E1465"/>
    <w:rsid w:val="009E1FD0"/>
    <w:rsid w:val="009E5B53"/>
    <w:rsid w:val="009E6A76"/>
    <w:rsid w:val="009F1A03"/>
    <w:rsid w:val="009F4106"/>
    <w:rsid w:val="009F7949"/>
    <w:rsid w:val="00A11033"/>
    <w:rsid w:val="00A13A31"/>
    <w:rsid w:val="00A16534"/>
    <w:rsid w:val="00A37BE5"/>
    <w:rsid w:val="00A37E6A"/>
    <w:rsid w:val="00A54D2C"/>
    <w:rsid w:val="00A575A5"/>
    <w:rsid w:val="00A65E12"/>
    <w:rsid w:val="00A6676E"/>
    <w:rsid w:val="00A91C9A"/>
    <w:rsid w:val="00A92441"/>
    <w:rsid w:val="00AA295C"/>
    <w:rsid w:val="00AA5E66"/>
    <w:rsid w:val="00AC6C48"/>
    <w:rsid w:val="00AE3959"/>
    <w:rsid w:val="00B1782D"/>
    <w:rsid w:val="00B24F3D"/>
    <w:rsid w:val="00B26819"/>
    <w:rsid w:val="00B32565"/>
    <w:rsid w:val="00B43775"/>
    <w:rsid w:val="00B44FDE"/>
    <w:rsid w:val="00B5361A"/>
    <w:rsid w:val="00B557D1"/>
    <w:rsid w:val="00B74393"/>
    <w:rsid w:val="00B74466"/>
    <w:rsid w:val="00B754FD"/>
    <w:rsid w:val="00B77E88"/>
    <w:rsid w:val="00B94D21"/>
    <w:rsid w:val="00B9707E"/>
    <w:rsid w:val="00BA23A4"/>
    <w:rsid w:val="00BC3E7B"/>
    <w:rsid w:val="00BD1EFD"/>
    <w:rsid w:val="00BE2129"/>
    <w:rsid w:val="00BE5EB5"/>
    <w:rsid w:val="00BE674C"/>
    <w:rsid w:val="00BF2222"/>
    <w:rsid w:val="00BF72A5"/>
    <w:rsid w:val="00C02EED"/>
    <w:rsid w:val="00C137D4"/>
    <w:rsid w:val="00C21897"/>
    <w:rsid w:val="00C227BF"/>
    <w:rsid w:val="00C26774"/>
    <w:rsid w:val="00C26AFD"/>
    <w:rsid w:val="00C3041A"/>
    <w:rsid w:val="00C3204B"/>
    <w:rsid w:val="00C435BE"/>
    <w:rsid w:val="00C503F0"/>
    <w:rsid w:val="00C55957"/>
    <w:rsid w:val="00C56F47"/>
    <w:rsid w:val="00C704E6"/>
    <w:rsid w:val="00C71EB1"/>
    <w:rsid w:val="00C72C9E"/>
    <w:rsid w:val="00C75AD5"/>
    <w:rsid w:val="00C87168"/>
    <w:rsid w:val="00C90D5E"/>
    <w:rsid w:val="00C9387B"/>
    <w:rsid w:val="00CB5437"/>
    <w:rsid w:val="00CB74E4"/>
    <w:rsid w:val="00CC43B8"/>
    <w:rsid w:val="00CD598C"/>
    <w:rsid w:val="00CE2419"/>
    <w:rsid w:val="00CF4E68"/>
    <w:rsid w:val="00CF5C1D"/>
    <w:rsid w:val="00CF5DDA"/>
    <w:rsid w:val="00CF7880"/>
    <w:rsid w:val="00D0751B"/>
    <w:rsid w:val="00D13E83"/>
    <w:rsid w:val="00D15172"/>
    <w:rsid w:val="00D23DE5"/>
    <w:rsid w:val="00D25C76"/>
    <w:rsid w:val="00D31166"/>
    <w:rsid w:val="00D40794"/>
    <w:rsid w:val="00D52057"/>
    <w:rsid w:val="00D57625"/>
    <w:rsid w:val="00D73610"/>
    <w:rsid w:val="00D76865"/>
    <w:rsid w:val="00D82393"/>
    <w:rsid w:val="00D87FBB"/>
    <w:rsid w:val="00D90CA2"/>
    <w:rsid w:val="00DA0C78"/>
    <w:rsid w:val="00DA702A"/>
    <w:rsid w:val="00DA7123"/>
    <w:rsid w:val="00DB26CC"/>
    <w:rsid w:val="00DB6CF4"/>
    <w:rsid w:val="00DC3F9B"/>
    <w:rsid w:val="00DC4EBC"/>
    <w:rsid w:val="00DC77F1"/>
    <w:rsid w:val="00DD28FC"/>
    <w:rsid w:val="00DE2644"/>
    <w:rsid w:val="00DE3635"/>
    <w:rsid w:val="00DE7094"/>
    <w:rsid w:val="00DF1837"/>
    <w:rsid w:val="00DF5B2B"/>
    <w:rsid w:val="00DF7F06"/>
    <w:rsid w:val="00E01C26"/>
    <w:rsid w:val="00E072D4"/>
    <w:rsid w:val="00E07B1B"/>
    <w:rsid w:val="00E10332"/>
    <w:rsid w:val="00E10389"/>
    <w:rsid w:val="00E1311A"/>
    <w:rsid w:val="00E23344"/>
    <w:rsid w:val="00E267B5"/>
    <w:rsid w:val="00E344A6"/>
    <w:rsid w:val="00E36BC8"/>
    <w:rsid w:val="00E4084D"/>
    <w:rsid w:val="00E45A4D"/>
    <w:rsid w:val="00E525C3"/>
    <w:rsid w:val="00E52E70"/>
    <w:rsid w:val="00E5319E"/>
    <w:rsid w:val="00E545AC"/>
    <w:rsid w:val="00E6204A"/>
    <w:rsid w:val="00E713DD"/>
    <w:rsid w:val="00E73F2F"/>
    <w:rsid w:val="00E812EA"/>
    <w:rsid w:val="00E85A2B"/>
    <w:rsid w:val="00E85BC1"/>
    <w:rsid w:val="00E916B3"/>
    <w:rsid w:val="00E94CA3"/>
    <w:rsid w:val="00EC06D9"/>
    <w:rsid w:val="00EC074A"/>
    <w:rsid w:val="00EC096A"/>
    <w:rsid w:val="00EC09FD"/>
    <w:rsid w:val="00EC1FDA"/>
    <w:rsid w:val="00EC38A8"/>
    <w:rsid w:val="00EC4BF8"/>
    <w:rsid w:val="00EE6CC5"/>
    <w:rsid w:val="00EF5427"/>
    <w:rsid w:val="00EF747C"/>
    <w:rsid w:val="00F022E9"/>
    <w:rsid w:val="00F04C5A"/>
    <w:rsid w:val="00F1356A"/>
    <w:rsid w:val="00F14E8A"/>
    <w:rsid w:val="00F16155"/>
    <w:rsid w:val="00F2325C"/>
    <w:rsid w:val="00F42212"/>
    <w:rsid w:val="00F42592"/>
    <w:rsid w:val="00F42C8C"/>
    <w:rsid w:val="00F507E7"/>
    <w:rsid w:val="00F70F94"/>
    <w:rsid w:val="00F72F0A"/>
    <w:rsid w:val="00F778B1"/>
    <w:rsid w:val="00F820DE"/>
    <w:rsid w:val="00F84E0A"/>
    <w:rsid w:val="00F94BAC"/>
    <w:rsid w:val="00F96CC6"/>
    <w:rsid w:val="00F97648"/>
    <w:rsid w:val="00FA5A26"/>
    <w:rsid w:val="00FB5C3D"/>
    <w:rsid w:val="00FE2891"/>
    <w:rsid w:val="00FE5D86"/>
    <w:rsid w:val="00FF2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2A5"/>
    <w:rPr>
      <w:sz w:val="24"/>
      <w:szCs w:val="24"/>
    </w:rPr>
  </w:style>
  <w:style w:type="paragraph" w:styleId="Heading1">
    <w:name w:val="heading 1"/>
    <w:basedOn w:val="Normal"/>
    <w:next w:val="Normal"/>
    <w:qFormat/>
    <w:rsid w:val="00C5595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55957"/>
    <w:pPr>
      <w:keepNext/>
      <w:ind w:left="360"/>
      <w:outlineLvl w:val="1"/>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258CB"/>
    <w:pPr>
      <w:tabs>
        <w:tab w:val="center" w:pos="4320"/>
        <w:tab w:val="right" w:pos="8640"/>
      </w:tabs>
    </w:pPr>
  </w:style>
  <w:style w:type="paragraph" w:styleId="Footer">
    <w:name w:val="footer"/>
    <w:basedOn w:val="Normal"/>
    <w:rsid w:val="005258CB"/>
    <w:pPr>
      <w:tabs>
        <w:tab w:val="center" w:pos="4320"/>
        <w:tab w:val="right" w:pos="8640"/>
      </w:tabs>
    </w:pPr>
  </w:style>
  <w:style w:type="character" w:styleId="PageNumber">
    <w:name w:val="page number"/>
    <w:basedOn w:val="DefaultParagraphFont"/>
    <w:rsid w:val="005258CB"/>
  </w:style>
  <w:style w:type="character" w:styleId="Hyperlink">
    <w:name w:val="Hyperlink"/>
    <w:basedOn w:val="DefaultParagraphFont"/>
    <w:rsid w:val="001320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SVF@va.gov" TargetMode="External"/><Relationship Id="rId4" Type="http://schemas.openxmlformats.org/officeDocument/2006/relationships/settings" Target="settings.xml"/><Relationship Id="rId9" Type="http://schemas.openxmlformats.org/officeDocument/2006/relationships/hyperlink" Target="http://grant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B46B3-404C-4B63-8905-E9EAD59F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320</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Office of Patient Care Services –</vt:lpstr>
    </vt:vector>
  </TitlesOfParts>
  <Company>VA</Company>
  <LinksUpToDate>false</LinksUpToDate>
  <CharactersWithSpaces>2419</CharactersWithSpaces>
  <SharedDoc>false</SharedDoc>
  <HLinks>
    <vt:vector size="12" baseType="variant">
      <vt:variant>
        <vt:i4>6619213</vt:i4>
      </vt:variant>
      <vt:variant>
        <vt:i4>3</vt:i4>
      </vt:variant>
      <vt:variant>
        <vt:i4>0</vt:i4>
      </vt:variant>
      <vt:variant>
        <vt:i4>5</vt:i4>
      </vt:variant>
      <vt:variant>
        <vt:lpwstr>mailto:john.kuhn2@va.gov</vt:lpwstr>
      </vt:variant>
      <vt:variant>
        <vt:lpwstr/>
      </vt:variant>
      <vt:variant>
        <vt:i4>3604599</vt:i4>
      </vt:variant>
      <vt:variant>
        <vt:i4>0</vt:i4>
      </vt:variant>
      <vt:variant>
        <vt:i4>0</vt:i4>
      </vt:variant>
      <vt:variant>
        <vt:i4>5</vt:i4>
      </vt:variant>
      <vt:variant>
        <vt:lpwstr>http://grants.gov/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Patient Care Services –</dc:title>
  <dc:subject/>
  <dc:creator>vhacopittmt</dc:creator>
  <cp:keywords/>
  <dc:description/>
  <cp:lastModifiedBy>vhalynkuhnj</cp:lastModifiedBy>
  <cp:revision>4</cp:revision>
  <dcterms:created xsi:type="dcterms:W3CDTF">2011-11-04T18:17:00Z</dcterms:created>
  <dcterms:modified xsi:type="dcterms:W3CDTF">2011-11-04T18:23:00Z</dcterms:modified>
</cp:coreProperties>
</file>