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A7" w:rsidRPr="00AB40A7" w:rsidRDefault="0059300E" w:rsidP="00AB40A7">
      <w:pPr>
        <w:pStyle w:val="NoSpacing"/>
        <w:jc w:val="center"/>
        <w:rPr>
          <w:b/>
        </w:rPr>
      </w:pPr>
      <w:r>
        <w:rPr>
          <w:b/>
        </w:rPr>
        <w:t>USDA</w:t>
      </w:r>
    </w:p>
    <w:p w:rsidR="000A5339" w:rsidRDefault="0059300E" w:rsidP="00AB40A7">
      <w:pPr>
        <w:pStyle w:val="NoSpacing"/>
        <w:jc w:val="center"/>
        <w:rPr>
          <w:b/>
        </w:rPr>
      </w:pPr>
      <w:r>
        <w:rPr>
          <w:b/>
        </w:rPr>
        <w:t>SERVICE CONTRACT INVENTORY</w:t>
      </w:r>
    </w:p>
    <w:p w:rsidR="0059300E" w:rsidRPr="00AB40A7" w:rsidRDefault="0059300E" w:rsidP="00AB40A7">
      <w:pPr>
        <w:pStyle w:val="NoSpacing"/>
        <w:jc w:val="center"/>
        <w:rPr>
          <w:b/>
        </w:rPr>
      </w:pPr>
      <w:r>
        <w:rPr>
          <w:b/>
        </w:rPr>
        <w:t>FY 2011 PLANNED ANALYSIS</w:t>
      </w:r>
    </w:p>
    <w:p w:rsidR="00AB40A7" w:rsidRDefault="00AB40A7" w:rsidP="00AB40A7">
      <w:pPr>
        <w:pStyle w:val="NoSpacing"/>
      </w:pPr>
    </w:p>
    <w:p w:rsidR="00AB40A7" w:rsidRPr="00AB40A7" w:rsidRDefault="00AB40A7" w:rsidP="00AB40A7">
      <w:pPr>
        <w:pStyle w:val="NoSpacing"/>
      </w:pPr>
    </w:p>
    <w:p w:rsidR="00AB40A7" w:rsidRDefault="0059300E" w:rsidP="00AB40A7">
      <w:pPr>
        <w:pStyle w:val="NoSpacing"/>
      </w:pPr>
      <w:r>
        <w:t>This table</w:t>
      </w:r>
      <w:r w:rsidR="000648D8">
        <w:t xml:space="preserve"> </w:t>
      </w:r>
      <w:r>
        <w:t xml:space="preserve">shows </w:t>
      </w:r>
      <w:r w:rsidR="000648D8">
        <w:t xml:space="preserve">the special interest functions </w:t>
      </w:r>
      <w:r>
        <w:t xml:space="preserve">USDA will analyze </w:t>
      </w:r>
      <w:r w:rsidR="00FD284F">
        <w:t>in</w:t>
      </w:r>
      <w:r w:rsidR="001A4A38">
        <w:t xml:space="preserve"> </w:t>
      </w:r>
      <w:r w:rsidR="00FD284F">
        <w:t>its</w:t>
      </w:r>
      <w:r w:rsidR="000648D8">
        <w:t xml:space="preserve"> FY 2011 Service Contract Inventory.  </w:t>
      </w:r>
    </w:p>
    <w:p w:rsidR="003B6A2B" w:rsidRDefault="003B6A2B" w:rsidP="00AB40A7">
      <w:pPr>
        <w:pStyle w:val="NoSpacing"/>
      </w:pP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1363"/>
        <w:gridCol w:w="6120"/>
        <w:gridCol w:w="1903"/>
      </w:tblGrid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5930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00E">
              <w:rPr>
                <w:rFonts w:ascii="Times New Roman" w:eastAsia="Times New Roman" w:hAnsi="Times New Roman" w:cs="Times New Roman"/>
                <w:b/>
              </w:rPr>
              <w:t>PSC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59300E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Product or Service Description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2475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FY 11 </w:t>
            </w:r>
            <w:r w:rsidR="002A24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Obligations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D302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ADP SYSTEMS DEVELOPMENT SVCS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$45,591,411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D307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AUTOMATED INFO SYSTEM SVCS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$57,543,230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D310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ADP BACKUP &amp; SECURITY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$5,936,832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D314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ADP ACQUISITION SUP SVCS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$4,389,790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R408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PROGRAM MANAGEMENT/SUPPORT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$77,952,046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R413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SPECIFICATIONS DEVELOPMENT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$138,800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R414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SYSTEMS ENGINEERING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$1,895,453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R421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TECHNICAL ASSISTANCE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$11,390,885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R423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INTELLIGENCE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R425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ENGINEERING &amp; TECHNICAL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$3,641,898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R497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PERSONAL SERVICES CONTRACTS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$255,689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</w:rPr>
              <w:t>R707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59300E">
              <w:rPr>
                <w:rFonts w:ascii="Times New Roman" w:eastAsia="Times New Roman" w:hAnsi="Times New Roman" w:cs="Times New Roman"/>
                <w:color w:val="000000"/>
                <w:kern w:val="24"/>
              </w:rPr>
              <w:t>MGT SVCS/CONTRACT &amp; PROCUREMENT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$50,820,815</w:t>
            </w:r>
          </w:p>
        </w:tc>
      </w:tr>
      <w:tr w:rsidR="0059300E" w:rsidRPr="0059300E" w:rsidTr="002A5819">
        <w:trPr>
          <w:trHeight w:hRule="exact" w:val="4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300E" w:rsidRPr="0059300E" w:rsidRDefault="0059300E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2A2475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Default="002A2475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B544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Default="002A2475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Technology Studies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Pr="0059300E" w:rsidRDefault="002A2475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$</w:t>
            </w:r>
            <w:r w:rsidRPr="002A2475">
              <w:rPr>
                <w:rFonts w:ascii="Calibri" w:eastAsia="Calibri" w:hAnsi="Calibri" w:cs="Times New Roman"/>
                <w:color w:val="000000"/>
              </w:rPr>
              <w:t>300</w:t>
            </w:r>
            <w:r>
              <w:rPr>
                <w:rFonts w:ascii="Calibri" w:eastAsia="Calibri" w:hAnsi="Calibri" w:cs="Times New Roman"/>
                <w:color w:val="000000"/>
              </w:rPr>
              <w:t>,</w:t>
            </w:r>
            <w:r w:rsidRPr="002A2475">
              <w:rPr>
                <w:rFonts w:ascii="Calibri" w:eastAsia="Calibri" w:hAnsi="Calibri" w:cs="Times New Roman"/>
                <w:color w:val="000000"/>
              </w:rPr>
              <w:t>260</w:t>
            </w:r>
          </w:p>
        </w:tc>
      </w:tr>
      <w:tr w:rsidR="002A2475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Default="002A2475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D306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Default="002A2475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ADP System Analysis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Pr="0059300E" w:rsidRDefault="002A2475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$</w:t>
            </w:r>
            <w:r w:rsidRPr="002A2475">
              <w:rPr>
                <w:rFonts w:ascii="Calibri" w:eastAsia="Calibri" w:hAnsi="Calibri" w:cs="Times New Roman"/>
                <w:color w:val="000000"/>
              </w:rPr>
              <w:t>43</w:t>
            </w:r>
            <w:r>
              <w:rPr>
                <w:rFonts w:ascii="Calibri" w:eastAsia="Calibri" w:hAnsi="Calibri" w:cs="Times New Roman"/>
                <w:color w:val="000000"/>
              </w:rPr>
              <w:t>,</w:t>
            </w:r>
            <w:r w:rsidRPr="002A2475">
              <w:rPr>
                <w:rFonts w:ascii="Calibri" w:eastAsia="Calibri" w:hAnsi="Calibri" w:cs="Times New Roman"/>
                <w:color w:val="000000"/>
              </w:rPr>
              <w:t>593</w:t>
            </w:r>
            <w:r>
              <w:rPr>
                <w:rFonts w:ascii="Calibri" w:eastAsia="Calibri" w:hAnsi="Calibri" w:cs="Times New Roman"/>
                <w:color w:val="000000"/>
              </w:rPr>
              <w:t>,</w:t>
            </w:r>
            <w:r w:rsidRPr="002A2475">
              <w:rPr>
                <w:rFonts w:ascii="Calibri" w:eastAsia="Calibri" w:hAnsi="Calibri" w:cs="Times New Roman"/>
                <w:color w:val="000000"/>
              </w:rPr>
              <w:t>066</w:t>
            </w:r>
          </w:p>
        </w:tc>
      </w:tr>
      <w:tr w:rsidR="002A2475" w:rsidRPr="0059300E" w:rsidTr="002A5819">
        <w:trPr>
          <w:trHeight w:hRule="exact" w:val="432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Pr="0059300E" w:rsidRDefault="002A2475" w:rsidP="002A58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D399 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Pr="0059300E" w:rsidRDefault="002A2475" w:rsidP="002A5819">
            <w:pPr>
              <w:spacing w:after="0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Other ADP and Communication Services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A2475" w:rsidRPr="0059300E" w:rsidRDefault="002A2475" w:rsidP="002A5819">
            <w:pPr>
              <w:spacing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59300E">
              <w:rPr>
                <w:rFonts w:ascii="Calibri" w:eastAsia="Calibri" w:hAnsi="Calibri" w:cs="Times New Roman"/>
                <w:color w:val="000000"/>
              </w:rPr>
              <w:t>$177,281,021</w:t>
            </w:r>
          </w:p>
        </w:tc>
      </w:tr>
    </w:tbl>
    <w:p w:rsidR="0059300E" w:rsidRDefault="0059300E"/>
    <w:p w:rsidR="00FD284F" w:rsidRDefault="0059300E">
      <w:r>
        <w:t>The first 12</w:t>
      </w:r>
      <w:r w:rsidR="002A2475">
        <w:t xml:space="preserve"> </w:t>
      </w:r>
      <w:r w:rsidRPr="0059300E">
        <w:t xml:space="preserve">Product </w:t>
      </w:r>
      <w:r>
        <w:t xml:space="preserve">and </w:t>
      </w:r>
      <w:r w:rsidRPr="0059300E">
        <w:t xml:space="preserve">Service Codes (PSCs) </w:t>
      </w:r>
      <w:r>
        <w:t xml:space="preserve">were </w:t>
      </w:r>
      <w:r w:rsidRPr="0059300E">
        <w:t xml:space="preserve">identified by </w:t>
      </w:r>
      <w:r>
        <w:t xml:space="preserve">OMB for </w:t>
      </w:r>
      <w:r w:rsidRPr="0059300E">
        <w:t xml:space="preserve">reducing spending on management support service contracts by 15 percent by the end of FY 2012.  The remaining three PSCs designated </w:t>
      </w:r>
      <w:r w:rsidR="002A2475">
        <w:t xml:space="preserve">represent </w:t>
      </w:r>
      <w:r w:rsidR="003B6A2B">
        <w:t xml:space="preserve">areas with significant spending at </w:t>
      </w:r>
      <w:r>
        <w:t>USDA</w:t>
      </w:r>
      <w:r w:rsidRPr="0059300E">
        <w:t>.</w:t>
      </w:r>
    </w:p>
    <w:sectPr w:rsidR="00FD284F" w:rsidSect="0089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7E" w:rsidRDefault="00C7187E" w:rsidP="000648D8">
      <w:pPr>
        <w:spacing w:after="0"/>
      </w:pPr>
      <w:r>
        <w:separator/>
      </w:r>
    </w:p>
  </w:endnote>
  <w:endnote w:type="continuationSeparator" w:id="0">
    <w:p w:rsidR="00C7187E" w:rsidRDefault="00C7187E" w:rsidP="000648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7E" w:rsidRDefault="00C7187E" w:rsidP="000648D8">
      <w:pPr>
        <w:spacing w:after="0"/>
      </w:pPr>
      <w:r>
        <w:separator/>
      </w:r>
    </w:p>
  </w:footnote>
  <w:footnote w:type="continuationSeparator" w:id="0">
    <w:p w:rsidR="00C7187E" w:rsidRDefault="00C7187E" w:rsidP="000648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B2"/>
    <w:rsid w:val="000648D8"/>
    <w:rsid w:val="000A5339"/>
    <w:rsid w:val="001A4A38"/>
    <w:rsid w:val="001D0A27"/>
    <w:rsid w:val="002A2475"/>
    <w:rsid w:val="002A5819"/>
    <w:rsid w:val="003123B2"/>
    <w:rsid w:val="00390314"/>
    <w:rsid w:val="003B6A2B"/>
    <w:rsid w:val="003D265A"/>
    <w:rsid w:val="004253CA"/>
    <w:rsid w:val="0059300E"/>
    <w:rsid w:val="007A1EE7"/>
    <w:rsid w:val="00896F55"/>
    <w:rsid w:val="008B4AD9"/>
    <w:rsid w:val="00986587"/>
    <w:rsid w:val="00994160"/>
    <w:rsid w:val="00AB40A7"/>
    <w:rsid w:val="00C7187E"/>
    <w:rsid w:val="00E00FE9"/>
    <w:rsid w:val="00E4207D"/>
    <w:rsid w:val="00ED1682"/>
    <w:rsid w:val="00FD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0A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Business Center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USDA</dc:creator>
  <cp:keywords/>
  <dc:description/>
  <cp:lastModifiedBy>USDA</cp:lastModifiedBy>
  <cp:revision>5</cp:revision>
  <dcterms:created xsi:type="dcterms:W3CDTF">2012-01-24T13:04:00Z</dcterms:created>
  <dcterms:modified xsi:type="dcterms:W3CDTF">2012-01-24T13:31:00Z</dcterms:modified>
</cp:coreProperties>
</file>