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7B" w:rsidRDefault="0085767B">
      <w:bookmarkStart w:id="0" w:name="_GoBack"/>
      <w:bookmarkEnd w:id="0"/>
    </w:p>
    <w:p w:rsidR="00422514" w:rsidRDefault="00422514" w:rsidP="00422514">
      <w:pPr>
        <w:jc w:val="center"/>
      </w:pPr>
    </w:p>
    <w:p w:rsidR="00842CF2" w:rsidRDefault="00842CF2" w:rsidP="00422514">
      <w:pPr>
        <w:jc w:val="center"/>
        <w:rPr>
          <w:b/>
          <w:bCs/>
          <w:sz w:val="32"/>
          <w:u w:val="single"/>
        </w:rPr>
      </w:pPr>
    </w:p>
    <w:p w:rsidR="00422514" w:rsidRPr="00842CF2" w:rsidRDefault="00422514" w:rsidP="00422514">
      <w:pPr>
        <w:jc w:val="center"/>
        <w:rPr>
          <w:b/>
          <w:bCs/>
          <w:sz w:val="36"/>
          <w:szCs w:val="36"/>
          <w:u w:val="single"/>
        </w:rPr>
      </w:pPr>
      <w:r w:rsidRPr="00842CF2">
        <w:rPr>
          <w:b/>
          <w:bCs/>
          <w:sz w:val="36"/>
          <w:szCs w:val="36"/>
          <w:u w:val="single"/>
        </w:rPr>
        <w:t>REDUCTION OF FORCE BENEFITS</w:t>
      </w:r>
    </w:p>
    <w:p w:rsidR="00422514" w:rsidRDefault="00422514" w:rsidP="00422514">
      <w:pPr>
        <w:jc w:val="center"/>
        <w:rPr>
          <w:b/>
          <w:bCs/>
          <w:sz w:val="24"/>
          <w:szCs w:val="24"/>
        </w:rPr>
      </w:pPr>
    </w:p>
    <w:p w:rsidR="00422514" w:rsidRPr="00566BFE" w:rsidRDefault="00422514" w:rsidP="00422514">
      <w:pPr>
        <w:rPr>
          <w:b/>
          <w:bCs/>
          <w:sz w:val="24"/>
          <w:szCs w:val="24"/>
        </w:rPr>
      </w:pPr>
      <w:r>
        <w:t>T</w:t>
      </w:r>
      <w:r w:rsidRPr="002A4DA3">
        <w:t>he following information will provide you with a general outline of the benefits available under the Reduction of Force (ROF).  This information is not intended, nor should it be construed, to modify or replace in any manner the provisions within the related plans or Summary Plan Descriptions.  Should there be differences between the information in this document and the information in the related plans or Summary Plan Descriptions, the provisions of the related plans or Summary Plan Descriptions in force at the time will take precedence</w:t>
      </w:r>
      <w:r>
        <w:t>.</w:t>
      </w:r>
    </w:p>
    <w:p w:rsidR="00422514" w:rsidRDefault="00422514" w:rsidP="00422514"/>
    <w:p w:rsidR="00422514" w:rsidRPr="005B1DDB" w:rsidRDefault="00422514" w:rsidP="00422514">
      <w:r w:rsidRPr="005B1DDB">
        <w:rPr>
          <w:b/>
        </w:rPr>
        <w:t xml:space="preserve">NOTE:  Employees of </w:t>
      </w:r>
      <w:r>
        <w:rPr>
          <w:b/>
        </w:rPr>
        <w:t>CHPRC/MSA</w:t>
      </w:r>
      <w:r w:rsidRPr="005B1DDB">
        <w:rPr>
          <w:b/>
        </w:rPr>
        <w:t xml:space="preserve"> pre-selected subcontractors who are under their respective company’s corporate benefit plans are NOT eligible for the benefits described in this document.</w:t>
      </w:r>
    </w:p>
    <w:p w:rsidR="00422514" w:rsidRDefault="00422514" w:rsidP="00422514"/>
    <w:tbl>
      <w:tblPr>
        <w:tblW w:w="5016" w:type="pct"/>
        <w:shd w:val="clear" w:color="auto" w:fill="FFFFFF"/>
        <w:tblLook w:val="003F" w:firstRow="1" w:lastRow="0" w:firstColumn="0" w:lastColumn="0" w:noHBand="0" w:noVBand="0"/>
      </w:tblPr>
      <w:tblGrid>
        <w:gridCol w:w="2008"/>
        <w:gridCol w:w="7599"/>
      </w:tblGrid>
      <w:tr w:rsidR="00422514" w:rsidTr="00E6023A">
        <w:tc>
          <w:tcPr>
            <w:tcW w:w="1045" w:type="pct"/>
            <w:shd w:val="clear" w:color="auto" w:fill="FFFFFF"/>
          </w:tcPr>
          <w:p w:rsidR="00422514" w:rsidRDefault="00422514" w:rsidP="00E6023A">
            <w:pPr>
              <w:pStyle w:val="Heading1"/>
              <w:rPr>
                <w:bCs w:val="0"/>
                <w:sz w:val="20"/>
              </w:rPr>
            </w:pPr>
          </w:p>
          <w:p w:rsidR="00422514" w:rsidRDefault="00422514" w:rsidP="00E6023A">
            <w:pPr>
              <w:pStyle w:val="Heading1"/>
              <w:rPr>
                <w:bCs w:val="0"/>
                <w:sz w:val="20"/>
              </w:rPr>
            </w:pPr>
            <w:r>
              <w:rPr>
                <w:bCs w:val="0"/>
                <w:sz w:val="20"/>
              </w:rPr>
              <w:t>Insurances</w:t>
            </w:r>
          </w:p>
        </w:tc>
        <w:tc>
          <w:tcPr>
            <w:tcW w:w="3955" w:type="pct"/>
            <w:shd w:val="clear" w:color="auto" w:fill="FFFFFF"/>
          </w:tcPr>
          <w:p w:rsidR="00422514" w:rsidRDefault="00422514" w:rsidP="00E6023A"/>
          <w:p w:rsidR="00422514" w:rsidRDefault="00422514" w:rsidP="00E6023A">
            <w:pPr>
              <w:rPr>
                <w:b/>
                <w:bCs/>
              </w:rPr>
            </w:pPr>
            <w:r>
              <w:t xml:space="preserve">If you are eligible for coverage, you may elect to continue many of the insurance coverages you have in effect at the time you receive layoff notification.  Regarding medical insurances, you may choose Displaced Worker Medical Benefits, Consolidated Omnibus Budget Reconciliation Act (COBRA), or termination of medical coverage.  </w:t>
            </w:r>
            <w:r>
              <w:rPr>
                <w:b/>
                <w:bCs/>
              </w:rPr>
              <w:t>NOTE:  Extended medical/vision and dental cannot be continued under the Displaced Worker Medical Benefits provision when you are eligible for coverage under another plan.</w:t>
            </w:r>
          </w:p>
          <w:p w:rsidR="00422514" w:rsidRDefault="00422514" w:rsidP="00E6023A"/>
          <w:p w:rsidR="00422514" w:rsidRDefault="00422514" w:rsidP="00E6023A">
            <w:r>
              <w:t>You may not add or increase coverages at the time of your layoff; however, medical/vision and dental may be changed during subsequent annual open enrollment periods.  Each plan is described in more detail in your Benefits Summary Plan Descriptions.</w:t>
            </w:r>
          </w:p>
          <w:p w:rsidR="00422514" w:rsidRDefault="00422514" w:rsidP="00E6023A"/>
          <w:p w:rsidR="00422514" w:rsidRDefault="00422514" w:rsidP="00E6023A">
            <w:r>
              <w:t>At the time of exit, you will be asked to identify which eligible insurance coverages you wish to continue.  Should you choose to continue coverages, payment for at least three months premiums for all coverages will be expected at the time of exit.  Following the initial payment, you will be billed monthly.  Insurance coverages will be cancelled if payment is not received within 45 days of the due date.</w:t>
            </w:r>
          </w:p>
          <w:p w:rsidR="00422514" w:rsidRDefault="00422514" w:rsidP="00E6023A"/>
          <w:p w:rsidR="00422514" w:rsidRDefault="00422514" w:rsidP="00E6023A">
            <w:r w:rsidRPr="00C70B63">
              <w:rPr>
                <w:b/>
              </w:rPr>
              <w:t>All coverages and associated costs described herein are subject to change</w:t>
            </w:r>
            <w:r>
              <w:t>.</w:t>
            </w:r>
          </w:p>
          <w:p w:rsidR="00422514" w:rsidRDefault="00422514" w:rsidP="00E6023A"/>
        </w:tc>
      </w:tr>
      <w:tr w:rsidR="00422514" w:rsidTr="00422514">
        <w:tc>
          <w:tcPr>
            <w:tcW w:w="1045" w:type="pct"/>
            <w:shd w:val="clear" w:color="auto" w:fill="FFFFFF"/>
          </w:tcPr>
          <w:p w:rsidR="00422514" w:rsidRDefault="00422514" w:rsidP="00E6023A">
            <w:pPr>
              <w:pStyle w:val="Heading1"/>
              <w:rPr>
                <w:bCs w:val="0"/>
                <w:sz w:val="20"/>
              </w:rPr>
            </w:pPr>
            <w:r>
              <w:rPr>
                <w:bCs w:val="0"/>
                <w:sz w:val="20"/>
              </w:rPr>
              <w:t>HEWT</w:t>
            </w:r>
          </w:p>
          <w:p w:rsidR="00422514" w:rsidRDefault="00422514" w:rsidP="00E6023A">
            <w:pPr>
              <w:pStyle w:val="Heading1"/>
              <w:rPr>
                <w:bCs w:val="0"/>
                <w:sz w:val="20"/>
              </w:rPr>
            </w:pPr>
            <w:r>
              <w:rPr>
                <w:bCs w:val="0"/>
                <w:sz w:val="20"/>
              </w:rPr>
              <w:t>Medical/Vision</w:t>
            </w:r>
          </w:p>
          <w:p w:rsidR="00422514" w:rsidRPr="00422514" w:rsidRDefault="00422514" w:rsidP="00422514">
            <w:pPr>
              <w:pStyle w:val="Heading1"/>
              <w:rPr>
                <w:bCs w:val="0"/>
                <w:sz w:val="20"/>
              </w:rPr>
            </w:pPr>
            <w:r w:rsidRPr="00422514">
              <w:rPr>
                <w:bCs w:val="0"/>
                <w:sz w:val="20"/>
              </w:rPr>
              <w:t>Coverage</w:t>
            </w:r>
          </w:p>
        </w:tc>
        <w:tc>
          <w:tcPr>
            <w:tcW w:w="3955" w:type="pct"/>
            <w:shd w:val="clear" w:color="auto" w:fill="FFFFFF"/>
          </w:tcPr>
          <w:p w:rsidR="00422514" w:rsidRDefault="00422514" w:rsidP="00422514">
            <w:r>
              <w:t xml:space="preserve">If you are eligible for coverage under the Hanford Employee Welfare Trust’s (HEWT) Displaced Worker Medical Benefits Provision, medical/vision coverage for you and your eligible dependents can be continued for a maximum of one year at the contribution rate you would pay as an active employee.  </w:t>
            </w:r>
          </w:p>
          <w:p w:rsidR="00422514" w:rsidRDefault="00422514" w:rsidP="00E6023A"/>
          <w:p w:rsidR="00422514" w:rsidRDefault="00422514" w:rsidP="00E6023A">
            <w:r>
              <w:t xml:space="preserve">Rates as of </w:t>
            </w:r>
            <w:r w:rsidR="00B54469" w:rsidRPr="00513FE0">
              <w:rPr>
                <w:b/>
              </w:rPr>
              <w:t>March</w:t>
            </w:r>
            <w:r w:rsidRPr="00513FE0">
              <w:rPr>
                <w:b/>
              </w:rPr>
              <w:t xml:space="preserve"> 1, 201</w:t>
            </w:r>
            <w:r w:rsidR="00B54469" w:rsidRPr="00513FE0">
              <w:rPr>
                <w:b/>
              </w:rPr>
              <w:t>2</w:t>
            </w:r>
            <w:r w:rsidRPr="00422514">
              <w:t xml:space="preserve"> </w:t>
            </w:r>
            <w:r>
              <w:t>are:</w:t>
            </w:r>
          </w:p>
          <w:p w:rsidR="00422514" w:rsidRPr="00422514" w:rsidRDefault="00422514" w:rsidP="00E6023A"/>
          <w:p w:rsidR="00422514" w:rsidRPr="00422514" w:rsidRDefault="00422514" w:rsidP="00E6023A">
            <w:r w:rsidRPr="00422514">
              <w:t>Monthly Contribution Rates for Employees:</w:t>
            </w:r>
          </w:p>
          <w:p w:rsidR="00422514" w:rsidRDefault="00422514" w:rsidP="00E602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106"/>
              <w:gridCol w:w="2184"/>
            </w:tblGrid>
            <w:tr w:rsidR="00422514" w:rsidRPr="00C3213B" w:rsidTr="00E6023A">
              <w:tc>
                <w:tcPr>
                  <w:tcW w:w="1741" w:type="dxa"/>
                  <w:shd w:val="clear" w:color="auto" w:fill="B3B3B3"/>
                </w:tcPr>
                <w:p w:rsidR="00422514" w:rsidRPr="00C3213B" w:rsidRDefault="00422514" w:rsidP="00E6023A">
                  <w:pPr>
                    <w:jc w:val="center"/>
                    <w:rPr>
                      <w:b/>
                    </w:rPr>
                  </w:pPr>
                  <w:r w:rsidRPr="00C3213B">
                    <w:rPr>
                      <w:b/>
                    </w:rPr>
                    <w:t>Level of Coverage</w:t>
                  </w:r>
                </w:p>
              </w:tc>
              <w:tc>
                <w:tcPr>
                  <w:tcW w:w="2106" w:type="dxa"/>
                  <w:shd w:val="clear" w:color="auto" w:fill="B3B3B3"/>
                </w:tcPr>
                <w:p w:rsidR="00422514" w:rsidRPr="00C3213B" w:rsidRDefault="00422514" w:rsidP="00E6023A">
                  <w:pPr>
                    <w:jc w:val="center"/>
                    <w:rPr>
                      <w:b/>
                    </w:rPr>
                  </w:pPr>
                  <w:r>
                    <w:rPr>
                      <w:b/>
                    </w:rPr>
                    <w:t>UnitedHealthcare PPO</w:t>
                  </w:r>
                </w:p>
              </w:tc>
              <w:tc>
                <w:tcPr>
                  <w:tcW w:w="2184" w:type="dxa"/>
                  <w:shd w:val="clear" w:color="auto" w:fill="B3B3B3"/>
                </w:tcPr>
                <w:p w:rsidR="00422514" w:rsidRPr="00C3213B" w:rsidRDefault="00422514" w:rsidP="00E6023A">
                  <w:pPr>
                    <w:jc w:val="center"/>
                    <w:rPr>
                      <w:b/>
                    </w:rPr>
                  </w:pPr>
                  <w:r>
                    <w:rPr>
                      <w:b/>
                    </w:rPr>
                    <w:t>Group Health OPTIONS</w:t>
                  </w:r>
                </w:p>
              </w:tc>
            </w:tr>
            <w:tr w:rsidR="00422514" w:rsidTr="00E6023A">
              <w:tc>
                <w:tcPr>
                  <w:tcW w:w="1741" w:type="dxa"/>
                </w:tcPr>
                <w:p w:rsidR="00422514" w:rsidRDefault="00422514" w:rsidP="00E6023A">
                  <w:r>
                    <w:t>Individual Only</w:t>
                  </w:r>
                </w:p>
              </w:tc>
              <w:tc>
                <w:tcPr>
                  <w:tcW w:w="2106" w:type="dxa"/>
                </w:tcPr>
                <w:p w:rsidR="00422514" w:rsidRDefault="00422514" w:rsidP="00B54469">
                  <w:pPr>
                    <w:jc w:val="center"/>
                  </w:pPr>
                  <w:r>
                    <w:t>$</w:t>
                  </w:r>
                  <w:r w:rsidR="00B54469">
                    <w:t>198.39</w:t>
                  </w:r>
                </w:p>
              </w:tc>
              <w:tc>
                <w:tcPr>
                  <w:tcW w:w="2184" w:type="dxa"/>
                </w:tcPr>
                <w:p w:rsidR="00422514" w:rsidRDefault="00422514" w:rsidP="00B54469">
                  <w:pPr>
                    <w:jc w:val="center"/>
                  </w:pPr>
                  <w:r>
                    <w:t>$</w:t>
                  </w:r>
                  <w:r w:rsidR="00B54469">
                    <w:t>100.71</w:t>
                  </w:r>
                </w:p>
              </w:tc>
            </w:tr>
            <w:tr w:rsidR="00422514" w:rsidTr="00E6023A">
              <w:tc>
                <w:tcPr>
                  <w:tcW w:w="1741" w:type="dxa"/>
                </w:tcPr>
                <w:p w:rsidR="00422514" w:rsidRDefault="00422514" w:rsidP="00E6023A">
                  <w:r>
                    <w:t>Individual + 1</w:t>
                  </w:r>
                </w:p>
              </w:tc>
              <w:tc>
                <w:tcPr>
                  <w:tcW w:w="2106" w:type="dxa"/>
                </w:tcPr>
                <w:p w:rsidR="00422514" w:rsidRDefault="00422514" w:rsidP="00B54469">
                  <w:pPr>
                    <w:jc w:val="center"/>
                  </w:pPr>
                  <w:r>
                    <w:t>$</w:t>
                  </w:r>
                  <w:r w:rsidR="00B54469">
                    <w:t>387.46</w:t>
                  </w:r>
                </w:p>
              </w:tc>
              <w:tc>
                <w:tcPr>
                  <w:tcW w:w="2184" w:type="dxa"/>
                </w:tcPr>
                <w:p w:rsidR="00422514" w:rsidRDefault="00422514" w:rsidP="00B54469">
                  <w:pPr>
                    <w:jc w:val="center"/>
                  </w:pPr>
                  <w:r>
                    <w:t>$</w:t>
                  </w:r>
                  <w:r w:rsidR="00B54469">
                    <w:t>184.30</w:t>
                  </w:r>
                </w:p>
              </w:tc>
            </w:tr>
            <w:tr w:rsidR="00422514" w:rsidTr="00E6023A">
              <w:tc>
                <w:tcPr>
                  <w:tcW w:w="1741" w:type="dxa"/>
                </w:tcPr>
                <w:p w:rsidR="00422514" w:rsidRDefault="00422514" w:rsidP="00E6023A">
                  <w:r>
                    <w:t>Individual + &gt; 1</w:t>
                  </w:r>
                </w:p>
              </w:tc>
              <w:tc>
                <w:tcPr>
                  <w:tcW w:w="2106" w:type="dxa"/>
                </w:tcPr>
                <w:p w:rsidR="00422514" w:rsidRDefault="00422514" w:rsidP="00B54469">
                  <w:pPr>
                    <w:jc w:val="center"/>
                  </w:pPr>
                  <w:r>
                    <w:t>$</w:t>
                  </w:r>
                  <w:r w:rsidR="00B54469">
                    <w:t>556.29</w:t>
                  </w:r>
                </w:p>
              </w:tc>
              <w:tc>
                <w:tcPr>
                  <w:tcW w:w="2184" w:type="dxa"/>
                </w:tcPr>
                <w:p w:rsidR="00422514" w:rsidRDefault="00422514" w:rsidP="00B54469">
                  <w:pPr>
                    <w:jc w:val="center"/>
                  </w:pPr>
                  <w:r>
                    <w:t>$</w:t>
                  </w:r>
                  <w:r w:rsidR="00B54469">
                    <w:t>309.19</w:t>
                  </w:r>
                </w:p>
              </w:tc>
            </w:tr>
          </w:tbl>
          <w:p w:rsidR="00422514" w:rsidRDefault="00422514" w:rsidP="00E6023A"/>
        </w:tc>
      </w:tr>
    </w:tbl>
    <w:p w:rsidR="00422514" w:rsidRDefault="00422514" w:rsidP="00422514"/>
    <w:p w:rsidR="00422514" w:rsidRDefault="00422514" w:rsidP="00422514"/>
    <w:p w:rsidR="00422514" w:rsidRDefault="00422514" w:rsidP="00422514"/>
    <w:p w:rsidR="00422514" w:rsidRDefault="00422514" w:rsidP="00422514"/>
    <w:tbl>
      <w:tblPr>
        <w:tblW w:w="5016" w:type="pct"/>
        <w:shd w:val="clear" w:color="auto" w:fill="FFFFFF"/>
        <w:tblLook w:val="003F" w:firstRow="1" w:lastRow="0" w:firstColumn="0" w:lastColumn="0" w:noHBand="0" w:noVBand="0"/>
      </w:tblPr>
      <w:tblGrid>
        <w:gridCol w:w="2008"/>
        <w:gridCol w:w="7599"/>
      </w:tblGrid>
      <w:tr w:rsidR="00422514" w:rsidRPr="00AA5C50" w:rsidTr="00E6023A">
        <w:tc>
          <w:tcPr>
            <w:tcW w:w="1045" w:type="pct"/>
            <w:shd w:val="clear" w:color="auto" w:fill="FFFFFF"/>
          </w:tcPr>
          <w:p w:rsidR="00422514" w:rsidRDefault="00422514" w:rsidP="00E6023A">
            <w:pPr>
              <w:rPr>
                <w:b/>
              </w:rPr>
            </w:pPr>
          </w:p>
          <w:p w:rsidR="00422514" w:rsidRDefault="00422514" w:rsidP="00E6023A">
            <w:pPr>
              <w:rPr>
                <w:b/>
              </w:rPr>
            </w:pPr>
            <w:r>
              <w:rPr>
                <w:b/>
              </w:rPr>
              <w:t>HEWT</w:t>
            </w:r>
          </w:p>
          <w:p w:rsidR="00422514" w:rsidRDefault="00422514" w:rsidP="00E6023A">
            <w:pPr>
              <w:rPr>
                <w:b/>
              </w:rPr>
            </w:pPr>
            <w:r>
              <w:rPr>
                <w:b/>
              </w:rPr>
              <w:t>Dental</w:t>
            </w:r>
          </w:p>
          <w:p w:rsidR="00422514" w:rsidRDefault="00422514" w:rsidP="00E6023A">
            <w:pPr>
              <w:rPr>
                <w:b/>
              </w:rPr>
            </w:pPr>
            <w:r>
              <w:rPr>
                <w:b/>
              </w:rPr>
              <w:t>Coverage</w:t>
            </w:r>
          </w:p>
        </w:tc>
        <w:tc>
          <w:tcPr>
            <w:tcW w:w="3955" w:type="pct"/>
            <w:shd w:val="clear" w:color="auto" w:fill="FFFFFF"/>
          </w:tcPr>
          <w:p w:rsidR="00422514" w:rsidRDefault="00422514" w:rsidP="00E6023A"/>
          <w:p w:rsidR="00422514" w:rsidRDefault="00422514" w:rsidP="00E6023A">
            <w:r>
              <w:t xml:space="preserve">You may elect to continue dental coverage for yourself and your eligible dependents.  The monthly COBRA rates, effective </w:t>
            </w:r>
            <w:r w:rsidR="006677C9">
              <w:rPr>
                <w:b/>
              </w:rPr>
              <w:t>January 1</w:t>
            </w:r>
            <w:r>
              <w:rPr>
                <w:b/>
              </w:rPr>
              <w:t>, 201</w:t>
            </w:r>
            <w:r w:rsidR="00B54469">
              <w:rPr>
                <w:b/>
              </w:rPr>
              <w:t>2</w:t>
            </w:r>
            <w:r>
              <w:t xml:space="preserve"> are as follows</w:t>
            </w:r>
            <w:r w:rsidR="00EC0AA3">
              <w:t>:</w:t>
            </w:r>
          </w:p>
          <w:p w:rsidR="00422514" w:rsidRDefault="00422514" w:rsidP="00E6023A"/>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482"/>
              <w:gridCol w:w="1560"/>
            </w:tblGrid>
            <w:tr w:rsidR="00422514" w:rsidRPr="00C3213B" w:rsidTr="008113C8">
              <w:tc>
                <w:tcPr>
                  <w:tcW w:w="1741" w:type="dxa"/>
                  <w:shd w:val="clear" w:color="auto" w:fill="B3B3B3"/>
                </w:tcPr>
                <w:p w:rsidR="00422514" w:rsidRPr="00C3213B" w:rsidRDefault="00422514" w:rsidP="00E6023A">
                  <w:pPr>
                    <w:jc w:val="center"/>
                    <w:rPr>
                      <w:b/>
                    </w:rPr>
                  </w:pPr>
                  <w:r w:rsidRPr="00C3213B">
                    <w:rPr>
                      <w:b/>
                    </w:rPr>
                    <w:t>Level of Coverage</w:t>
                  </w:r>
                </w:p>
              </w:tc>
              <w:tc>
                <w:tcPr>
                  <w:tcW w:w="1482" w:type="dxa"/>
                  <w:shd w:val="clear" w:color="auto" w:fill="B3B3B3"/>
                </w:tcPr>
                <w:p w:rsidR="00422514" w:rsidRPr="00C3213B" w:rsidRDefault="00422514" w:rsidP="00E6023A">
                  <w:pPr>
                    <w:jc w:val="center"/>
                    <w:rPr>
                      <w:b/>
                    </w:rPr>
                  </w:pPr>
                  <w:r>
                    <w:rPr>
                      <w:b/>
                    </w:rPr>
                    <w:t>Delta</w:t>
                  </w:r>
                  <w:r w:rsidRPr="00C3213B">
                    <w:rPr>
                      <w:b/>
                    </w:rPr>
                    <w:t xml:space="preserve"> Dental</w:t>
                  </w:r>
                </w:p>
                <w:p w:rsidR="00422514" w:rsidRPr="00C3213B" w:rsidRDefault="00422514" w:rsidP="00E6023A">
                  <w:pPr>
                    <w:jc w:val="center"/>
                    <w:rPr>
                      <w:b/>
                    </w:rPr>
                  </w:pPr>
                  <w:r w:rsidRPr="00C3213B">
                    <w:rPr>
                      <w:b/>
                    </w:rPr>
                    <w:t>(Buy-up)</w:t>
                  </w:r>
                </w:p>
              </w:tc>
              <w:tc>
                <w:tcPr>
                  <w:tcW w:w="1560" w:type="dxa"/>
                  <w:shd w:val="clear" w:color="auto" w:fill="B3B3B3"/>
                </w:tcPr>
                <w:p w:rsidR="00422514" w:rsidRPr="00C3213B" w:rsidRDefault="00422514" w:rsidP="00E6023A">
                  <w:pPr>
                    <w:jc w:val="center"/>
                    <w:rPr>
                      <w:b/>
                    </w:rPr>
                  </w:pPr>
                  <w:smartTag w:uri="urn:schemas-microsoft-com:office:smarttags" w:element="place">
                    <w:r w:rsidRPr="00C3213B">
                      <w:rPr>
                        <w:b/>
                      </w:rPr>
                      <w:t>Willamette</w:t>
                    </w:r>
                  </w:smartTag>
                  <w:r w:rsidRPr="00C3213B">
                    <w:rPr>
                      <w:b/>
                    </w:rPr>
                    <w:t xml:space="preserve"> Dental</w:t>
                  </w:r>
                </w:p>
              </w:tc>
            </w:tr>
            <w:tr w:rsidR="00422514" w:rsidTr="008113C8">
              <w:tc>
                <w:tcPr>
                  <w:tcW w:w="1741" w:type="dxa"/>
                </w:tcPr>
                <w:p w:rsidR="00422514" w:rsidRDefault="00422514" w:rsidP="00E6023A">
                  <w:r>
                    <w:t>Individual Only</w:t>
                  </w:r>
                </w:p>
              </w:tc>
              <w:tc>
                <w:tcPr>
                  <w:tcW w:w="1482" w:type="dxa"/>
                </w:tcPr>
                <w:p w:rsidR="00422514" w:rsidRDefault="00422514" w:rsidP="00E6023A">
                  <w:pPr>
                    <w:jc w:val="center"/>
                  </w:pPr>
                  <w:r>
                    <w:t>$ 42.97</w:t>
                  </w:r>
                </w:p>
              </w:tc>
              <w:tc>
                <w:tcPr>
                  <w:tcW w:w="1560" w:type="dxa"/>
                </w:tcPr>
                <w:p w:rsidR="00422514" w:rsidRDefault="00422514" w:rsidP="006677C9">
                  <w:pPr>
                    <w:jc w:val="center"/>
                  </w:pPr>
                  <w:r>
                    <w:t>$ 3</w:t>
                  </w:r>
                  <w:r w:rsidR="006677C9">
                    <w:t>7.92</w:t>
                  </w:r>
                </w:p>
              </w:tc>
            </w:tr>
            <w:tr w:rsidR="00422514" w:rsidTr="008113C8">
              <w:tc>
                <w:tcPr>
                  <w:tcW w:w="1741" w:type="dxa"/>
                </w:tcPr>
                <w:p w:rsidR="00422514" w:rsidRDefault="00422514" w:rsidP="00E6023A">
                  <w:r>
                    <w:t>Individual + 1</w:t>
                  </w:r>
                </w:p>
              </w:tc>
              <w:tc>
                <w:tcPr>
                  <w:tcW w:w="1482" w:type="dxa"/>
                </w:tcPr>
                <w:p w:rsidR="00422514" w:rsidRDefault="00422514" w:rsidP="00E6023A">
                  <w:pPr>
                    <w:jc w:val="center"/>
                  </w:pPr>
                  <w:r>
                    <w:t>$ 77.67</w:t>
                  </w:r>
                </w:p>
              </w:tc>
              <w:tc>
                <w:tcPr>
                  <w:tcW w:w="1560" w:type="dxa"/>
                </w:tcPr>
                <w:p w:rsidR="00422514" w:rsidRDefault="00422514" w:rsidP="006677C9">
                  <w:pPr>
                    <w:jc w:val="center"/>
                  </w:pPr>
                  <w:r>
                    <w:t xml:space="preserve">$ </w:t>
                  </w:r>
                  <w:r w:rsidR="006677C9">
                    <w:t>75.99</w:t>
                  </w:r>
                </w:p>
              </w:tc>
            </w:tr>
            <w:tr w:rsidR="00422514" w:rsidTr="008113C8">
              <w:tc>
                <w:tcPr>
                  <w:tcW w:w="1741" w:type="dxa"/>
                </w:tcPr>
                <w:p w:rsidR="00422514" w:rsidRDefault="00422514" w:rsidP="00E6023A">
                  <w:r>
                    <w:t>Individual + &gt; 1</w:t>
                  </w:r>
                </w:p>
              </w:tc>
              <w:tc>
                <w:tcPr>
                  <w:tcW w:w="1482" w:type="dxa"/>
                </w:tcPr>
                <w:p w:rsidR="00422514" w:rsidRDefault="00422514" w:rsidP="00E6023A">
                  <w:pPr>
                    <w:jc w:val="center"/>
                  </w:pPr>
                  <w:r>
                    <w:t>$114.94</w:t>
                  </w:r>
                </w:p>
              </w:tc>
              <w:tc>
                <w:tcPr>
                  <w:tcW w:w="1560" w:type="dxa"/>
                </w:tcPr>
                <w:p w:rsidR="00422514" w:rsidRDefault="00422514" w:rsidP="006677C9">
                  <w:pPr>
                    <w:jc w:val="center"/>
                  </w:pPr>
                  <w:r>
                    <w:t>$</w:t>
                  </w:r>
                  <w:r w:rsidR="006677C9">
                    <w:t>142.36</w:t>
                  </w:r>
                </w:p>
              </w:tc>
            </w:tr>
          </w:tbl>
          <w:p w:rsidR="00422514" w:rsidRDefault="00422514" w:rsidP="00E6023A"/>
          <w:p w:rsidR="00422514" w:rsidRPr="00AA5C50" w:rsidRDefault="00422514" w:rsidP="00E6023A"/>
        </w:tc>
      </w:tr>
      <w:tr w:rsidR="00422514" w:rsidTr="00422514">
        <w:tc>
          <w:tcPr>
            <w:tcW w:w="1045" w:type="pct"/>
            <w:shd w:val="clear" w:color="auto" w:fill="FFFFFF"/>
          </w:tcPr>
          <w:p w:rsidR="00422514" w:rsidRDefault="00422514" w:rsidP="00E6023A">
            <w:pPr>
              <w:rPr>
                <w:b/>
              </w:rPr>
            </w:pPr>
            <w:r>
              <w:rPr>
                <w:b/>
              </w:rPr>
              <w:t>Medical/Vision,</w:t>
            </w:r>
          </w:p>
          <w:p w:rsidR="00422514" w:rsidRDefault="00422514" w:rsidP="00E6023A">
            <w:pPr>
              <w:rPr>
                <w:b/>
              </w:rPr>
            </w:pPr>
            <w:r>
              <w:rPr>
                <w:b/>
              </w:rPr>
              <w:t xml:space="preserve">Dental Coverage Beyond the </w:t>
            </w:r>
          </w:p>
          <w:p w:rsidR="00422514" w:rsidRDefault="00422514" w:rsidP="00E6023A">
            <w:pPr>
              <w:rPr>
                <w:b/>
              </w:rPr>
            </w:pPr>
            <w:r>
              <w:rPr>
                <w:b/>
              </w:rPr>
              <w:t>First Year</w:t>
            </w:r>
          </w:p>
        </w:tc>
        <w:tc>
          <w:tcPr>
            <w:tcW w:w="3955" w:type="pct"/>
            <w:shd w:val="clear" w:color="auto" w:fill="FFFFFF"/>
          </w:tcPr>
          <w:p w:rsidR="00422514" w:rsidRDefault="00422514" w:rsidP="00E6023A">
            <w:r>
              <w:t xml:space="preserve">The extended coverage described below exceeds the requirements under the </w:t>
            </w:r>
            <w:r w:rsidRPr="00422514">
              <w:t>Consolidated Omnibus Budget Reconciliation Act (COBRA).</w:t>
            </w:r>
          </w:p>
          <w:p w:rsidR="00422514" w:rsidRDefault="00422514" w:rsidP="00E6023A"/>
          <w:p w:rsidR="00422514" w:rsidRPr="00422514" w:rsidRDefault="00422514" w:rsidP="00422514">
            <w:r w:rsidRPr="00422514">
              <w:t>Second Year</w:t>
            </w:r>
          </w:p>
          <w:p w:rsidR="00422514" w:rsidRDefault="00422514" w:rsidP="00E6023A">
            <w:r>
              <w:t>Medical/Vision:</w:t>
            </w:r>
            <w:r>
              <w:tab/>
            </w:r>
            <w:r>
              <w:tab/>
            </w:r>
            <w:r>
              <w:tab/>
              <w:t xml:space="preserve"> 50 percent of COBRA rate.</w:t>
            </w:r>
          </w:p>
          <w:p w:rsidR="00422514" w:rsidRDefault="00422514" w:rsidP="00E6023A">
            <w:r>
              <w:t>Dental:</w:t>
            </w:r>
            <w:r>
              <w:tab/>
            </w:r>
            <w:r>
              <w:tab/>
              <w:t xml:space="preserve">                             100 percent of COBRA rate.</w:t>
            </w:r>
          </w:p>
          <w:p w:rsidR="00422514" w:rsidRDefault="00422514" w:rsidP="00E6023A"/>
          <w:p w:rsidR="00422514" w:rsidRPr="00422514" w:rsidRDefault="00422514" w:rsidP="00422514">
            <w:r w:rsidRPr="00422514">
              <w:t>Third and Subsequent Years</w:t>
            </w:r>
          </w:p>
          <w:p w:rsidR="00422514" w:rsidRDefault="00422514" w:rsidP="00E6023A">
            <w:r>
              <w:t>Medical/Vision:</w:t>
            </w:r>
            <w:r>
              <w:tab/>
            </w:r>
            <w:r>
              <w:tab/>
            </w:r>
            <w:r>
              <w:tab/>
              <w:t>100 percent of COBRA rate</w:t>
            </w:r>
          </w:p>
          <w:p w:rsidR="00422514" w:rsidRDefault="00422514" w:rsidP="00E6023A">
            <w:r>
              <w:t>Dental:</w:t>
            </w:r>
            <w:r>
              <w:tab/>
            </w:r>
            <w:r>
              <w:tab/>
              <w:t xml:space="preserve">                             100 percent of COBRA rate</w:t>
            </w:r>
          </w:p>
          <w:p w:rsidR="00422514" w:rsidRDefault="00422514" w:rsidP="00E6023A"/>
          <w:p w:rsidR="00422514" w:rsidRDefault="00422514" w:rsidP="00E6023A">
            <w:r>
              <w:t>COBRA rates are adjusted annually, based on the cost for the coverage, plus a two percent administrative fee.  Current COBRA rates are included on the last two pages of this summary.</w:t>
            </w:r>
          </w:p>
          <w:p w:rsidR="00422514" w:rsidRDefault="00422514" w:rsidP="00E6023A"/>
          <w:p w:rsidR="00422514" w:rsidRDefault="00422514" w:rsidP="00E6023A">
            <w:r w:rsidRPr="00422514">
              <w:t xml:space="preserve">HEWT:  </w:t>
            </w:r>
            <w:r>
              <w:t xml:space="preserve">If Group Health Options provides your medical/vision coverage and you leave the Group Health Service Area, contact Benefits Administration, PO Box 650, H2-23, Richland, WA  99352, or email: </w:t>
            </w:r>
            <w:hyperlink r:id="rId9" w:history="1">
              <w:r w:rsidRPr="00422514">
                <w:rPr>
                  <w:rStyle w:val="Hyperlink"/>
                </w:rPr>
                <w:t>Benefits-HEWT@rl.gov</w:t>
              </w:r>
            </w:hyperlink>
            <w:r>
              <w:t>.</w:t>
            </w:r>
          </w:p>
          <w:p w:rsidR="00422514" w:rsidRDefault="00422514" w:rsidP="00E6023A"/>
          <w:p w:rsidR="00422514" w:rsidRDefault="00422514" w:rsidP="00E6023A"/>
          <w:p w:rsidR="00422514" w:rsidRDefault="00422514" w:rsidP="00E6023A"/>
        </w:tc>
      </w:tr>
      <w:tr w:rsidR="00422514" w:rsidTr="00422514">
        <w:tc>
          <w:tcPr>
            <w:tcW w:w="1045" w:type="pct"/>
            <w:shd w:val="clear" w:color="auto" w:fill="FFFFFF"/>
          </w:tcPr>
          <w:p w:rsidR="00422514" w:rsidRPr="00422514" w:rsidRDefault="00422514" w:rsidP="00422514">
            <w:pPr>
              <w:rPr>
                <w:b/>
              </w:rPr>
            </w:pPr>
            <w:r w:rsidRPr="00422514">
              <w:rPr>
                <w:b/>
              </w:rPr>
              <w:t>HEWT</w:t>
            </w:r>
          </w:p>
          <w:p w:rsidR="00422514" w:rsidRPr="00422514" w:rsidRDefault="00422514" w:rsidP="00422514">
            <w:pPr>
              <w:rPr>
                <w:b/>
              </w:rPr>
            </w:pPr>
            <w:r w:rsidRPr="00422514">
              <w:rPr>
                <w:b/>
              </w:rPr>
              <w:t>Post-Retirement</w:t>
            </w:r>
          </w:p>
          <w:p w:rsidR="00422514" w:rsidRPr="005E4778" w:rsidRDefault="00422514" w:rsidP="00E6023A">
            <w:pPr>
              <w:rPr>
                <w:b/>
              </w:rPr>
            </w:pPr>
            <w:r>
              <w:rPr>
                <w:b/>
              </w:rPr>
              <w:t>Insurance</w:t>
            </w:r>
          </w:p>
        </w:tc>
        <w:tc>
          <w:tcPr>
            <w:tcW w:w="3955" w:type="pct"/>
            <w:shd w:val="clear" w:color="auto" w:fill="FFFFFF"/>
          </w:tcPr>
          <w:p w:rsidR="00422514" w:rsidRDefault="00422514" w:rsidP="00422514">
            <w:r>
              <w:t>If you were hired before January 1, 2004, and you are at least 55 with a minimum of 10 vesting years on your last day of work, and you are enrolled in HEWT-sponsored medical and life insurance plans, you are eligible for the following:</w:t>
            </w:r>
          </w:p>
          <w:p w:rsidR="00760F77" w:rsidRDefault="00760F77" w:rsidP="00760F77">
            <w:pPr>
              <w:pStyle w:val="Header"/>
              <w:tabs>
                <w:tab w:val="clear" w:pos="4680"/>
                <w:tab w:val="clear" w:pos="9360"/>
              </w:tabs>
              <w:ind w:left="720"/>
            </w:pPr>
          </w:p>
          <w:p w:rsidR="00422514" w:rsidRDefault="00422514" w:rsidP="00422514">
            <w:pPr>
              <w:pStyle w:val="Header"/>
              <w:numPr>
                <w:ilvl w:val="0"/>
                <w:numId w:val="1"/>
              </w:numPr>
              <w:tabs>
                <w:tab w:val="clear" w:pos="4680"/>
                <w:tab w:val="clear" w:pos="9360"/>
              </w:tabs>
            </w:pPr>
            <w:r>
              <w:t>Post-Retirement medical and applicable life insurance coverage.  However, elections must be made immediately, at the time of your layoff, if alternate coverage is available, and you are not eligible for ROF insurance coverage.</w:t>
            </w:r>
          </w:p>
          <w:p w:rsidR="00422514" w:rsidRDefault="00422514" w:rsidP="00422514">
            <w:pPr>
              <w:pStyle w:val="Header"/>
              <w:tabs>
                <w:tab w:val="clear" w:pos="4680"/>
                <w:tab w:val="clear" w:pos="9360"/>
              </w:tabs>
              <w:spacing w:before="120"/>
              <w:ind w:left="360"/>
            </w:pPr>
          </w:p>
          <w:p w:rsidR="00422514" w:rsidRDefault="00422514" w:rsidP="00422514">
            <w:pPr>
              <w:pStyle w:val="Header"/>
              <w:numPr>
                <w:ilvl w:val="0"/>
                <w:numId w:val="1"/>
              </w:numPr>
              <w:tabs>
                <w:tab w:val="clear" w:pos="4680"/>
                <w:tab w:val="clear" w:pos="9360"/>
              </w:tabs>
              <w:spacing w:before="120"/>
            </w:pPr>
            <w:r>
              <w:t xml:space="preserve">If you are eligible for continuing ROF insurance coverage, medical and life insurance benefits under post-retirement insurance plans must be elected within 12 months from the date of your layoff.  </w:t>
            </w:r>
            <w:r w:rsidRPr="00422514">
              <w:t>You must have maintained continuous ROF insurance coverage to be eligible for post-retirement insurance.</w:t>
            </w:r>
          </w:p>
          <w:p w:rsidR="00422514" w:rsidRDefault="00422514" w:rsidP="00422514"/>
        </w:tc>
      </w:tr>
      <w:tr w:rsidR="00422514" w:rsidTr="00422514">
        <w:tc>
          <w:tcPr>
            <w:tcW w:w="1045" w:type="pct"/>
            <w:shd w:val="clear" w:color="auto" w:fill="FFFFFF"/>
          </w:tcPr>
          <w:p w:rsidR="00422514" w:rsidRDefault="00422514" w:rsidP="00E6023A">
            <w:pPr>
              <w:rPr>
                <w:b/>
              </w:rPr>
            </w:pPr>
            <w:r>
              <w:rPr>
                <w:b/>
              </w:rPr>
              <w:t>HEWT</w:t>
            </w:r>
          </w:p>
          <w:p w:rsidR="00422514" w:rsidRDefault="00422514" w:rsidP="00E6023A">
            <w:pPr>
              <w:rPr>
                <w:b/>
              </w:rPr>
            </w:pPr>
            <w:r>
              <w:rPr>
                <w:b/>
              </w:rPr>
              <w:t>Group Universal</w:t>
            </w:r>
          </w:p>
          <w:p w:rsidR="00422514" w:rsidRDefault="00422514" w:rsidP="00E6023A">
            <w:pPr>
              <w:rPr>
                <w:b/>
              </w:rPr>
            </w:pPr>
            <w:r>
              <w:rPr>
                <w:b/>
              </w:rPr>
              <w:t>Life Insurance</w:t>
            </w:r>
          </w:p>
        </w:tc>
        <w:tc>
          <w:tcPr>
            <w:tcW w:w="3955" w:type="pct"/>
            <w:shd w:val="clear" w:color="auto" w:fill="FFFFFF"/>
          </w:tcPr>
          <w:p w:rsidR="00422514" w:rsidRDefault="00422514" w:rsidP="00E6023A">
            <w:r>
              <w:t>To continue your Group Universal Life (GUL) Personal Plans® Insurance coverage and the cash accumulation account, contact GUL at 1-800-642-5726.</w:t>
            </w:r>
          </w:p>
          <w:p w:rsidR="00422514" w:rsidRDefault="00422514" w:rsidP="00E6023A"/>
        </w:tc>
      </w:tr>
      <w:tr w:rsidR="00422514" w:rsidTr="00422514">
        <w:tc>
          <w:tcPr>
            <w:tcW w:w="1045" w:type="pct"/>
            <w:shd w:val="clear" w:color="auto" w:fill="FFFFFF"/>
          </w:tcPr>
          <w:p w:rsidR="00422514" w:rsidRDefault="00422514" w:rsidP="00E6023A">
            <w:pPr>
              <w:rPr>
                <w:b/>
              </w:rPr>
            </w:pPr>
          </w:p>
          <w:p w:rsidR="00422514" w:rsidRDefault="00422514" w:rsidP="00E6023A">
            <w:pPr>
              <w:rPr>
                <w:b/>
              </w:rPr>
            </w:pPr>
            <w:r>
              <w:rPr>
                <w:b/>
              </w:rPr>
              <w:t>HEWT</w:t>
            </w:r>
          </w:p>
          <w:p w:rsidR="00422514" w:rsidRDefault="00422514" w:rsidP="00E6023A">
            <w:pPr>
              <w:rPr>
                <w:b/>
              </w:rPr>
            </w:pPr>
            <w:r>
              <w:rPr>
                <w:b/>
              </w:rPr>
              <w:t>Long Term Care</w:t>
            </w:r>
          </w:p>
        </w:tc>
        <w:tc>
          <w:tcPr>
            <w:tcW w:w="3955" w:type="pct"/>
            <w:shd w:val="clear" w:color="auto" w:fill="FFFFFF"/>
          </w:tcPr>
          <w:p w:rsidR="00422514" w:rsidRDefault="00422514" w:rsidP="00E6023A"/>
          <w:p w:rsidR="00422514" w:rsidRDefault="00422514" w:rsidP="00E6023A">
            <w:r>
              <w:t>To continue your Long Term Care insurance coverage, contact CNA at 1-800-932-1132.</w:t>
            </w:r>
          </w:p>
          <w:p w:rsidR="00513FE0" w:rsidRDefault="00513FE0" w:rsidP="00E6023A"/>
          <w:p w:rsidR="00422514" w:rsidRDefault="00422514" w:rsidP="00E6023A"/>
        </w:tc>
      </w:tr>
      <w:tr w:rsidR="00422514" w:rsidTr="00422514">
        <w:tc>
          <w:tcPr>
            <w:tcW w:w="1045" w:type="pct"/>
            <w:shd w:val="clear" w:color="auto" w:fill="FFFFFF"/>
          </w:tcPr>
          <w:p w:rsidR="00422514" w:rsidRDefault="00422514" w:rsidP="00E6023A">
            <w:pPr>
              <w:rPr>
                <w:b/>
              </w:rPr>
            </w:pPr>
          </w:p>
          <w:p w:rsidR="00F77437" w:rsidRDefault="00F77437" w:rsidP="00E6023A">
            <w:pPr>
              <w:rPr>
                <w:b/>
              </w:rPr>
            </w:pPr>
          </w:p>
          <w:p w:rsidR="00422514" w:rsidRDefault="00422514" w:rsidP="00E6023A">
            <w:pPr>
              <w:rPr>
                <w:b/>
              </w:rPr>
            </w:pPr>
            <w:r>
              <w:rPr>
                <w:b/>
              </w:rPr>
              <w:t>Basic Life Insurance/</w:t>
            </w:r>
          </w:p>
          <w:p w:rsidR="00422514" w:rsidRDefault="00422514" w:rsidP="00E6023A">
            <w:pPr>
              <w:rPr>
                <w:b/>
              </w:rPr>
            </w:pPr>
            <w:r>
              <w:rPr>
                <w:b/>
              </w:rPr>
              <w:t>Accidental Death</w:t>
            </w:r>
          </w:p>
          <w:p w:rsidR="00422514" w:rsidRDefault="00422514" w:rsidP="00E6023A">
            <w:pPr>
              <w:rPr>
                <w:b/>
              </w:rPr>
            </w:pPr>
            <w:r>
              <w:rPr>
                <w:b/>
              </w:rPr>
              <w:t>Dismemberment</w:t>
            </w:r>
          </w:p>
        </w:tc>
        <w:tc>
          <w:tcPr>
            <w:tcW w:w="3955" w:type="pct"/>
            <w:shd w:val="clear" w:color="auto" w:fill="FFFFFF"/>
          </w:tcPr>
          <w:p w:rsidR="00422514" w:rsidRDefault="00422514" w:rsidP="00E6023A"/>
          <w:p w:rsidR="00F77437" w:rsidRDefault="00F77437" w:rsidP="00E6023A"/>
          <w:p w:rsidR="00422514" w:rsidRDefault="00422514" w:rsidP="00E6023A">
            <w:r>
              <w:t>Basic Life Insurance coverage and Accidental Death &amp; Dismemberment (AD&amp;D) coverage automatically continues for 31 days.  This coverage can be continued for up to one year if you pay the required contribution.</w:t>
            </w:r>
          </w:p>
        </w:tc>
      </w:tr>
      <w:tr w:rsidR="00422514" w:rsidTr="00422514">
        <w:tc>
          <w:tcPr>
            <w:tcW w:w="1045" w:type="pct"/>
            <w:shd w:val="clear" w:color="auto" w:fill="FFFFFF"/>
          </w:tcPr>
          <w:p w:rsidR="00422514" w:rsidRDefault="00422514" w:rsidP="00E6023A">
            <w:pPr>
              <w:rPr>
                <w:b/>
              </w:rPr>
            </w:pPr>
          </w:p>
          <w:p w:rsidR="00422514" w:rsidRDefault="00422514" w:rsidP="00E6023A">
            <w:pPr>
              <w:rPr>
                <w:b/>
              </w:rPr>
            </w:pPr>
          </w:p>
          <w:p w:rsidR="00422514" w:rsidRDefault="00422514" w:rsidP="00E6023A">
            <w:pPr>
              <w:rPr>
                <w:b/>
              </w:rPr>
            </w:pPr>
            <w:r>
              <w:rPr>
                <w:b/>
              </w:rPr>
              <w:t>Dependent Life</w:t>
            </w:r>
          </w:p>
          <w:p w:rsidR="00422514" w:rsidRDefault="00422514" w:rsidP="00E6023A">
            <w:pPr>
              <w:rPr>
                <w:b/>
              </w:rPr>
            </w:pPr>
            <w:r>
              <w:rPr>
                <w:b/>
              </w:rPr>
              <w:t>Insurance</w:t>
            </w:r>
          </w:p>
        </w:tc>
        <w:tc>
          <w:tcPr>
            <w:tcW w:w="3955" w:type="pct"/>
            <w:shd w:val="clear" w:color="auto" w:fill="FFFFFF"/>
          </w:tcPr>
          <w:p w:rsidR="00422514" w:rsidRDefault="00422514" w:rsidP="00E6023A"/>
          <w:p w:rsidR="00422514" w:rsidRDefault="00422514" w:rsidP="00E6023A"/>
          <w:p w:rsidR="00422514" w:rsidRDefault="00422514" w:rsidP="00E6023A">
            <w:r>
              <w:t>You may elect to continue Dependent Life Insurance coverage for your eligible dependents for up to one year by paying the required premium.</w:t>
            </w:r>
          </w:p>
        </w:tc>
      </w:tr>
    </w:tbl>
    <w:p w:rsidR="00422514" w:rsidRDefault="00422514" w:rsidP="00422514"/>
    <w:tbl>
      <w:tblPr>
        <w:tblW w:w="5016" w:type="pct"/>
        <w:shd w:val="clear" w:color="auto" w:fill="FFFFFF"/>
        <w:tblLook w:val="003F" w:firstRow="1" w:lastRow="0" w:firstColumn="0" w:lastColumn="0" w:noHBand="0" w:noVBand="0"/>
      </w:tblPr>
      <w:tblGrid>
        <w:gridCol w:w="2008"/>
        <w:gridCol w:w="7599"/>
      </w:tblGrid>
      <w:tr w:rsidR="00422514" w:rsidTr="00E6023A">
        <w:tc>
          <w:tcPr>
            <w:tcW w:w="1045" w:type="pct"/>
            <w:shd w:val="clear" w:color="auto" w:fill="FFFFFF"/>
          </w:tcPr>
          <w:p w:rsidR="00422514" w:rsidRDefault="00422514" w:rsidP="00E6023A">
            <w:pPr>
              <w:rPr>
                <w:b/>
              </w:rPr>
            </w:pPr>
          </w:p>
          <w:p w:rsidR="00422514" w:rsidRDefault="00422514" w:rsidP="00E6023A">
            <w:pPr>
              <w:rPr>
                <w:b/>
              </w:rPr>
            </w:pPr>
            <w:r>
              <w:rPr>
                <w:b/>
              </w:rPr>
              <w:t>Personal Accident</w:t>
            </w:r>
          </w:p>
          <w:p w:rsidR="00422514" w:rsidRDefault="00422514" w:rsidP="00E6023A">
            <w:pPr>
              <w:rPr>
                <w:b/>
              </w:rPr>
            </w:pPr>
            <w:r>
              <w:rPr>
                <w:b/>
              </w:rPr>
              <w:t>Insurance</w:t>
            </w:r>
          </w:p>
        </w:tc>
        <w:tc>
          <w:tcPr>
            <w:tcW w:w="3955" w:type="pct"/>
            <w:shd w:val="clear" w:color="auto" w:fill="FFFFFF"/>
          </w:tcPr>
          <w:p w:rsidR="00422514" w:rsidRDefault="00422514" w:rsidP="00E6023A"/>
          <w:p w:rsidR="00422514" w:rsidRDefault="00422514" w:rsidP="00E6023A">
            <w:r>
              <w:t>You may elect to continue Personal Accident Insurance (PAI) coverage for yourself or you and your family for up to one year by paying the required premium.</w:t>
            </w:r>
          </w:p>
          <w:p w:rsidR="00422514" w:rsidRDefault="00422514" w:rsidP="00E6023A"/>
        </w:tc>
      </w:tr>
      <w:tr w:rsidR="00422514" w:rsidTr="00E6023A">
        <w:tc>
          <w:tcPr>
            <w:tcW w:w="1045" w:type="pct"/>
            <w:shd w:val="clear" w:color="auto" w:fill="FFFFFF"/>
          </w:tcPr>
          <w:p w:rsidR="00422514" w:rsidRDefault="00422514" w:rsidP="00E6023A">
            <w:pPr>
              <w:rPr>
                <w:b/>
              </w:rPr>
            </w:pPr>
          </w:p>
        </w:tc>
        <w:tc>
          <w:tcPr>
            <w:tcW w:w="3955" w:type="pct"/>
            <w:shd w:val="clear" w:color="auto" w:fill="FFFFFF"/>
          </w:tcPr>
          <w:p w:rsidR="00422514" w:rsidRDefault="00422514" w:rsidP="00E6023A"/>
        </w:tc>
      </w:tr>
      <w:tr w:rsidR="00422514" w:rsidTr="00E6023A">
        <w:tc>
          <w:tcPr>
            <w:tcW w:w="1045" w:type="pct"/>
            <w:shd w:val="clear" w:color="auto" w:fill="FFFFFF"/>
          </w:tcPr>
          <w:p w:rsidR="00422514" w:rsidRDefault="00422514" w:rsidP="00E6023A">
            <w:pPr>
              <w:rPr>
                <w:b/>
              </w:rPr>
            </w:pPr>
            <w:r>
              <w:rPr>
                <w:b/>
              </w:rPr>
              <w:t>HEWT</w:t>
            </w:r>
          </w:p>
          <w:p w:rsidR="00422514" w:rsidRDefault="00422514" w:rsidP="00E6023A">
            <w:pPr>
              <w:rPr>
                <w:b/>
              </w:rPr>
            </w:pPr>
            <w:r>
              <w:rPr>
                <w:b/>
              </w:rPr>
              <w:t>Flexible Spending Accounts</w:t>
            </w:r>
          </w:p>
        </w:tc>
        <w:tc>
          <w:tcPr>
            <w:tcW w:w="3955" w:type="pct"/>
            <w:shd w:val="clear" w:color="auto" w:fill="FFFFFF"/>
          </w:tcPr>
          <w:p w:rsidR="00422514" w:rsidRDefault="00422514" w:rsidP="00E6023A">
            <w:pPr>
              <w:pStyle w:val="Header"/>
            </w:pPr>
            <w:r>
              <w:t xml:space="preserve">Your account is active through your last working day.  Services to which you claim reimbursement from your account must be provided through your last working day.  The account may be extended on an </w:t>
            </w:r>
            <w:r w:rsidRPr="004C6565">
              <w:rPr>
                <w:u w:val="single"/>
              </w:rPr>
              <w:t>after-tax basis</w:t>
            </w:r>
            <w:r>
              <w:t xml:space="preserve"> only through COBRA.</w:t>
            </w:r>
          </w:p>
          <w:p w:rsidR="00422514" w:rsidRDefault="00422514" w:rsidP="00E6023A">
            <w:pPr>
              <w:pStyle w:val="Header"/>
            </w:pPr>
          </w:p>
        </w:tc>
      </w:tr>
      <w:tr w:rsidR="00422514" w:rsidTr="00E6023A">
        <w:tc>
          <w:tcPr>
            <w:tcW w:w="1045" w:type="pct"/>
            <w:shd w:val="clear" w:color="auto" w:fill="FFFFFF"/>
          </w:tcPr>
          <w:p w:rsidR="00422514" w:rsidRDefault="00422514" w:rsidP="00E6023A">
            <w:pPr>
              <w:pStyle w:val="Heading1"/>
              <w:rPr>
                <w:bCs w:val="0"/>
                <w:sz w:val="20"/>
              </w:rPr>
            </w:pPr>
          </w:p>
          <w:p w:rsidR="00422514" w:rsidRDefault="00422514" w:rsidP="00E6023A"/>
          <w:p w:rsidR="00422514" w:rsidRPr="00575E0C" w:rsidRDefault="00422514" w:rsidP="00E6023A"/>
        </w:tc>
        <w:tc>
          <w:tcPr>
            <w:tcW w:w="3955" w:type="pct"/>
            <w:shd w:val="clear" w:color="auto" w:fill="FFFFFF"/>
          </w:tcPr>
          <w:p w:rsidR="00422514" w:rsidRDefault="00422514" w:rsidP="00E6023A">
            <w:pPr>
              <w:pStyle w:val="Header"/>
            </w:pPr>
            <w:r>
              <w:rPr>
                <w:u w:val="single"/>
              </w:rPr>
              <w:t>Dependent Care:</w:t>
            </w:r>
            <w:r>
              <w:t xml:space="preserve">  Upon receipt of your layoff letter, you may cancel your account by completion of an FSA Application.  Send a written request to MSA – Benefits Administration, PO Box 650, H2-23, Richland, WA  99352, or e-mail:</w:t>
            </w:r>
          </w:p>
          <w:p w:rsidR="00422514" w:rsidRDefault="00422514" w:rsidP="00E6023A">
            <w:pPr>
              <w:pStyle w:val="Header"/>
            </w:pPr>
            <w:r>
              <w:t>Benefits-HEWT@rl.gov.</w:t>
            </w:r>
          </w:p>
          <w:p w:rsidR="00422514" w:rsidRDefault="00422514" w:rsidP="00E6023A"/>
        </w:tc>
      </w:tr>
      <w:tr w:rsidR="00422514" w:rsidTr="00E6023A">
        <w:tc>
          <w:tcPr>
            <w:tcW w:w="1045" w:type="pct"/>
            <w:shd w:val="clear" w:color="auto" w:fill="FFFFFF"/>
          </w:tcPr>
          <w:p w:rsidR="00422514" w:rsidRDefault="00422514" w:rsidP="00E6023A">
            <w:pPr>
              <w:rPr>
                <w:b/>
              </w:rPr>
            </w:pPr>
          </w:p>
        </w:tc>
        <w:tc>
          <w:tcPr>
            <w:tcW w:w="3955" w:type="pct"/>
            <w:shd w:val="clear" w:color="auto" w:fill="FFFFFF"/>
          </w:tcPr>
          <w:p w:rsidR="00422514" w:rsidRDefault="00422514" w:rsidP="00E6023A">
            <w:r>
              <w:rPr>
                <w:u w:val="single"/>
              </w:rPr>
              <w:t>Health Care:</w:t>
            </w:r>
            <w:r>
              <w:t xml:space="preserve">  You do not need to reimburse any payments that have already been made from your account, even if the amount exceeds the amount you have actually contributed this calendar year.</w:t>
            </w:r>
          </w:p>
        </w:tc>
      </w:tr>
      <w:tr w:rsidR="00422514" w:rsidTr="00422514">
        <w:tc>
          <w:tcPr>
            <w:tcW w:w="1045" w:type="pct"/>
            <w:shd w:val="clear" w:color="auto" w:fill="FFFFFF"/>
          </w:tcPr>
          <w:p w:rsidR="00422514" w:rsidRPr="00422514" w:rsidRDefault="00422514" w:rsidP="00422514">
            <w:pPr>
              <w:rPr>
                <w:b/>
              </w:rPr>
            </w:pPr>
          </w:p>
          <w:p w:rsidR="00F77437" w:rsidRDefault="00F77437" w:rsidP="00422514">
            <w:pPr>
              <w:rPr>
                <w:b/>
              </w:rPr>
            </w:pPr>
          </w:p>
          <w:p w:rsidR="00422514" w:rsidRPr="00422514" w:rsidRDefault="00422514" w:rsidP="00422514">
            <w:pPr>
              <w:rPr>
                <w:b/>
              </w:rPr>
            </w:pPr>
            <w:r w:rsidRPr="00422514">
              <w:rPr>
                <w:b/>
              </w:rPr>
              <w:t>Hanford Site</w:t>
            </w:r>
          </w:p>
          <w:p w:rsidR="00422514" w:rsidRPr="00422514" w:rsidRDefault="00422514" w:rsidP="00422514">
            <w:pPr>
              <w:rPr>
                <w:b/>
              </w:rPr>
            </w:pPr>
            <w:r w:rsidRPr="00422514">
              <w:rPr>
                <w:b/>
              </w:rPr>
              <w:t>Savings Plans</w:t>
            </w:r>
          </w:p>
          <w:p w:rsidR="00422514" w:rsidRDefault="00422514" w:rsidP="00E6023A">
            <w:pPr>
              <w:rPr>
                <w:b/>
              </w:rPr>
            </w:pPr>
            <w:r>
              <w:rPr>
                <w:b/>
              </w:rPr>
              <w:t>401(k) and 401(a)</w:t>
            </w:r>
          </w:p>
        </w:tc>
        <w:tc>
          <w:tcPr>
            <w:tcW w:w="3955" w:type="pct"/>
            <w:shd w:val="clear" w:color="auto" w:fill="FFFFFF"/>
          </w:tcPr>
          <w:p w:rsidR="00422514" w:rsidRDefault="00422514" w:rsidP="00E6023A"/>
          <w:p w:rsidR="00F77437" w:rsidRPr="00113171" w:rsidRDefault="00F77437" w:rsidP="00E6023A"/>
          <w:p w:rsidR="00422514" w:rsidRPr="00113171" w:rsidRDefault="00422514" w:rsidP="00E6023A">
            <w:r w:rsidRPr="00113171">
              <w:t>If you are a participant in the Hanford Site Savings Plans your savings accounts are 100 percent vested.  You may take a total distribution or you may leave your accounts in the Plan.  You have the same provisions for this first year as an employee.</w:t>
            </w:r>
          </w:p>
          <w:p w:rsidR="00422514" w:rsidRPr="00113171" w:rsidRDefault="00422514" w:rsidP="00E6023A"/>
          <w:p w:rsidR="00422514" w:rsidRPr="00113171" w:rsidRDefault="00422514" w:rsidP="00E6023A">
            <w:r w:rsidRPr="00113171">
              <w:t>If you have an outstanding loan, you may continue loan payments for up to one year, and then the loan must be repaid in full.  Loan balances will default at 90 days if no payments are made.</w:t>
            </w:r>
          </w:p>
          <w:p w:rsidR="00422514" w:rsidRPr="00113171" w:rsidRDefault="00422514" w:rsidP="00E6023A"/>
          <w:p w:rsidR="00422514" w:rsidRPr="00113171" w:rsidRDefault="00422514" w:rsidP="00E6023A">
            <w:r w:rsidRPr="00113171">
              <w:t>After one year, if the value of your account is $1,000 or less, you must take a total distribution.  If the balance of your account is greater than $1,000, you may leave your money in the plan.  Withdrawals from your account are limited to a single total distribution; partial withdrawals are not allowed.</w:t>
            </w:r>
          </w:p>
          <w:p w:rsidR="00422514" w:rsidRPr="00113171" w:rsidRDefault="00422514" w:rsidP="00E6023A"/>
          <w:p w:rsidR="00113171" w:rsidRDefault="00113171" w:rsidP="00422514"/>
          <w:p w:rsidR="00422514" w:rsidRPr="00113171" w:rsidRDefault="00422514" w:rsidP="00422514">
            <w:r w:rsidRPr="00113171">
              <w:t xml:space="preserve">It is your responsibility to contact Vanguard at 1-800-523-1188, or at </w:t>
            </w:r>
            <w:r w:rsidRPr="00D165E9">
              <w:rPr>
                <w:u w:val="single"/>
              </w:rPr>
              <w:t>http://www.vanguard.com</w:t>
            </w:r>
            <w:r w:rsidRPr="00113171">
              <w:t xml:space="preserve"> for additional savings plan and loan payment continuation information.  The Hanford Site Plan numbers are:  HGU, No. 093231; O&amp;E, No. 093232; and HAMTC, No. 093233. </w:t>
            </w:r>
          </w:p>
          <w:p w:rsidR="00422514" w:rsidRPr="00113171" w:rsidRDefault="00422514" w:rsidP="00422514"/>
        </w:tc>
      </w:tr>
      <w:tr w:rsidR="00113171" w:rsidTr="00113171">
        <w:tc>
          <w:tcPr>
            <w:tcW w:w="1045" w:type="pct"/>
            <w:shd w:val="clear" w:color="auto" w:fill="FFFFFF"/>
          </w:tcPr>
          <w:p w:rsidR="00C21BCD" w:rsidRDefault="00C21BCD" w:rsidP="00E6023A">
            <w:pPr>
              <w:rPr>
                <w:b/>
              </w:rPr>
            </w:pPr>
          </w:p>
          <w:p w:rsidR="00C21BCD" w:rsidRDefault="00C21BCD" w:rsidP="00E6023A">
            <w:pPr>
              <w:rPr>
                <w:b/>
              </w:rPr>
            </w:pPr>
          </w:p>
          <w:p w:rsidR="00C21BCD" w:rsidRDefault="00C21BCD" w:rsidP="00E6023A">
            <w:pPr>
              <w:rPr>
                <w:b/>
              </w:rPr>
            </w:pPr>
          </w:p>
          <w:p w:rsidR="00C21BCD" w:rsidRDefault="00C21BCD" w:rsidP="00E6023A">
            <w:pPr>
              <w:rPr>
                <w:b/>
              </w:rPr>
            </w:pPr>
          </w:p>
          <w:p w:rsidR="00C21BCD" w:rsidRDefault="00C21BCD" w:rsidP="00E6023A">
            <w:pPr>
              <w:rPr>
                <w:b/>
              </w:rPr>
            </w:pPr>
          </w:p>
          <w:p w:rsidR="00C21BCD" w:rsidRDefault="00C21BCD" w:rsidP="00E6023A">
            <w:pPr>
              <w:rPr>
                <w:b/>
              </w:rPr>
            </w:pPr>
          </w:p>
          <w:p w:rsidR="00C21BCD" w:rsidRDefault="00C21BCD" w:rsidP="00E6023A">
            <w:pPr>
              <w:rPr>
                <w:b/>
              </w:rPr>
            </w:pPr>
          </w:p>
          <w:p w:rsidR="00C21BCD" w:rsidRDefault="00C21BCD" w:rsidP="00E6023A">
            <w:pPr>
              <w:rPr>
                <w:b/>
              </w:rPr>
            </w:pPr>
          </w:p>
          <w:p w:rsidR="00113171" w:rsidRDefault="00113171" w:rsidP="00E6023A">
            <w:pPr>
              <w:rPr>
                <w:b/>
              </w:rPr>
            </w:pPr>
            <w:r>
              <w:rPr>
                <w:b/>
              </w:rPr>
              <w:t>Hanford Site Pension Plans</w:t>
            </w:r>
          </w:p>
          <w:p w:rsidR="00113171" w:rsidRPr="002E6705" w:rsidRDefault="00113171" w:rsidP="00E6023A">
            <w:pPr>
              <w:rPr>
                <w:b/>
              </w:rPr>
            </w:pPr>
          </w:p>
        </w:tc>
        <w:tc>
          <w:tcPr>
            <w:tcW w:w="3955" w:type="pct"/>
            <w:shd w:val="clear" w:color="auto" w:fill="FFFFFF"/>
          </w:tcPr>
          <w:p w:rsidR="00C21BCD" w:rsidRDefault="00C21BCD" w:rsidP="00113171"/>
          <w:p w:rsidR="00C21BCD" w:rsidRDefault="00C21BCD" w:rsidP="00113171"/>
          <w:p w:rsidR="00C21BCD" w:rsidRDefault="00C21BCD" w:rsidP="00113171"/>
          <w:p w:rsidR="00C21BCD" w:rsidRDefault="00C21BCD" w:rsidP="00113171"/>
          <w:p w:rsidR="00C21BCD" w:rsidRDefault="00C21BCD" w:rsidP="00113171"/>
          <w:p w:rsidR="00C21BCD" w:rsidRDefault="00C21BCD" w:rsidP="00113171"/>
          <w:p w:rsidR="00C21BCD" w:rsidRDefault="00C21BCD" w:rsidP="00113171"/>
          <w:p w:rsidR="00C21BCD" w:rsidRDefault="00C21BCD" w:rsidP="00113171"/>
          <w:p w:rsidR="00113171" w:rsidRDefault="00113171" w:rsidP="00113171">
            <w:r>
              <w:t>If you are a participant in the Hanford Site Pension Plans you are 100 percent vested with three vesting years.  Your vested pension payment will be determined in accordance with provisions of the applicable pension plan (i.e., HGU, O&amp;E, or HAMTC).  General provisions are:</w:t>
            </w:r>
          </w:p>
          <w:p w:rsidR="00113171" w:rsidRDefault="00113171" w:rsidP="00113171">
            <w:pPr>
              <w:numPr>
                <w:ilvl w:val="0"/>
                <w:numId w:val="1"/>
              </w:numPr>
              <w:spacing w:before="120"/>
            </w:pPr>
            <w:r>
              <w:t>Federal regulations governing multi-employer pension plan provisions and eligibility for distribution, requires termination from employment covered under the plan.  In some instances, working for an employer that is in the same control group of a Plan Sponsor may preclude he/she from being eligible for a distribution.</w:t>
            </w:r>
          </w:p>
          <w:p w:rsidR="00113171" w:rsidRDefault="00113171" w:rsidP="00113171"/>
          <w:p w:rsidR="00113171" w:rsidRDefault="00113171" w:rsidP="00113171">
            <w:pPr>
              <w:numPr>
                <w:ilvl w:val="0"/>
                <w:numId w:val="3"/>
              </w:numPr>
            </w:pPr>
            <w:r>
              <w:t xml:space="preserve">If the present value of your vested pension is $1,000 or less, you will receive a lump sum payment.  If the present value is greater than $1,000, you have the option of a lump sum payment or you may elect a monthly annuity at any time following termination from the "employer relationship."  The lump sum represents the present value of the vested ten-year certain and life option, payable at age 65.  This option may be distributed directly to you (with applicable tax and penalty), or rolled over to an IRA or another qualified plan. </w:t>
            </w:r>
          </w:p>
          <w:p w:rsidR="00113171" w:rsidRDefault="00113171" w:rsidP="00113171">
            <w:pPr>
              <w:numPr>
                <w:ilvl w:val="0"/>
                <w:numId w:val="1"/>
              </w:numPr>
              <w:spacing w:before="120"/>
            </w:pPr>
            <w:r>
              <w:t>If benefits commence prior to age 65, the amount will be reduced according to your age when pension payments begin.  If you are retirement-eligible on your last day of work, there is no reduction to your monthly pension annuity if you are age 60 or older.  The present value lump sum payment, however, is calculated with reductions from age 65.  The multi-employer regulations apply to retirement-eligible pension plan participants, as well as terminated-vested participants.</w:t>
            </w:r>
          </w:p>
          <w:p w:rsidR="00D165E9" w:rsidRDefault="00D165E9" w:rsidP="00113171"/>
          <w:p w:rsidR="00113171" w:rsidRDefault="00113171" w:rsidP="00D165E9">
            <w:r>
              <w:t xml:space="preserve">If </w:t>
            </w:r>
            <w:r w:rsidR="00D165E9">
              <w:t xml:space="preserve"> </w:t>
            </w:r>
            <w:r>
              <w:t>you wish to receive a distribution of your pension benefits, please contact</w:t>
            </w:r>
          </w:p>
          <w:p w:rsidR="00113171" w:rsidRDefault="00113171" w:rsidP="00D165E9">
            <w:r>
              <w:t>MSA – Benefits Administration, PO Box 650, H2-23, Richland, WA  99352, or e-mail:</w:t>
            </w:r>
          </w:p>
          <w:p w:rsidR="00113171" w:rsidRDefault="00113171" w:rsidP="00D165E9">
            <w:r>
              <w:t>Benefits-</w:t>
            </w:r>
            <w:r w:rsidRPr="0001376D">
              <w:t>HEWT@rl.gov</w:t>
            </w:r>
            <w:r>
              <w:t>.</w:t>
            </w:r>
          </w:p>
        </w:tc>
      </w:tr>
      <w:tr w:rsidR="00113171" w:rsidTr="00113171">
        <w:tc>
          <w:tcPr>
            <w:tcW w:w="1045" w:type="pct"/>
            <w:shd w:val="clear" w:color="auto" w:fill="FFFFFF"/>
          </w:tcPr>
          <w:p w:rsidR="00113171" w:rsidRDefault="00113171" w:rsidP="00E6023A">
            <w:pPr>
              <w:rPr>
                <w:b/>
              </w:rPr>
            </w:pPr>
          </w:p>
          <w:p w:rsidR="00113171" w:rsidRDefault="00113171" w:rsidP="00E6023A">
            <w:pPr>
              <w:rPr>
                <w:b/>
              </w:rPr>
            </w:pPr>
            <w:r>
              <w:rPr>
                <w:b/>
              </w:rPr>
              <w:t>HEWT</w:t>
            </w:r>
          </w:p>
          <w:p w:rsidR="00113171" w:rsidRDefault="00113171" w:rsidP="00E6023A">
            <w:pPr>
              <w:rPr>
                <w:b/>
              </w:rPr>
            </w:pPr>
            <w:r>
              <w:rPr>
                <w:b/>
              </w:rPr>
              <w:t>Severance Pay</w:t>
            </w:r>
          </w:p>
        </w:tc>
        <w:tc>
          <w:tcPr>
            <w:tcW w:w="3955" w:type="pct"/>
            <w:shd w:val="clear" w:color="auto" w:fill="FFFFFF"/>
          </w:tcPr>
          <w:p w:rsidR="00113171" w:rsidRDefault="00113171" w:rsidP="00E6023A"/>
          <w:p w:rsidR="00113171" w:rsidRDefault="00113171" w:rsidP="00E6023A">
            <w:r>
              <w:t xml:space="preserve">Under the Severance Pay Plan, employees with at least one year of service are eligible to receive one week of base pay per year of credited service, up to a maximum of 20 weeks.  Severance pay will be calculated using the base salary or wage in effect on the date of the layoff.  </w:t>
            </w:r>
            <w:r w:rsidRPr="00113171">
              <w:t>For those employees on part-time status at the time of layoff, severance pay will be calculated at a reduced rate</w:t>
            </w:r>
            <w:r>
              <w:t xml:space="preserve"> based on the number of hours specified for the </w:t>
            </w:r>
          </w:p>
          <w:p w:rsidR="00113171" w:rsidRDefault="00113171" w:rsidP="00E6023A">
            <w:r>
              <w:t>employee’s approved work schedule.  Employees with less than 20 years of service and greater than one year of service will be entitled to a partial accrual for a partial year of service equal to one quarter-week of pay for each three months of service up to the date of layoff.</w:t>
            </w:r>
          </w:p>
          <w:p w:rsidR="00113171" w:rsidRDefault="00113171" w:rsidP="00113171"/>
        </w:tc>
      </w:tr>
      <w:tr w:rsidR="00113171" w:rsidTr="00113171">
        <w:tc>
          <w:tcPr>
            <w:tcW w:w="1045" w:type="pct"/>
            <w:shd w:val="clear" w:color="auto" w:fill="FFFFFF"/>
          </w:tcPr>
          <w:p w:rsidR="00113171" w:rsidRDefault="00113171" w:rsidP="00E6023A">
            <w:pPr>
              <w:rPr>
                <w:b/>
              </w:rPr>
            </w:pPr>
          </w:p>
        </w:tc>
        <w:tc>
          <w:tcPr>
            <w:tcW w:w="3955" w:type="pct"/>
            <w:shd w:val="clear" w:color="auto" w:fill="FFFFFF"/>
          </w:tcPr>
          <w:p w:rsidR="00113171" w:rsidRDefault="00113171" w:rsidP="00E6023A">
            <w:r>
              <w:t>Examples:  An employee with 13 years, 3 months and 5 days of service, whose base pay rate is $1,000 per week, will receive severance pay of 13 1/4 weeks or $13,250.  An employee whose base pay is $500 per week when he/she is laid off and has 24 years, 9 months and 6 days of service will receive the maximum of 20 weeks of severance pay or $10,000.  An employee whose base pay is $600 per week and has 6 years and 7 months of service, will receive 6 1/2 weeks of severance or $3900 (i.e., 6 full years = 6 weeks of severance pay; 7 months is more than one-half but less than three-fourths of a year, so the employee will receive an additional one-half week, resulting in a total of 6 1/2 weeks of severance pay.</w:t>
            </w:r>
          </w:p>
          <w:p w:rsidR="00113171" w:rsidRDefault="00113171" w:rsidP="00E6023A"/>
          <w:p w:rsidR="00113171" w:rsidRDefault="00113171" w:rsidP="00E6023A">
            <w:r>
              <w:t>You have the option of receiving your severance payment in a lump sum at the time of layoff or delaying receipt of severance payment for a period of six months.</w:t>
            </w:r>
          </w:p>
          <w:p w:rsidR="00113171" w:rsidRDefault="00113171" w:rsidP="00E6023A"/>
          <w:p w:rsidR="00113171" w:rsidRDefault="00113171" w:rsidP="00113171"/>
        </w:tc>
      </w:tr>
      <w:tr w:rsidR="00842CF2" w:rsidTr="00842CF2">
        <w:tc>
          <w:tcPr>
            <w:tcW w:w="1045" w:type="pct"/>
            <w:shd w:val="clear" w:color="auto" w:fill="FFFFFF"/>
          </w:tcPr>
          <w:p w:rsidR="00F77437" w:rsidRDefault="00F77437" w:rsidP="00E6023A">
            <w:pPr>
              <w:rPr>
                <w:b/>
              </w:rPr>
            </w:pPr>
          </w:p>
          <w:p w:rsidR="00842CF2" w:rsidRPr="00842CF2" w:rsidRDefault="00842CF2" w:rsidP="00E6023A">
            <w:pPr>
              <w:rPr>
                <w:b/>
              </w:rPr>
            </w:pPr>
            <w:r w:rsidRPr="00842CF2">
              <w:rPr>
                <w:b/>
              </w:rPr>
              <w:t xml:space="preserve">Personal </w:t>
            </w:r>
          </w:p>
          <w:p w:rsidR="00842CF2" w:rsidRPr="00842CF2" w:rsidRDefault="00842CF2" w:rsidP="00E6023A">
            <w:pPr>
              <w:rPr>
                <w:b/>
              </w:rPr>
            </w:pPr>
            <w:r w:rsidRPr="00842CF2">
              <w:rPr>
                <w:b/>
              </w:rPr>
              <w:t>Time Bank</w:t>
            </w:r>
          </w:p>
        </w:tc>
        <w:tc>
          <w:tcPr>
            <w:tcW w:w="3955" w:type="pct"/>
            <w:shd w:val="clear" w:color="auto" w:fill="FFFFFF"/>
          </w:tcPr>
          <w:p w:rsidR="00F77437" w:rsidRDefault="00F77437" w:rsidP="00842CF2"/>
          <w:p w:rsidR="00842CF2" w:rsidRDefault="00842CF2" w:rsidP="00842CF2">
            <w:r>
              <w:t>Unused, Personal Time Bank (PTB) hours will be cashed out.</w:t>
            </w:r>
          </w:p>
        </w:tc>
      </w:tr>
      <w:tr w:rsidR="00842CF2" w:rsidTr="00842CF2">
        <w:tc>
          <w:tcPr>
            <w:tcW w:w="1045" w:type="pct"/>
            <w:shd w:val="clear" w:color="auto" w:fill="FFFFFF"/>
          </w:tcPr>
          <w:p w:rsidR="00F77437" w:rsidRDefault="00F77437" w:rsidP="00E6023A">
            <w:pPr>
              <w:rPr>
                <w:b/>
              </w:rPr>
            </w:pPr>
          </w:p>
          <w:p w:rsidR="00842CF2" w:rsidRPr="00842CF2" w:rsidRDefault="00842CF2" w:rsidP="00E6023A">
            <w:pPr>
              <w:rPr>
                <w:b/>
              </w:rPr>
            </w:pPr>
            <w:r w:rsidRPr="00842CF2">
              <w:rPr>
                <w:b/>
              </w:rPr>
              <w:t>Savings Bonds</w:t>
            </w:r>
          </w:p>
        </w:tc>
        <w:tc>
          <w:tcPr>
            <w:tcW w:w="3955" w:type="pct"/>
            <w:shd w:val="clear" w:color="auto" w:fill="FFFFFF"/>
          </w:tcPr>
          <w:p w:rsidR="00F77437" w:rsidRDefault="00F77437" w:rsidP="00842CF2"/>
          <w:p w:rsidR="00842CF2" w:rsidRDefault="00842CF2" w:rsidP="00842CF2">
            <w:r>
              <w:t>Any partial deductions that have been accumulated for Savings Bonds will be refunded.</w:t>
            </w:r>
          </w:p>
          <w:p w:rsidR="00842CF2" w:rsidRDefault="00842CF2" w:rsidP="00842CF2"/>
        </w:tc>
      </w:tr>
      <w:tr w:rsidR="00842CF2" w:rsidTr="00842CF2">
        <w:tc>
          <w:tcPr>
            <w:tcW w:w="1045" w:type="pct"/>
            <w:shd w:val="clear" w:color="auto" w:fill="FFFFFF"/>
          </w:tcPr>
          <w:p w:rsidR="00842CF2" w:rsidRPr="00842CF2" w:rsidRDefault="00842CF2" w:rsidP="00E6023A">
            <w:pPr>
              <w:rPr>
                <w:b/>
              </w:rPr>
            </w:pPr>
          </w:p>
          <w:p w:rsidR="00842CF2" w:rsidRPr="00842CF2" w:rsidRDefault="00842CF2" w:rsidP="00E6023A">
            <w:pPr>
              <w:rPr>
                <w:b/>
              </w:rPr>
            </w:pPr>
            <w:r w:rsidRPr="00842CF2">
              <w:rPr>
                <w:b/>
              </w:rPr>
              <w:t xml:space="preserve">Employee </w:t>
            </w:r>
          </w:p>
          <w:p w:rsidR="00842CF2" w:rsidRPr="00842CF2" w:rsidRDefault="00842CF2" w:rsidP="00E6023A">
            <w:pPr>
              <w:rPr>
                <w:b/>
              </w:rPr>
            </w:pPr>
            <w:r w:rsidRPr="00842CF2">
              <w:rPr>
                <w:b/>
              </w:rPr>
              <w:t xml:space="preserve">Assistance </w:t>
            </w:r>
          </w:p>
          <w:p w:rsidR="00842CF2" w:rsidRPr="00842CF2" w:rsidRDefault="00842CF2" w:rsidP="00E6023A">
            <w:pPr>
              <w:rPr>
                <w:b/>
              </w:rPr>
            </w:pPr>
            <w:r w:rsidRPr="00842CF2">
              <w:rPr>
                <w:b/>
              </w:rPr>
              <w:t>Program</w:t>
            </w:r>
          </w:p>
        </w:tc>
        <w:tc>
          <w:tcPr>
            <w:tcW w:w="3955" w:type="pct"/>
            <w:shd w:val="clear" w:color="auto" w:fill="FFFFFF"/>
          </w:tcPr>
          <w:p w:rsidR="00842CF2" w:rsidRDefault="00842CF2" w:rsidP="00842CF2"/>
          <w:p w:rsidR="00842CF2" w:rsidRDefault="00842CF2" w:rsidP="00842CF2">
            <w:r>
              <w:t xml:space="preserve">Access to the Employee Assistance Program (EAP) services currently available to active employees and their immediate family members will continue for up to one year.  The following currently provide EAP services to employees:  </w:t>
            </w:r>
          </w:p>
          <w:p w:rsidR="00842CF2" w:rsidRDefault="00842CF2" w:rsidP="00842CF2"/>
        </w:tc>
      </w:tr>
      <w:tr w:rsidR="00842CF2" w:rsidTr="00842CF2">
        <w:tc>
          <w:tcPr>
            <w:tcW w:w="1045" w:type="pct"/>
            <w:shd w:val="clear" w:color="auto" w:fill="FFFFFF"/>
          </w:tcPr>
          <w:p w:rsidR="00842CF2" w:rsidRDefault="00842CF2" w:rsidP="00E6023A">
            <w:pPr>
              <w:rPr>
                <w:b/>
              </w:rPr>
            </w:pPr>
          </w:p>
        </w:tc>
        <w:tc>
          <w:tcPr>
            <w:tcW w:w="3955" w:type="pct"/>
            <w:shd w:val="clear" w:color="auto" w:fill="FFFFFF"/>
          </w:tcPr>
          <w:p w:rsidR="00842CF2" w:rsidRDefault="00F77437" w:rsidP="00842CF2">
            <w:pPr>
              <w:pStyle w:val="Header"/>
              <w:numPr>
                <w:ilvl w:val="0"/>
                <w:numId w:val="2"/>
              </w:numPr>
              <w:tabs>
                <w:tab w:val="clear" w:pos="4680"/>
                <w:tab w:val="clear" w:pos="9360"/>
              </w:tabs>
            </w:pPr>
            <w:r>
              <w:t xml:space="preserve">CSC </w:t>
            </w:r>
            <w:r w:rsidR="00842CF2">
              <w:t>Hanford</w:t>
            </w:r>
            <w:r>
              <w:t xml:space="preserve"> Occupational Health Services</w:t>
            </w:r>
            <w:r w:rsidR="00842CF2">
              <w:t xml:space="preserve"> – Behavioral Health Services Department provides EAP services to employees.  Call (509) 376-4418 for information or appointments.</w:t>
            </w:r>
          </w:p>
          <w:p w:rsidR="00842CF2" w:rsidRDefault="00842CF2" w:rsidP="00842CF2"/>
          <w:p w:rsidR="00842CF2" w:rsidRDefault="00842CF2" w:rsidP="00842CF2">
            <w:pPr>
              <w:pStyle w:val="Header"/>
              <w:numPr>
                <w:ilvl w:val="0"/>
                <w:numId w:val="2"/>
              </w:numPr>
              <w:tabs>
                <w:tab w:val="clear" w:pos="4680"/>
                <w:tab w:val="clear" w:pos="9360"/>
              </w:tabs>
            </w:pPr>
            <w:r>
              <w:t xml:space="preserve">LifeHelp – Call 1-800-788-5614 or 1-866-216-9926 (TDD) or log on to </w:t>
            </w:r>
            <w:r w:rsidRPr="00591AEF">
              <w:t>http://www.liveandworkwell.com</w:t>
            </w:r>
            <w:r>
              <w:t>.  (</w:t>
            </w:r>
            <w:r w:rsidRPr="00842CF2">
              <w:t xml:space="preserve">HEWT </w:t>
            </w:r>
            <w:r>
              <w:t>Access Code:  702633)   (</w:t>
            </w:r>
            <w:r w:rsidRPr="00842CF2">
              <w:t>MBP</w:t>
            </w:r>
            <w:r>
              <w:t xml:space="preserve"> Access Code:  UHC).</w:t>
            </w:r>
          </w:p>
          <w:p w:rsidR="00842CF2" w:rsidRDefault="00842CF2" w:rsidP="00E6023A"/>
        </w:tc>
      </w:tr>
      <w:tr w:rsidR="00842CF2" w:rsidTr="00842CF2">
        <w:tc>
          <w:tcPr>
            <w:tcW w:w="1045" w:type="pct"/>
            <w:shd w:val="clear" w:color="auto" w:fill="FFFFFF"/>
          </w:tcPr>
          <w:p w:rsidR="00842CF2" w:rsidRPr="00842CF2" w:rsidRDefault="00842CF2" w:rsidP="00E6023A">
            <w:pPr>
              <w:rPr>
                <w:b/>
              </w:rPr>
            </w:pPr>
          </w:p>
          <w:p w:rsidR="00842CF2" w:rsidRPr="00842CF2" w:rsidRDefault="00842CF2" w:rsidP="00E6023A">
            <w:pPr>
              <w:rPr>
                <w:b/>
              </w:rPr>
            </w:pPr>
            <w:r w:rsidRPr="00842CF2">
              <w:rPr>
                <w:b/>
              </w:rPr>
              <w:t>Unemployment Insurance</w:t>
            </w:r>
          </w:p>
        </w:tc>
        <w:tc>
          <w:tcPr>
            <w:tcW w:w="3955" w:type="pct"/>
            <w:shd w:val="clear" w:color="auto" w:fill="FFFFFF"/>
          </w:tcPr>
          <w:p w:rsidR="00842CF2" w:rsidRDefault="00842CF2" w:rsidP="00842CF2"/>
          <w:p w:rsidR="00842CF2" w:rsidRDefault="00842CF2" w:rsidP="00842CF2">
            <w:r>
              <w:t>The State Employment Security Department is responsible for determination of eligibility for unemployment insurance benefits; contact the local Employment Security office if you have questions at 1-800-362-4636.</w:t>
            </w:r>
          </w:p>
          <w:p w:rsidR="00842CF2" w:rsidRDefault="00842CF2" w:rsidP="00842CF2"/>
          <w:p w:rsidR="00842CF2" w:rsidRDefault="00842CF2" w:rsidP="00842CF2"/>
        </w:tc>
      </w:tr>
      <w:tr w:rsidR="00842CF2" w:rsidTr="00842CF2">
        <w:tc>
          <w:tcPr>
            <w:tcW w:w="1045" w:type="pct"/>
            <w:shd w:val="clear" w:color="auto" w:fill="FFFFFF"/>
          </w:tcPr>
          <w:p w:rsidR="00842CF2" w:rsidRPr="00842CF2" w:rsidRDefault="00842CF2" w:rsidP="00E6023A">
            <w:pPr>
              <w:rPr>
                <w:b/>
              </w:rPr>
            </w:pPr>
            <w:r w:rsidRPr="00842CF2">
              <w:rPr>
                <w:b/>
              </w:rPr>
              <w:t>Reemployment Assistance</w:t>
            </w:r>
          </w:p>
        </w:tc>
        <w:tc>
          <w:tcPr>
            <w:tcW w:w="3955" w:type="pct"/>
            <w:shd w:val="clear" w:color="auto" w:fill="FFFFFF"/>
          </w:tcPr>
          <w:p w:rsidR="00842CF2" w:rsidRDefault="00842CF2" w:rsidP="00842CF2">
            <w:r>
              <w:t xml:space="preserve"> WorkSource Columbia Basin has two locations: </w:t>
            </w:r>
          </w:p>
          <w:p w:rsidR="00842CF2" w:rsidRDefault="00842CF2" w:rsidP="00842CF2">
            <w:r>
              <w:t xml:space="preserve"> </w:t>
            </w:r>
          </w:p>
          <w:tbl>
            <w:tblPr>
              <w:tblW w:w="0" w:type="auto"/>
              <w:tblLook w:val="00BF" w:firstRow="1" w:lastRow="0" w:firstColumn="1" w:lastColumn="0" w:noHBand="0" w:noVBand="0"/>
            </w:tblPr>
            <w:tblGrid>
              <w:gridCol w:w="4003"/>
              <w:gridCol w:w="3344"/>
            </w:tblGrid>
            <w:tr w:rsidR="00842CF2" w:rsidTr="00E6023A">
              <w:tc>
                <w:tcPr>
                  <w:tcW w:w="4003" w:type="dxa"/>
                </w:tcPr>
                <w:p w:rsidR="00842CF2" w:rsidRDefault="00842CF2" w:rsidP="00E6023A">
                  <w:pPr>
                    <w:pStyle w:val="Header"/>
                  </w:pPr>
                  <w:r>
                    <w:t xml:space="preserve">   815 North Kellogg Street, Suite D</w:t>
                  </w:r>
                </w:p>
              </w:tc>
              <w:tc>
                <w:tcPr>
                  <w:tcW w:w="3344" w:type="dxa"/>
                </w:tcPr>
                <w:p w:rsidR="00842CF2" w:rsidRDefault="00842CF2" w:rsidP="00E6023A">
                  <w:pPr>
                    <w:pStyle w:val="Header"/>
                  </w:pPr>
                  <w:r>
                    <w:t>306 West Division</w:t>
                  </w:r>
                </w:p>
              </w:tc>
            </w:tr>
            <w:tr w:rsidR="00842CF2" w:rsidTr="00E6023A">
              <w:tc>
                <w:tcPr>
                  <w:tcW w:w="4003" w:type="dxa"/>
                </w:tcPr>
                <w:p w:rsidR="00842CF2" w:rsidRDefault="00842CF2" w:rsidP="00E6023A">
                  <w:pPr>
                    <w:pStyle w:val="Header"/>
                  </w:pPr>
                  <w:r>
                    <w:t xml:space="preserve">   Kennewick, WA 99336</w:t>
                  </w:r>
                </w:p>
              </w:tc>
              <w:tc>
                <w:tcPr>
                  <w:tcW w:w="3344" w:type="dxa"/>
                </w:tcPr>
                <w:p w:rsidR="00842CF2" w:rsidRDefault="00842CF2" w:rsidP="00E6023A">
                  <w:pPr>
                    <w:pStyle w:val="Header"/>
                  </w:pPr>
                  <w:smartTag w:uri="urn:schemas-microsoft-com:office:smarttags" w:element="place">
                    <w:smartTag w:uri="urn:schemas-microsoft-com:office:smarttags" w:element="City">
                      <w:r>
                        <w:t>Yakima</w:t>
                      </w:r>
                    </w:smartTag>
                    <w:r>
                      <w:t xml:space="preserve">, </w:t>
                    </w:r>
                    <w:smartTag w:uri="urn:schemas-microsoft-com:office:smarttags" w:element="State">
                      <w:r>
                        <w:t>WA</w:t>
                      </w:r>
                    </w:smartTag>
                    <w:r>
                      <w:t xml:space="preserve">  </w:t>
                    </w:r>
                    <w:smartTag w:uri="urn:schemas-microsoft-com:office:smarttags" w:element="PostalCode">
                      <w:r>
                        <w:t>98909</w:t>
                      </w:r>
                    </w:smartTag>
                  </w:smartTag>
                </w:p>
              </w:tc>
            </w:tr>
            <w:tr w:rsidR="00842CF2" w:rsidTr="00E6023A">
              <w:tc>
                <w:tcPr>
                  <w:tcW w:w="4003" w:type="dxa"/>
                </w:tcPr>
                <w:p w:rsidR="00842CF2" w:rsidRDefault="00842CF2" w:rsidP="00E6023A">
                  <w:pPr>
                    <w:pStyle w:val="Header"/>
                  </w:pPr>
                  <w:r>
                    <w:t xml:space="preserve">   (509) 734-5900 or (509) 734-5956 (TDD)</w:t>
                  </w:r>
                </w:p>
              </w:tc>
              <w:tc>
                <w:tcPr>
                  <w:tcW w:w="3344" w:type="dxa"/>
                </w:tcPr>
                <w:p w:rsidR="00842CF2" w:rsidRDefault="00842CF2" w:rsidP="00E6023A">
                  <w:pPr>
                    <w:pStyle w:val="Header"/>
                  </w:pPr>
                  <w:r>
                    <w:t>1-800-834-6799  or (509) 574-0105</w:t>
                  </w:r>
                </w:p>
              </w:tc>
            </w:tr>
          </w:tbl>
          <w:p w:rsidR="00842CF2" w:rsidRDefault="00842CF2" w:rsidP="00842CF2"/>
        </w:tc>
      </w:tr>
    </w:tbl>
    <w:p w:rsidR="00422514" w:rsidRDefault="00422514"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842CF2" w:rsidRDefault="00842CF2" w:rsidP="00422514"/>
    <w:p w:rsidR="00C21BCD" w:rsidRDefault="00C21BCD" w:rsidP="00842CF2">
      <w:pPr>
        <w:jc w:val="center"/>
        <w:rPr>
          <w:rFonts w:ascii="Arial" w:hAnsi="Arial"/>
          <w:sz w:val="40"/>
          <w:szCs w:val="40"/>
        </w:rPr>
      </w:pPr>
    </w:p>
    <w:p w:rsidR="00C21BCD" w:rsidRDefault="00C21BCD" w:rsidP="00842CF2">
      <w:pPr>
        <w:jc w:val="center"/>
        <w:rPr>
          <w:rFonts w:ascii="Arial" w:hAnsi="Arial"/>
          <w:sz w:val="40"/>
          <w:szCs w:val="40"/>
        </w:rPr>
      </w:pPr>
    </w:p>
    <w:p w:rsidR="00C21BCD" w:rsidRDefault="00C21BCD" w:rsidP="00842CF2">
      <w:pPr>
        <w:jc w:val="center"/>
        <w:rPr>
          <w:rFonts w:ascii="Arial" w:hAnsi="Arial"/>
          <w:sz w:val="40"/>
          <w:szCs w:val="40"/>
        </w:rPr>
      </w:pPr>
    </w:p>
    <w:p w:rsidR="00C21BCD" w:rsidRDefault="00C21BCD" w:rsidP="00842CF2">
      <w:pPr>
        <w:jc w:val="center"/>
        <w:rPr>
          <w:rFonts w:ascii="Arial" w:hAnsi="Arial"/>
          <w:sz w:val="40"/>
          <w:szCs w:val="40"/>
        </w:rPr>
      </w:pPr>
    </w:p>
    <w:p w:rsidR="00842CF2" w:rsidRDefault="00842CF2" w:rsidP="00842CF2">
      <w:pPr>
        <w:jc w:val="center"/>
        <w:rPr>
          <w:rFonts w:ascii="Arial" w:hAnsi="Arial"/>
          <w:sz w:val="40"/>
          <w:szCs w:val="40"/>
        </w:rPr>
      </w:pPr>
      <w:r>
        <w:rPr>
          <w:rFonts w:ascii="Arial" w:hAnsi="Arial"/>
          <w:sz w:val="40"/>
          <w:szCs w:val="40"/>
        </w:rPr>
        <w:t>201</w:t>
      </w:r>
      <w:r w:rsidR="00C21BCD">
        <w:rPr>
          <w:rFonts w:ascii="Arial" w:hAnsi="Arial"/>
          <w:sz w:val="40"/>
          <w:szCs w:val="40"/>
        </w:rPr>
        <w:t>2</w:t>
      </w:r>
      <w:r>
        <w:rPr>
          <w:rFonts w:ascii="Arial" w:hAnsi="Arial"/>
          <w:sz w:val="40"/>
          <w:szCs w:val="40"/>
        </w:rPr>
        <w:t xml:space="preserve"> HEWT COBRA Monthly Rates</w:t>
      </w:r>
    </w:p>
    <w:p w:rsidR="00842CF2" w:rsidRPr="00BB030E" w:rsidRDefault="00842CF2" w:rsidP="00842CF2">
      <w:pPr>
        <w:jc w:val="center"/>
        <w:rPr>
          <w:rFonts w:ascii="Arial" w:hAnsi="Arial"/>
          <w:sz w:val="40"/>
          <w:szCs w:val="4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3276"/>
        <w:gridCol w:w="3276"/>
      </w:tblGrid>
      <w:tr w:rsidR="00842CF2" w:rsidRPr="00C3213B" w:rsidTr="00E6023A">
        <w:tc>
          <w:tcPr>
            <w:tcW w:w="9828" w:type="dxa"/>
            <w:gridSpan w:val="3"/>
            <w:shd w:val="clear" w:color="auto" w:fill="000080"/>
          </w:tcPr>
          <w:p w:rsidR="00842CF2" w:rsidRPr="00C3213B" w:rsidRDefault="00842CF2" w:rsidP="00E6023A">
            <w:pPr>
              <w:jc w:val="center"/>
              <w:rPr>
                <w:rFonts w:ascii="Arial" w:hAnsi="Arial"/>
                <w:b/>
                <w:sz w:val="22"/>
                <w:szCs w:val="22"/>
              </w:rPr>
            </w:pPr>
            <w:r w:rsidRPr="00C3213B">
              <w:rPr>
                <w:rFonts w:ascii="Arial" w:hAnsi="Arial"/>
                <w:b/>
                <w:sz w:val="28"/>
                <w:u w:val="single"/>
              </w:rPr>
              <w:t>Medical/Vision – For ALL Employees</w:t>
            </w:r>
          </w:p>
        </w:tc>
      </w:tr>
      <w:tr w:rsidR="00842CF2" w:rsidRPr="00C3213B" w:rsidTr="00E6023A">
        <w:tc>
          <w:tcPr>
            <w:tcW w:w="3276" w:type="dxa"/>
            <w:shd w:val="clear" w:color="auto" w:fill="B3B3B3"/>
          </w:tcPr>
          <w:p w:rsidR="00842CF2" w:rsidRPr="00C3213B" w:rsidRDefault="00842CF2" w:rsidP="00E6023A">
            <w:pPr>
              <w:jc w:val="center"/>
              <w:rPr>
                <w:rFonts w:ascii="Arial" w:hAnsi="Arial"/>
                <w:b/>
                <w:sz w:val="22"/>
                <w:szCs w:val="22"/>
              </w:rPr>
            </w:pPr>
          </w:p>
          <w:p w:rsidR="00842CF2" w:rsidRPr="00C3213B" w:rsidRDefault="00842CF2" w:rsidP="00E6023A">
            <w:pPr>
              <w:jc w:val="center"/>
              <w:rPr>
                <w:rFonts w:ascii="Arial" w:hAnsi="Arial"/>
                <w:b/>
                <w:sz w:val="22"/>
                <w:szCs w:val="22"/>
              </w:rPr>
            </w:pPr>
            <w:r>
              <w:rPr>
                <w:rFonts w:ascii="Arial" w:hAnsi="Arial"/>
                <w:b/>
                <w:sz w:val="22"/>
                <w:szCs w:val="22"/>
              </w:rPr>
              <w:t>Level of Coverage</w:t>
            </w:r>
          </w:p>
          <w:p w:rsidR="00842CF2" w:rsidRPr="00C3213B" w:rsidRDefault="00842CF2" w:rsidP="00E6023A">
            <w:pPr>
              <w:jc w:val="center"/>
              <w:rPr>
                <w:rFonts w:ascii="Arial" w:hAnsi="Arial"/>
                <w:b/>
                <w:sz w:val="22"/>
                <w:szCs w:val="22"/>
              </w:rPr>
            </w:pPr>
          </w:p>
        </w:tc>
        <w:tc>
          <w:tcPr>
            <w:tcW w:w="3276" w:type="dxa"/>
            <w:shd w:val="clear" w:color="auto" w:fill="B3B3B3"/>
          </w:tcPr>
          <w:p w:rsidR="00842CF2" w:rsidRPr="00C3213B" w:rsidRDefault="00842CF2" w:rsidP="00E6023A">
            <w:pPr>
              <w:jc w:val="center"/>
              <w:rPr>
                <w:rFonts w:ascii="Arial" w:hAnsi="Arial"/>
                <w:b/>
                <w:sz w:val="22"/>
                <w:szCs w:val="22"/>
              </w:rPr>
            </w:pPr>
          </w:p>
          <w:p w:rsidR="00842CF2" w:rsidRPr="00C3213B" w:rsidRDefault="00842CF2" w:rsidP="00E6023A">
            <w:pPr>
              <w:jc w:val="center"/>
              <w:rPr>
                <w:rFonts w:ascii="Arial" w:hAnsi="Arial"/>
                <w:b/>
                <w:sz w:val="22"/>
                <w:szCs w:val="22"/>
              </w:rPr>
            </w:pPr>
            <w:r>
              <w:rPr>
                <w:rFonts w:ascii="Arial" w:hAnsi="Arial"/>
                <w:b/>
                <w:sz w:val="22"/>
                <w:szCs w:val="22"/>
              </w:rPr>
              <w:t>UnitedHealthcare PPO</w:t>
            </w:r>
          </w:p>
        </w:tc>
        <w:tc>
          <w:tcPr>
            <w:tcW w:w="3276" w:type="dxa"/>
            <w:shd w:val="clear" w:color="auto" w:fill="B3B3B3"/>
          </w:tcPr>
          <w:p w:rsidR="00842CF2" w:rsidRPr="00C3213B" w:rsidRDefault="00842CF2" w:rsidP="00E6023A">
            <w:pPr>
              <w:jc w:val="center"/>
              <w:rPr>
                <w:rFonts w:ascii="Arial" w:hAnsi="Arial"/>
                <w:b/>
                <w:sz w:val="22"/>
                <w:szCs w:val="22"/>
              </w:rPr>
            </w:pPr>
          </w:p>
          <w:p w:rsidR="00842CF2" w:rsidRPr="00C3213B" w:rsidRDefault="00842CF2" w:rsidP="00E6023A">
            <w:pPr>
              <w:jc w:val="center"/>
              <w:rPr>
                <w:rFonts w:ascii="Arial" w:hAnsi="Arial"/>
                <w:b/>
                <w:sz w:val="22"/>
                <w:szCs w:val="22"/>
              </w:rPr>
            </w:pPr>
            <w:r>
              <w:rPr>
                <w:rFonts w:ascii="Arial" w:hAnsi="Arial"/>
                <w:b/>
                <w:sz w:val="22"/>
                <w:szCs w:val="22"/>
              </w:rPr>
              <w:t>Group Health Options</w:t>
            </w:r>
          </w:p>
        </w:tc>
      </w:tr>
      <w:tr w:rsidR="00842CF2" w:rsidRPr="00C3213B" w:rsidTr="00E6023A">
        <w:trPr>
          <w:trHeight w:val="125"/>
        </w:trPr>
        <w:tc>
          <w:tcPr>
            <w:tcW w:w="3276" w:type="dxa"/>
          </w:tcPr>
          <w:p w:rsidR="00842CF2" w:rsidRPr="00C3213B" w:rsidRDefault="00842CF2" w:rsidP="00E6023A">
            <w:pPr>
              <w:rPr>
                <w:rFonts w:ascii="Arial" w:hAnsi="Arial"/>
                <w:sz w:val="22"/>
                <w:szCs w:val="22"/>
              </w:rPr>
            </w:pPr>
          </w:p>
          <w:p w:rsidR="00842CF2" w:rsidRPr="00C3213B" w:rsidRDefault="00842CF2" w:rsidP="00E6023A">
            <w:pPr>
              <w:rPr>
                <w:rFonts w:ascii="Arial" w:hAnsi="Arial"/>
                <w:sz w:val="22"/>
                <w:szCs w:val="22"/>
              </w:rPr>
            </w:pPr>
            <w:r w:rsidRPr="00C3213B">
              <w:rPr>
                <w:rFonts w:ascii="Arial" w:hAnsi="Arial"/>
                <w:sz w:val="22"/>
                <w:szCs w:val="22"/>
              </w:rPr>
              <w:t>Individual Only</w:t>
            </w:r>
          </w:p>
          <w:p w:rsidR="00842CF2" w:rsidRPr="00C3213B" w:rsidRDefault="00842CF2" w:rsidP="00E6023A">
            <w:pPr>
              <w:rPr>
                <w:rFonts w:ascii="Arial" w:hAnsi="Arial"/>
                <w:sz w:val="22"/>
                <w:szCs w:val="22"/>
              </w:rPr>
            </w:pPr>
          </w:p>
        </w:tc>
        <w:tc>
          <w:tcPr>
            <w:tcW w:w="3276" w:type="dxa"/>
            <w:vAlign w:val="center"/>
          </w:tcPr>
          <w:p w:rsidR="00842CF2" w:rsidRPr="00C3213B" w:rsidRDefault="00842CF2" w:rsidP="00C21BCD">
            <w:pPr>
              <w:jc w:val="center"/>
              <w:rPr>
                <w:rFonts w:ascii="Arial" w:hAnsi="Arial"/>
              </w:rPr>
            </w:pPr>
            <w:r w:rsidRPr="00C3213B">
              <w:rPr>
                <w:rFonts w:ascii="Arial" w:hAnsi="Arial"/>
              </w:rPr>
              <w:t>$</w:t>
            </w:r>
            <w:r w:rsidR="00C21BCD">
              <w:rPr>
                <w:rFonts w:ascii="Arial" w:hAnsi="Arial"/>
              </w:rPr>
              <w:t>1011.79</w:t>
            </w:r>
          </w:p>
        </w:tc>
        <w:tc>
          <w:tcPr>
            <w:tcW w:w="3276" w:type="dxa"/>
            <w:vAlign w:val="center"/>
          </w:tcPr>
          <w:p w:rsidR="00842CF2" w:rsidRPr="00C3213B" w:rsidRDefault="00842CF2" w:rsidP="00C21BCD">
            <w:pPr>
              <w:jc w:val="center"/>
              <w:rPr>
                <w:rFonts w:ascii="Arial" w:hAnsi="Arial"/>
              </w:rPr>
            </w:pPr>
            <w:r w:rsidRPr="00C3213B">
              <w:rPr>
                <w:rFonts w:ascii="Arial" w:hAnsi="Arial"/>
              </w:rPr>
              <w:t>$</w:t>
            </w:r>
            <w:r w:rsidR="00C21BCD">
              <w:rPr>
                <w:rFonts w:ascii="Arial" w:hAnsi="Arial"/>
              </w:rPr>
              <w:t>513.64</w:t>
            </w:r>
          </w:p>
        </w:tc>
      </w:tr>
      <w:tr w:rsidR="00842CF2" w:rsidRPr="00C3213B" w:rsidTr="00E6023A">
        <w:tc>
          <w:tcPr>
            <w:tcW w:w="3276" w:type="dxa"/>
          </w:tcPr>
          <w:p w:rsidR="00842CF2" w:rsidRPr="00C3213B" w:rsidRDefault="00842CF2" w:rsidP="00E6023A">
            <w:pPr>
              <w:rPr>
                <w:rFonts w:ascii="Arial" w:hAnsi="Arial"/>
                <w:sz w:val="22"/>
                <w:szCs w:val="22"/>
              </w:rPr>
            </w:pPr>
          </w:p>
          <w:p w:rsidR="00842CF2" w:rsidRPr="00C3213B" w:rsidRDefault="00842CF2" w:rsidP="00E6023A">
            <w:pPr>
              <w:rPr>
                <w:rFonts w:ascii="Arial" w:hAnsi="Arial"/>
                <w:sz w:val="22"/>
                <w:szCs w:val="22"/>
              </w:rPr>
            </w:pPr>
            <w:r w:rsidRPr="00C3213B">
              <w:rPr>
                <w:rFonts w:ascii="Arial" w:hAnsi="Arial"/>
                <w:sz w:val="22"/>
                <w:szCs w:val="22"/>
              </w:rPr>
              <w:t>Individual + 1</w:t>
            </w:r>
          </w:p>
          <w:p w:rsidR="00842CF2" w:rsidRPr="00C3213B" w:rsidRDefault="00842CF2" w:rsidP="00E6023A">
            <w:pPr>
              <w:rPr>
                <w:rFonts w:ascii="Arial" w:hAnsi="Arial"/>
                <w:sz w:val="22"/>
                <w:szCs w:val="22"/>
              </w:rPr>
            </w:pPr>
          </w:p>
        </w:tc>
        <w:tc>
          <w:tcPr>
            <w:tcW w:w="3276" w:type="dxa"/>
            <w:vAlign w:val="center"/>
          </w:tcPr>
          <w:p w:rsidR="00842CF2" w:rsidRPr="00C3213B" w:rsidRDefault="00842CF2" w:rsidP="00C21BCD">
            <w:pPr>
              <w:jc w:val="center"/>
              <w:rPr>
                <w:rFonts w:ascii="Arial" w:hAnsi="Arial"/>
              </w:rPr>
            </w:pPr>
            <w:r w:rsidRPr="00C3213B">
              <w:rPr>
                <w:rFonts w:ascii="Arial" w:hAnsi="Arial"/>
              </w:rPr>
              <w:t>$</w:t>
            </w:r>
            <w:r w:rsidR="00C21BCD">
              <w:rPr>
                <w:rFonts w:ascii="Arial" w:hAnsi="Arial"/>
              </w:rPr>
              <w:t>1976.05</w:t>
            </w:r>
          </w:p>
        </w:tc>
        <w:tc>
          <w:tcPr>
            <w:tcW w:w="3276" w:type="dxa"/>
            <w:vAlign w:val="center"/>
          </w:tcPr>
          <w:p w:rsidR="00842CF2" w:rsidRPr="00C3213B" w:rsidRDefault="00842CF2" w:rsidP="00C21BCD">
            <w:pPr>
              <w:jc w:val="center"/>
              <w:rPr>
                <w:rFonts w:ascii="Arial" w:hAnsi="Arial"/>
              </w:rPr>
            </w:pPr>
            <w:r w:rsidRPr="00C3213B">
              <w:rPr>
                <w:rFonts w:ascii="Arial" w:hAnsi="Arial"/>
              </w:rPr>
              <w:t>$</w:t>
            </w:r>
            <w:r w:rsidR="00C21BCD">
              <w:rPr>
                <w:rFonts w:ascii="Arial" w:hAnsi="Arial"/>
              </w:rPr>
              <w:t>939.94</w:t>
            </w:r>
          </w:p>
        </w:tc>
      </w:tr>
      <w:tr w:rsidR="00842CF2" w:rsidRPr="00C3213B" w:rsidTr="00E6023A">
        <w:tc>
          <w:tcPr>
            <w:tcW w:w="3276" w:type="dxa"/>
          </w:tcPr>
          <w:p w:rsidR="00842CF2" w:rsidRPr="00C3213B" w:rsidRDefault="00842CF2" w:rsidP="00E6023A">
            <w:pPr>
              <w:rPr>
                <w:rFonts w:ascii="Arial" w:hAnsi="Arial"/>
                <w:sz w:val="22"/>
                <w:szCs w:val="22"/>
              </w:rPr>
            </w:pPr>
          </w:p>
          <w:p w:rsidR="00842CF2" w:rsidRPr="00C3213B" w:rsidRDefault="00842CF2" w:rsidP="00E6023A">
            <w:pPr>
              <w:rPr>
                <w:rFonts w:ascii="Arial" w:hAnsi="Arial"/>
                <w:sz w:val="22"/>
                <w:szCs w:val="22"/>
              </w:rPr>
            </w:pPr>
            <w:r w:rsidRPr="00C3213B">
              <w:rPr>
                <w:rFonts w:ascii="Arial" w:hAnsi="Arial"/>
                <w:sz w:val="22"/>
                <w:szCs w:val="22"/>
              </w:rPr>
              <w:t>Individual + &gt; 1</w:t>
            </w:r>
          </w:p>
          <w:p w:rsidR="00842CF2" w:rsidRPr="00C3213B" w:rsidRDefault="00842CF2" w:rsidP="00E6023A">
            <w:pPr>
              <w:rPr>
                <w:rFonts w:ascii="Arial" w:hAnsi="Arial"/>
                <w:sz w:val="22"/>
                <w:szCs w:val="22"/>
              </w:rPr>
            </w:pPr>
          </w:p>
        </w:tc>
        <w:tc>
          <w:tcPr>
            <w:tcW w:w="3276" w:type="dxa"/>
            <w:vAlign w:val="center"/>
          </w:tcPr>
          <w:p w:rsidR="00842CF2" w:rsidRPr="00C3213B" w:rsidRDefault="00842CF2" w:rsidP="00C21BCD">
            <w:pPr>
              <w:jc w:val="center"/>
              <w:rPr>
                <w:rFonts w:ascii="Arial" w:hAnsi="Arial"/>
              </w:rPr>
            </w:pPr>
            <w:r w:rsidRPr="00C3213B">
              <w:rPr>
                <w:rFonts w:ascii="Arial" w:hAnsi="Arial"/>
              </w:rPr>
              <w:t>$</w:t>
            </w:r>
            <w:r w:rsidR="00C21BCD">
              <w:rPr>
                <w:rFonts w:ascii="Arial" w:hAnsi="Arial"/>
              </w:rPr>
              <w:t>2837.09</w:t>
            </w:r>
          </w:p>
        </w:tc>
        <w:tc>
          <w:tcPr>
            <w:tcW w:w="3276" w:type="dxa"/>
            <w:vAlign w:val="center"/>
          </w:tcPr>
          <w:p w:rsidR="00842CF2" w:rsidRPr="00C3213B" w:rsidRDefault="00842CF2" w:rsidP="00C21BCD">
            <w:pPr>
              <w:jc w:val="center"/>
              <w:rPr>
                <w:rFonts w:ascii="Arial" w:hAnsi="Arial"/>
              </w:rPr>
            </w:pPr>
            <w:r w:rsidRPr="00C3213B">
              <w:rPr>
                <w:rFonts w:ascii="Arial" w:hAnsi="Arial"/>
              </w:rPr>
              <w:t>$</w:t>
            </w:r>
            <w:r w:rsidR="00C21BCD">
              <w:rPr>
                <w:rFonts w:ascii="Arial" w:hAnsi="Arial"/>
              </w:rPr>
              <w:t>1576.85</w:t>
            </w:r>
          </w:p>
        </w:tc>
      </w:tr>
    </w:tbl>
    <w:p w:rsidR="00842CF2" w:rsidRDefault="00842CF2" w:rsidP="00842CF2"/>
    <w:p w:rsidR="00842CF2" w:rsidRDefault="00842CF2" w:rsidP="00842CF2"/>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310"/>
        <w:gridCol w:w="3280"/>
        <w:gridCol w:w="3280"/>
      </w:tblGrid>
      <w:tr w:rsidR="00842CF2" w:rsidRPr="00C3213B" w:rsidTr="00E6023A">
        <w:trPr>
          <w:trHeight w:val="312"/>
        </w:trPr>
        <w:tc>
          <w:tcPr>
            <w:tcW w:w="9870" w:type="dxa"/>
            <w:gridSpan w:val="3"/>
            <w:tcBorders>
              <w:bottom w:val="single" w:sz="4" w:space="0" w:color="auto"/>
            </w:tcBorders>
            <w:shd w:val="clear" w:color="auto" w:fill="000080"/>
          </w:tcPr>
          <w:p w:rsidR="00842CF2" w:rsidRPr="00C3213B" w:rsidRDefault="00F77437" w:rsidP="00F77437">
            <w:pPr>
              <w:jc w:val="center"/>
              <w:rPr>
                <w:rFonts w:ascii="Arial" w:hAnsi="Arial"/>
                <w:b/>
                <w:color w:val="FFFFFF"/>
                <w:sz w:val="28"/>
                <w:szCs w:val="28"/>
                <w:u w:val="single"/>
              </w:rPr>
            </w:pPr>
            <w:r>
              <w:rPr>
                <w:rFonts w:ascii="Arial" w:hAnsi="Arial"/>
                <w:b/>
                <w:color w:val="FFFFFF"/>
                <w:sz w:val="28"/>
                <w:szCs w:val="28"/>
                <w:u w:val="single"/>
              </w:rPr>
              <w:t>Dental – For ALL Employees</w:t>
            </w:r>
          </w:p>
        </w:tc>
      </w:tr>
      <w:tr w:rsidR="00842CF2" w:rsidRPr="00C3213B" w:rsidTr="00E6023A">
        <w:trPr>
          <w:trHeight w:val="743"/>
        </w:trPr>
        <w:tc>
          <w:tcPr>
            <w:tcW w:w="3310" w:type="dxa"/>
            <w:shd w:val="clear" w:color="auto" w:fill="C0C0C0"/>
          </w:tcPr>
          <w:p w:rsidR="00842CF2" w:rsidRPr="00C3213B" w:rsidRDefault="00842CF2" w:rsidP="00E6023A">
            <w:pPr>
              <w:jc w:val="center"/>
              <w:rPr>
                <w:rFonts w:ascii="Arial" w:hAnsi="Arial"/>
                <w:b/>
                <w:sz w:val="22"/>
                <w:szCs w:val="22"/>
              </w:rPr>
            </w:pPr>
          </w:p>
          <w:p w:rsidR="00842CF2" w:rsidRPr="00C3213B" w:rsidRDefault="00842CF2" w:rsidP="00E6023A">
            <w:pPr>
              <w:jc w:val="center"/>
              <w:rPr>
                <w:rFonts w:ascii="Arial" w:hAnsi="Arial"/>
                <w:b/>
                <w:sz w:val="22"/>
                <w:szCs w:val="22"/>
              </w:rPr>
            </w:pPr>
            <w:r>
              <w:rPr>
                <w:rFonts w:ascii="Arial" w:hAnsi="Arial"/>
                <w:b/>
                <w:sz w:val="22"/>
                <w:szCs w:val="22"/>
              </w:rPr>
              <w:t>Level of Coverage</w:t>
            </w:r>
          </w:p>
          <w:p w:rsidR="00842CF2" w:rsidRPr="00C3213B" w:rsidRDefault="00842CF2" w:rsidP="00E6023A">
            <w:pPr>
              <w:jc w:val="center"/>
              <w:rPr>
                <w:rFonts w:ascii="Arial" w:hAnsi="Arial"/>
                <w:b/>
                <w:sz w:val="22"/>
                <w:szCs w:val="22"/>
              </w:rPr>
            </w:pPr>
          </w:p>
        </w:tc>
        <w:tc>
          <w:tcPr>
            <w:tcW w:w="3280" w:type="dxa"/>
            <w:shd w:val="clear" w:color="auto" w:fill="C0C0C0"/>
          </w:tcPr>
          <w:p w:rsidR="00842CF2" w:rsidRPr="00C3213B" w:rsidRDefault="00842CF2" w:rsidP="00E6023A">
            <w:pPr>
              <w:jc w:val="center"/>
              <w:rPr>
                <w:rFonts w:ascii="Arial" w:hAnsi="Arial"/>
                <w:b/>
                <w:sz w:val="22"/>
                <w:szCs w:val="22"/>
              </w:rPr>
            </w:pPr>
          </w:p>
          <w:p w:rsidR="00842CF2" w:rsidRPr="00C3213B" w:rsidRDefault="00842CF2" w:rsidP="00E6023A">
            <w:pPr>
              <w:jc w:val="center"/>
              <w:rPr>
                <w:rFonts w:ascii="Arial" w:hAnsi="Arial"/>
                <w:b/>
                <w:sz w:val="22"/>
                <w:szCs w:val="22"/>
              </w:rPr>
            </w:pPr>
            <w:r>
              <w:rPr>
                <w:rFonts w:ascii="Arial" w:hAnsi="Arial"/>
                <w:b/>
                <w:sz w:val="22"/>
                <w:szCs w:val="22"/>
              </w:rPr>
              <w:t xml:space="preserve">Delta </w:t>
            </w:r>
            <w:r w:rsidRPr="00C3213B">
              <w:rPr>
                <w:rFonts w:ascii="Arial" w:hAnsi="Arial"/>
                <w:b/>
                <w:sz w:val="22"/>
                <w:szCs w:val="22"/>
              </w:rPr>
              <w:t>Dental</w:t>
            </w:r>
          </w:p>
          <w:p w:rsidR="00842CF2" w:rsidRDefault="00842CF2" w:rsidP="00E6023A">
            <w:pPr>
              <w:jc w:val="center"/>
              <w:rPr>
                <w:rFonts w:ascii="Arial" w:hAnsi="Arial"/>
                <w:b/>
                <w:sz w:val="22"/>
                <w:szCs w:val="22"/>
              </w:rPr>
            </w:pPr>
            <w:r w:rsidRPr="00C3213B">
              <w:rPr>
                <w:rFonts w:ascii="Arial" w:hAnsi="Arial"/>
                <w:b/>
                <w:sz w:val="22"/>
                <w:szCs w:val="22"/>
              </w:rPr>
              <w:t>(Buy-up Plan)</w:t>
            </w:r>
          </w:p>
          <w:p w:rsidR="00842CF2" w:rsidRPr="00C3213B" w:rsidRDefault="00842CF2" w:rsidP="00E6023A">
            <w:pPr>
              <w:jc w:val="center"/>
              <w:rPr>
                <w:rFonts w:ascii="Arial" w:hAnsi="Arial"/>
                <w:b/>
                <w:sz w:val="22"/>
                <w:szCs w:val="22"/>
              </w:rPr>
            </w:pPr>
          </w:p>
        </w:tc>
        <w:tc>
          <w:tcPr>
            <w:tcW w:w="3280" w:type="dxa"/>
            <w:shd w:val="clear" w:color="auto" w:fill="C0C0C0"/>
          </w:tcPr>
          <w:p w:rsidR="00842CF2" w:rsidRPr="00C3213B" w:rsidRDefault="00842CF2" w:rsidP="00E6023A">
            <w:pPr>
              <w:jc w:val="center"/>
              <w:rPr>
                <w:rFonts w:ascii="Arial" w:hAnsi="Arial"/>
                <w:b/>
                <w:sz w:val="22"/>
                <w:szCs w:val="22"/>
              </w:rPr>
            </w:pPr>
          </w:p>
          <w:p w:rsidR="00842CF2" w:rsidRPr="00C3213B" w:rsidRDefault="00842CF2" w:rsidP="00E6023A">
            <w:pPr>
              <w:jc w:val="center"/>
              <w:rPr>
                <w:rFonts w:ascii="Arial" w:hAnsi="Arial"/>
                <w:b/>
                <w:sz w:val="22"/>
                <w:szCs w:val="22"/>
              </w:rPr>
            </w:pPr>
            <w:smartTag w:uri="urn:schemas-microsoft-com:office:smarttags" w:element="place">
              <w:r w:rsidRPr="00C3213B">
                <w:rPr>
                  <w:rFonts w:ascii="Arial" w:hAnsi="Arial"/>
                  <w:b/>
                  <w:sz w:val="22"/>
                  <w:szCs w:val="22"/>
                </w:rPr>
                <w:t>Willamette</w:t>
              </w:r>
            </w:smartTag>
            <w:r w:rsidRPr="00C3213B">
              <w:rPr>
                <w:rFonts w:ascii="Arial" w:hAnsi="Arial"/>
                <w:b/>
                <w:sz w:val="22"/>
                <w:szCs w:val="22"/>
              </w:rPr>
              <w:t xml:space="preserve"> Dental</w:t>
            </w:r>
          </w:p>
        </w:tc>
      </w:tr>
      <w:tr w:rsidR="00842CF2" w:rsidRPr="00C3213B" w:rsidTr="00E6023A">
        <w:trPr>
          <w:trHeight w:val="743"/>
        </w:trPr>
        <w:tc>
          <w:tcPr>
            <w:tcW w:w="3310" w:type="dxa"/>
            <w:shd w:val="clear" w:color="auto" w:fill="FFFFFF"/>
          </w:tcPr>
          <w:p w:rsidR="00842CF2" w:rsidRPr="00C3213B" w:rsidRDefault="00842CF2" w:rsidP="00E6023A">
            <w:pPr>
              <w:rPr>
                <w:rFonts w:ascii="Arial" w:hAnsi="Arial"/>
                <w:sz w:val="22"/>
                <w:szCs w:val="22"/>
              </w:rPr>
            </w:pPr>
          </w:p>
          <w:p w:rsidR="00842CF2" w:rsidRPr="00C3213B" w:rsidRDefault="00842CF2" w:rsidP="00E6023A">
            <w:pPr>
              <w:rPr>
                <w:rFonts w:ascii="Arial" w:hAnsi="Arial"/>
                <w:sz w:val="22"/>
                <w:szCs w:val="22"/>
              </w:rPr>
            </w:pPr>
            <w:r w:rsidRPr="00C3213B">
              <w:rPr>
                <w:rFonts w:ascii="Arial" w:hAnsi="Arial"/>
                <w:sz w:val="22"/>
                <w:szCs w:val="22"/>
              </w:rPr>
              <w:t>Individual Only</w:t>
            </w:r>
          </w:p>
          <w:p w:rsidR="00842CF2" w:rsidRPr="00C3213B" w:rsidRDefault="00842CF2" w:rsidP="00E6023A">
            <w:pPr>
              <w:rPr>
                <w:rFonts w:ascii="Arial" w:hAnsi="Arial"/>
                <w:sz w:val="22"/>
                <w:szCs w:val="22"/>
              </w:rPr>
            </w:pPr>
          </w:p>
        </w:tc>
        <w:tc>
          <w:tcPr>
            <w:tcW w:w="3280" w:type="dxa"/>
            <w:shd w:val="clear" w:color="auto" w:fill="FFFFFF"/>
          </w:tcPr>
          <w:p w:rsidR="00842CF2" w:rsidRPr="00C3213B" w:rsidRDefault="00842CF2" w:rsidP="00E6023A">
            <w:pPr>
              <w:jc w:val="center"/>
              <w:rPr>
                <w:rFonts w:ascii="Arial" w:hAnsi="Arial"/>
              </w:rPr>
            </w:pPr>
          </w:p>
          <w:p w:rsidR="00842CF2" w:rsidRPr="00C3213B" w:rsidRDefault="00842CF2" w:rsidP="00E6023A">
            <w:pPr>
              <w:jc w:val="center"/>
              <w:rPr>
                <w:rFonts w:ascii="Arial" w:hAnsi="Arial"/>
              </w:rPr>
            </w:pPr>
            <w:r w:rsidRPr="00C3213B">
              <w:rPr>
                <w:rFonts w:ascii="Arial" w:hAnsi="Arial"/>
              </w:rPr>
              <w:t xml:space="preserve">$ </w:t>
            </w:r>
            <w:r>
              <w:rPr>
                <w:rFonts w:ascii="Arial" w:hAnsi="Arial"/>
              </w:rPr>
              <w:t>42.97</w:t>
            </w:r>
          </w:p>
        </w:tc>
        <w:tc>
          <w:tcPr>
            <w:tcW w:w="3280" w:type="dxa"/>
            <w:shd w:val="clear" w:color="auto" w:fill="FFFFFF"/>
            <w:vAlign w:val="center"/>
          </w:tcPr>
          <w:p w:rsidR="00842CF2" w:rsidRPr="00C3213B" w:rsidRDefault="00842CF2" w:rsidP="00F77437">
            <w:pPr>
              <w:jc w:val="center"/>
              <w:rPr>
                <w:rFonts w:ascii="Arial" w:hAnsi="Arial"/>
              </w:rPr>
            </w:pPr>
            <w:r w:rsidRPr="00C3213B">
              <w:rPr>
                <w:rFonts w:ascii="Arial" w:hAnsi="Arial"/>
              </w:rPr>
              <w:t>$</w:t>
            </w:r>
            <w:r>
              <w:rPr>
                <w:rFonts w:ascii="Arial" w:hAnsi="Arial"/>
              </w:rPr>
              <w:t xml:space="preserve"> 3</w:t>
            </w:r>
            <w:r w:rsidR="00F77437">
              <w:rPr>
                <w:rFonts w:ascii="Arial" w:hAnsi="Arial"/>
              </w:rPr>
              <w:t>7.92</w:t>
            </w:r>
          </w:p>
        </w:tc>
      </w:tr>
      <w:tr w:rsidR="00842CF2" w:rsidRPr="00C3213B" w:rsidTr="00E6023A">
        <w:trPr>
          <w:trHeight w:val="743"/>
        </w:trPr>
        <w:tc>
          <w:tcPr>
            <w:tcW w:w="3310" w:type="dxa"/>
            <w:shd w:val="clear" w:color="auto" w:fill="FFFFFF"/>
          </w:tcPr>
          <w:p w:rsidR="00842CF2" w:rsidRPr="00C3213B" w:rsidRDefault="00842CF2" w:rsidP="00E6023A">
            <w:pPr>
              <w:rPr>
                <w:rFonts w:ascii="Arial" w:hAnsi="Arial"/>
                <w:sz w:val="22"/>
                <w:szCs w:val="22"/>
              </w:rPr>
            </w:pPr>
          </w:p>
          <w:p w:rsidR="00842CF2" w:rsidRPr="00C3213B" w:rsidRDefault="00842CF2" w:rsidP="00E6023A">
            <w:pPr>
              <w:rPr>
                <w:rFonts w:ascii="Arial" w:hAnsi="Arial"/>
                <w:sz w:val="22"/>
                <w:szCs w:val="22"/>
              </w:rPr>
            </w:pPr>
            <w:r w:rsidRPr="00C3213B">
              <w:rPr>
                <w:rFonts w:ascii="Arial" w:hAnsi="Arial"/>
                <w:sz w:val="22"/>
                <w:szCs w:val="22"/>
              </w:rPr>
              <w:t>Individual + 1</w:t>
            </w:r>
          </w:p>
          <w:p w:rsidR="00842CF2" w:rsidRPr="00C3213B" w:rsidRDefault="00842CF2" w:rsidP="00E6023A">
            <w:pPr>
              <w:rPr>
                <w:rFonts w:ascii="Arial" w:hAnsi="Arial"/>
                <w:sz w:val="22"/>
                <w:szCs w:val="22"/>
              </w:rPr>
            </w:pPr>
          </w:p>
        </w:tc>
        <w:tc>
          <w:tcPr>
            <w:tcW w:w="3280" w:type="dxa"/>
            <w:shd w:val="clear" w:color="auto" w:fill="FFFFFF"/>
          </w:tcPr>
          <w:p w:rsidR="00842CF2" w:rsidRPr="00C3213B" w:rsidRDefault="00842CF2" w:rsidP="00E6023A">
            <w:pPr>
              <w:jc w:val="center"/>
              <w:rPr>
                <w:rFonts w:ascii="Arial" w:hAnsi="Arial"/>
              </w:rPr>
            </w:pPr>
          </w:p>
          <w:p w:rsidR="00842CF2" w:rsidRPr="00C3213B" w:rsidRDefault="00842CF2" w:rsidP="00E6023A">
            <w:pPr>
              <w:jc w:val="center"/>
              <w:rPr>
                <w:rFonts w:ascii="Arial" w:hAnsi="Arial"/>
              </w:rPr>
            </w:pPr>
            <w:r w:rsidRPr="00C3213B">
              <w:rPr>
                <w:rFonts w:ascii="Arial" w:hAnsi="Arial"/>
              </w:rPr>
              <w:t xml:space="preserve">$ </w:t>
            </w:r>
            <w:r>
              <w:rPr>
                <w:rFonts w:ascii="Arial" w:hAnsi="Arial"/>
              </w:rPr>
              <w:t>77.67</w:t>
            </w:r>
          </w:p>
        </w:tc>
        <w:tc>
          <w:tcPr>
            <w:tcW w:w="3280" w:type="dxa"/>
            <w:shd w:val="clear" w:color="auto" w:fill="FFFFFF"/>
            <w:vAlign w:val="center"/>
          </w:tcPr>
          <w:p w:rsidR="00842CF2" w:rsidRPr="00C3213B" w:rsidRDefault="00842CF2" w:rsidP="00F77437">
            <w:pPr>
              <w:jc w:val="center"/>
              <w:rPr>
                <w:rFonts w:ascii="Arial" w:hAnsi="Arial"/>
              </w:rPr>
            </w:pPr>
            <w:r w:rsidRPr="00C3213B">
              <w:rPr>
                <w:rFonts w:ascii="Arial" w:hAnsi="Arial"/>
              </w:rPr>
              <w:t>$</w:t>
            </w:r>
            <w:r>
              <w:rPr>
                <w:rFonts w:ascii="Arial" w:hAnsi="Arial"/>
              </w:rPr>
              <w:t xml:space="preserve"> </w:t>
            </w:r>
            <w:r w:rsidR="00F77437">
              <w:rPr>
                <w:rFonts w:ascii="Arial" w:hAnsi="Arial"/>
              </w:rPr>
              <w:t>75.99</w:t>
            </w:r>
          </w:p>
        </w:tc>
      </w:tr>
      <w:tr w:rsidR="00842CF2" w:rsidRPr="00C3213B" w:rsidTr="00E6023A">
        <w:trPr>
          <w:trHeight w:val="758"/>
        </w:trPr>
        <w:tc>
          <w:tcPr>
            <w:tcW w:w="3310" w:type="dxa"/>
            <w:shd w:val="clear" w:color="auto" w:fill="FFFFFF"/>
          </w:tcPr>
          <w:p w:rsidR="00842CF2" w:rsidRPr="00C3213B" w:rsidRDefault="00842CF2" w:rsidP="00E6023A">
            <w:pPr>
              <w:rPr>
                <w:rFonts w:ascii="Arial" w:hAnsi="Arial"/>
                <w:sz w:val="22"/>
                <w:szCs w:val="22"/>
              </w:rPr>
            </w:pPr>
          </w:p>
          <w:p w:rsidR="00842CF2" w:rsidRPr="00C3213B" w:rsidRDefault="00842CF2" w:rsidP="00E6023A">
            <w:pPr>
              <w:rPr>
                <w:rFonts w:ascii="Arial" w:hAnsi="Arial"/>
                <w:sz w:val="22"/>
                <w:szCs w:val="22"/>
              </w:rPr>
            </w:pPr>
            <w:r w:rsidRPr="00C3213B">
              <w:rPr>
                <w:rFonts w:ascii="Arial" w:hAnsi="Arial"/>
                <w:sz w:val="22"/>
                <w:szCs w:val="22"/>
              </w:rPr>
              <w:t>Individual + &gt; 1</w:t>
            </w:r>
          </w:p>
          <w:p w:rsidR="00842CF2" w:rsidRPr="00C3213B" w:rsidRDefault="00842CF2" w:rsidP="00E6023A">
            <w:pPr>
              <w:rPr>
                <w:rFonts w:ascii="Arial" w:hAnsi="Arial"/>
                <w:sz w:val="22"/>
                <w:szCs w:val="22"/>
              </w:rPr>
            </w:pPr>
          </w:p>
        </w:tc>
        <w:tc>
          <w:tcPr>
            <w:tcW w:w="3280" w:type="dxa"/>
            <w:shd w:val="clear" w:color="auto" w:fill="FFFFFF"/>
          </w:tcPr>
          <w:p w:rsidR="00842CF2" w:rsidRPr="00C3213B" w:rsidRDefault="00842CF2" w:rsidP="00E6023A">
            <w:pPr>
              <w:jc w:val="center"/>
              <w:rPr>
                <w:rFonts w:ascii="Arial" w:hAnsi="Arial"/>
              </w:rPr>
            </w:pPr>
          </w:p>
          <w:p w:rsidR="00842CF2" w:rsidRPr="00C3213B" w:rsidRDefault="00842CF2" w:rsidP="00E6023A">
            <w:pPr>
              <w:jc w:val="center"/>
              <w:rPr>
                <w:rFonts w:ascii="Arial" w:hAnsi="Arial"/>
              </w:rPr>
            </w:pPr>
            <w:r>
              <w:rPr>
                <w:rFonts w:ascii="Arial" w:hAnsi="Arial"/>
              </w:rPr>
              <w:t>$114.94</w:t>
            </w:r>
          </w:p>
        </w:tc>
        <w:tc>
          <w:tcPr>
            <w:tcW w:w="3280" w:type="dxa"/>
            <w:shd w:val="clear" w:color="auto" w:fill="FFFFFF"/>
            <w:vAlign w:val="center"/>
          </w:tcPr>
          <w:p w:rsidR="00842CF2" w:rsidRPr="00C3213B" w:rsidRDefault="00842CF2" w:rsidP="00F77437">
            <w:pPr>
              <w:jc w:val="center"/>
              <w:rPr>
                <w:rFonts w:ascii="Arial" w:hAnsi="Arial"/>
              </w:rPr>
            </w:pPr>
            <w:r>
              <w:rPr>
                <w:rFonts w:ascii="Arial" w:hAnsi="Arial"/>
              </w:rPr>
              <w:t>$14</w:t>
            </w:r>
            <w:r w:rsidR="00F77437">
              <w:rPr>
                <w:rFonts w:ascii="Arial" w:hAnsi="Arial"/>
              </w:rPr>
              <w:t>2.36</w:t>
            </w:r>
          </w:p>
        </w:tc>
      </w:tr>
    </w:tbl>
    <w:p w:rsidR="00842CF2" w:rsidRDefault="00842CF2" w:rsidP="00842CF2"/>
    <w:p w:rsidR="00842CF2" w:rsidRDefault="00842CF2" w:rsidP="00842CF2"/>
    <w:p w:rsidR="00842CF2" w:rsidRDefault="00842CF2" w:rsidP="00422514"/>
    <w:p w:rsidR="00842CF2" w:rsidRDefault="00842CF2" w:rsidP="00422514"/>
    <w:sectPr w:rsidR="00842CF2" w:rsidSect="008576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B1" w:rsidRDefault="002C1FB1" w:rsidP="002C1FB1">
      <w:r>
        <w:separator/>
      </w:r>
    </w:p>
  </w:endnote>
  <w:endnote w:type="continuationSeparator" w:id="0">
    <w:p w:rsidR="002C1FB1" w:rsidRDefault="002C1FB1" w:rsidP="002C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A3" w:rsidRDefault="00EC0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769"/>
      <w:docPartObj>
        <w:docPartGallery w:val="Page Numbers (Bottom of Page)"/>
        <w:docPartUnique/>
      </w:docPartObj>
    </w:sdtPr>
    <w:sdtEndPr/>
    <w:sdtContent>
      <w:p w:rsidR="00D165E9" w:rsidRDefault="004A46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165E9" w:rsidRDefault="00D165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A3" w:rsidRDefault="00EC0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B1" w:rsidRDefault="002C1FB1" w:rsidP="002C1FB1">
      <w:r>
        <w:separator/>
      </w:r>
    </w:p>
  </w:footnote>
  <w:footnote w:type="continuationSeparator" w:id="0">
    <w:p w:rsidR="002C1FB1" w:rsidRDefault="002C1FB1" w:rsidP="002C1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A3" w:rsidRDefault="00EC0A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B1" w:rsidRDefault="002C1FB1">
    <w:pPr>
      <w:pStyle w:val="Header"/>
    </w:pPr>
    <w:r w:rsidRPr="002C1FB1">
      <w:rPr>
        <w:noProof/>
        <w:szCs w:val="22"/>
      </w:rPr>
      <w:drawing>
        <wp:inline distT="0" distB="0" distL="0" distR="0">
          <wp:extent cx="1840410" cy="514350"/>
          <wp:effectExtent l="19050" t="0" r="0" b="0"/>
          <wp:docPr id="3" name="Picture 1" descr="Hanford Site Savings Pl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ford Site Savings Plans Logo"/>
                  <pic:cNvPicPr>
                    <a:picLocks noChangeAspect="1" noChangeArrowheads="1"/>
                  </pic:cNvPicPr>
                </pic:nvPicPr>
                <pic:blipFill>
                  <a:blip r:embed="rId1" cstate="print"/>
                  <a:srcRect/>
                  <a:stretch>
                    <a:fillRect/>
                  </a:stretch>
                </pic:blipFill>
                <pic:spPr bwMode="auto">
                  <a:xfrm>
                    <a:off x="0" y="0"/>
                    <a:ext cx="1840832" cy="514468"/>
                  </a:xfrm>
                  <a:prstGeom prst="rect">
                    <a:avLst/>
                  </a:prstGeom>
                  <a:noFill/>
                  <a:ln w="9525">
                    <a:noFill/>
                    <a:miter lim="800000"/>
                    <a:headEnd/>
                    <a:tailEnd/>
                  </a:ln>
                </pic:spPr>
              </pic:pic>
            </a:graphicData>
          </a:graphic>
        </wp:inline>
      </w:drawing>
    </w:r>
    <w:r w:rsidR="00EC0AA3">
      <w:t xml:space="preserve">    </w:t>
    </w:r>
    <w:r>
      <w:ptab w:relativeTo="margin" w:alignment="center" w:leader="none"/>
    </w:r>
    <w:r w:rsidRPr="002C1FB1">
      <w:rPr>
        <w:noProof/>
      </w:rPr>
      <w:drawing>
        <wp:inline distT="0" distB="0" distL="0" distR="0">
          <wp:extent cx="2171700" cy="381000"/>
          <wp:effectExtent l="19050" t="0" r="0" b="0"/>
          <wp:docPr id="5" name="Picture 1" descr="HEW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WT Logo"/>
                  <pic:cNvPicPr>
                    <a:picLocks noChangeAspect="1" noChangeArrowheads="1"/>
                  </pic:cNvPicPr>
                </pic:nvPicPr>
                <pic:blipFill>
                  <a:blip r:embed="rId2" cstate="print"/>
                  <a:srcRect/>
                  <a:stretch>
                    <a:fillRect/>
                  </a:stretch>
                </pic:blipFill>
                <pic:spPr bwMode="auto">
                  <a:xfrm>
                    <a:off x="0" y="0"/>
                    <a:ext cx="2207832" cy="387339"/>
                  </a:xfrm>
                  <a:prstGeom prst="rect">
                    <a:avLst/>
                  </a:prstGeom>
                  <a:noFill/>
                  <a:ln w="9525">
                    <a:noFill/>
                    <a:miter lim="800000"/>
                    <a:headEnd/>
                    <a:tailEnd/>
                  </a:ln>
                </pic:spPr>
              </pic:pic>
            </a:graphicData>
          </a:graphic>
        </wp:inline>
      </w:drawing>
    </w:r>
    <w:r>
      <w:ptab w:relativeTo="margin" w:alignment="right" w:leader="none"/>
    </w:r>
    <w:r w:rsidRPr="002C1FB1">
      <w:rPr>
        <w:noProof/>
      </w:rPr>
      <w:drawing>
        <wp:inline distT="0" distB="0" distL="0" distR="0">
          <wp:extent cx="1162050" cy="514349"/>
          <wp:effectExtent l="19050" t="0" r="0" b="0"/>
          <wp:docPr id="4" name="Picture 4" descr="smaller p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er pension logo"/>
                  <pic:cNvPicPr>
                    <a:picLocks noChangeAspect="1" noChangeArrowheads="1"/>
                  </pic:cNvPicPr>
                </pic:nvPicPr>
                <pic:blipFill>
                  <a:blip r:embed="rId3" cstate="print"/>
                  <a:srcRect/>
                  <a:stretch>
                    <a:fillRect/>
                  </a:stretch>
                </pic:blipFill>
                <pic:spPr bwMode="auto">
                  <a:xfrm>
                    <a:off x="0" y="0"/>
                    <a:ext cx="1166614" cy="516369"/>
                  </a:xfrm>
                  <a:prstGeom prst="rect">
                    <a:avLst/>
                  </a:prstGeom>
                  <a:noFill/>
                  <a:ln w="9525">
                    <a:noFill/>
                    <a:miter lim="800000"/>
                    <a:headEnd/>
                    <a:tailEnd/>
                  </a:ln>
                </pic:spPr>
              </pic:pic>
            </a:graphicData>
          </a:graphic>
        </wp:inline>
      </w:drawing>
    </w:r>
  </w:p>
  <w:p w:rsidR="00842CF2" w:rsidRPr="00D165E9" w:rsidRDefault="00842CF2">
    <w:pPr>
      <w:pStyle w:val="Header"/>
      <w:rPr>
        <w:b/>
        <w:sz w:val="32"/>
        <w:vertAlign w:val="superscript"/>
      </w:rPr>
    </w:pPr>
    <w:r w:rsidRPr="00D165E9">
      <w:rPr>
        <w:b/>
        <w:sz w:val="32"/>
        <w:vertAlign w:val="superscript"/>
      </w:rPr>
      <w:t>_____________________________________________________________</w:t>
    </w:r>
    <w:r w:rsidR="00D165E9">
      <w:rPr>
        <w:b/>
        <w:sz w:val="32"/>
        <w:vertAlign w:val="superscript"/>
      </w:rPr>
      <w:t>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A3" w:rsidRDefault="00EC0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77B"/>
    <w:multiLevelType w:val="hybridMultilevel"/>
    <w:tmpl w:val="2F46E5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7F08A9"/>
    <w:multiLevelType w:val="hybridMultilevel"/>
    <w:tmpl w:val="D9CE444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611E8A"/>
    <w:multiLevelType w:val="hybridMultilevel"/>
    <w:tmpl w:val="7D465C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1FB1"/>
    <w:rsid w:val="00050CDA"/>
    <w:rsid w:val="00113171"/>
    <w:rsid w:val="00177AFF"/>
    <w:rsid w:val="00222B31"/>
    <w:rsid w:val="00283CF5"/>
    <w:rsid w:val="00292DF4"/>
    <w:rsid w:val="002C1FB1"/>
    <w:rsid w:val="002F7466"/>
    <w:rsid w:val="003753A6"/>
    <w:rsid w:val="00377F45"/>
    <w:rsid w:val="00391A75"/>
    <w:rsid w:val="003C3A63"/>
    <w:rsid w:val="003D7D62"/>
    <w:rsid w:val="00422514"/>
    <w:rsid w:val="004A20A9"/>
    <w:rsid w:val="004A46C4"/>
    <w:rsid w:val="004E6761"/>
    <w:rsid w:val="00512F63"/>
    <w:rsid w:val="00513FE0"/>
    <w:rsid w:val="005161C1"/>
    <w:rsid w:val="00547754"/>
    <w:rsid w:val="006408DD"/>
    <w:rsid w:val="0065786B"/>
    <w:rsid w:val="006677C9"/>
    <w:rsid w:val="006B72A2"/>
    <w:rsid w:val="006C7782"/>
    <w:rsid w:val="006D4CEA"/>
    <w:rsid w:val="00760F77"/>
    <w:rsid w:val="00786E40"/>
    <w:rsid w:val="008052A6"/>
    <w:rsid w:val="008113C8"/>
    <w:rsid w:val="00842CF2"/>
    <w:rsid w:val="0085767B"/>
    <w:rsid w:val="00892B64"/>
    <w:rsid w:val="008A0AA8"/>
    <w:rsid w:val="008D518B"/>
    <w:rsid w:val="008E1225"/>
    <w:rsid w:val="008F1E7A"/>
    <w:rsid w:val="00983C00"/>
    <w:rsid w:val="009C6972"/>
    <w:rsid w:val="009F1DDF"/>
    <w:rsid w:val="009F74D4"/>
    <w:rsid w:val="00A121B0"/>
    <w:rsid w:val="00A44DC0"/>
    <w:rsid w:val="00AA7171"/>
    <w:rsid w:val="00AB2B85"/>
    <w:rsid w:val="00B05722"/>
    <w:rsid w:val="00B54469"/>
    <w:rsid w:val="00B54CD3"/>
    <w:rsid w:val="00B7770E"/>
    <w:rsid w:val="00C21BCD"/>
    <w:rsid w:val="00C304B5"/>
    <w:rsid w:val="00C447E4"/>
    <w:rsid w:val="00CE762F"/>
    <w:rsid w:val="00D132B5"/>
    <w:rsid w:val="00D165E9"/>
    <w:rsid w:val="00D53442"/>
    <w:rsid w:val="00D96FC8"/>
    <w:rsid w:val="00DB0AAC"/>
    <w:rsid w:val="00DD50B0"/>
    <w:rsid w:val="00E047D9"/>
    <w:rsid w:val="00E84527"/>
    <w:rsid w:val="00EA4F6D"/>
    <w:rsid w:val="00EB03F2"/>
    <w:rsid w:val="00EC0AA3"/>
    <w:rsid w:val="00ED2C50"/>
    <w:rsid w:val="00F77437"/>
    <w:rsid w:val="00F80771"/>
    <w:rsid w:val="00FC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B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C1FB1"/>
    <w:pPr>
      <w:keepNext/>
      <w:outlineLvl w:val="0"/>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FB1"/>
    <w:pPr>
      <w:tabs>
        <w:tab w:val="center" w:pos="4680"/>
        <w:tab w:val="right" w:pos="9360"/>
      </w:tabs>
    </w:pPr>
  </w:style>
  <w:style w:type="character" w:customStyle="1" w:styleId="HeaderChar">
    <w:name w:val="Header Char"/>
    <w:basedOn w:val="DefaultParagraphFont"/>
    <w:link w:val="Header"/>
    <w:uiPriority w:val="99"/>
    <w:rsid w:val="002C1FB1"/>
  </w:style>
  <w:style w:type="paragraph" w:styleId="Footer">
    <w:name w:val="footer"/>
    <w:basedOn w:val="Normal"/>
    <w:link w:val="FooterChar"/>
    <w:uiPriority w:val="99"/>
    <w:unhideWhenUsed/>
    <w:rsid w:val="002C1FB1"/>
    <w:pPr>
      <w:tabs>
        <w:tab w:val="center" w:pos="4680"/>
        <w:tab w:val="right" w:pos="9360"/>
      </w:tabs>
    </w:pPr>
  </w:style>
  <w:style w:type="character" w:customStyle="1" w:styleId="FooterChar">
    <w:name w:val="Footer Char"/>
    <w:basedOn w:val="DefaultParagraphFont"/>
    <w:link w:val="Footer"/>
    <w:uiPriority w:val="99"/>
    <w:rsid w:val="002C1FB1"/>
  </w:style>
  <w:style w:type="paragraph" w:styleId="BalloonText">
    <w:name w:val="Balloon Text"/>
    <w:basedOn w:val="Normal"/>
    <w:link w:val="BalloonTextChar"/>
    <w:uiPriority w:val="99"/>
    <w:semiHidden/>
    <w:unhideWhenUsed/>
    <w:rsid w:val="002C1FB1"/>
    <w:rPr>
      <w:rFonts w:ascii="Tahoma" w:hAnsi="Tahoma" w:cs="Tahoma"/>
      <w:sz w:val="16"/>
      <w:szCs w:val="16"/>
    </w:rPr>
  </w:style>
  <w:style w:type="character" w:customStyle="1" w:styleId="BalloonTextChar">
    <w:name w:val="Balloon Text Char"/>
    <w:basedOn w:val="DefaultParagraphFont"/>
    <w:link w:val="BalloonText"/>
    <w:uiPriority w:val="99"/>
    <w:semiHidden/>
    <w:rsid w:val="002C1FB1"/>
    <w:rPr>
      <w:rFonts w:ascii="Tahoma" w:hAnsi="Tahoma" w:cs="Tahoma"/>
      <w:sz w:val="16"/>
      <w:szCs w:val="16"/>
    </w:rPr>
  </w:style>
  <w:style w:type="character" w:customStyle="1" w:styleId="Heading1Char">
    <w:name w:val="Heading 1 Char"/>
    <w:basedOn w:val="DefaultParagraphFont"/>
    <w:link w:val="Heading1"/>
    <w:rsid w:val="002C1FB1"/>
    <w:rPr>
      <w:rFonts w:ascii="Times New Roman" w:eastAsia="Times New Roman" w:hAnsi="Times New Roman" w:cs="Times New Roman"/>
      <w:b/>
      <w:bCs/>
      <w:color w:val="000000"/>
      <w:sz w:val="24"/>
      <w:szCs w:val="20"/>
    </w:rPr>
  </w:style>
  <w:style w:type="paragraph" w:styleId="BodyText">
    <w:name w:val="Body Text"/>
    <w:basedOn w:val="Normal"/>
    <w:link w:val="BodyTextChar"/>
    <w:rsid w:val="002C1FB1"/>
    <w:rPr>
      <w:sz w:val="18"/>
    </w:rPr>
  </w:style>
  <w:style w:type="character" w:customStyle="1" w:styleId="BodyTextChar">
    <w:name w:val="Body Text Char"/>
    <w:basedOn w:val="DefaultParagraphFont"/>
    <w:link w:val="BodyText"/>
    <w:rsid w:val="002C1FB1"/>
    <w:rPr>
      <w:rFonts w:ascii="Times New Roman" w:eastAsia="Times New Roman" w:hAnsi="Times New Roman" w:cs="Times New Roman"/>
      <w:sz w:val="18"/>
      <w:szCs w:val="20"/>
    </w:rPr>
  </w:style>
  <w:style w:type="character" w:styleId="Hyperlink">
    <w:name w:val="Hyperlink"/>
    <w:basedOn w:val="DefaultParagraphFont"/>
    <w:rsid w:val="002C1F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enefits-HEWT@rl.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DD0E-ACA7-49DE-9C98-CEE81AA3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10648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Hanford (MSP ver 2.0)</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 User</dc:creator>
  <cp:keywords/>
  <dc:description/>
  <cp:lastModifiedBy>Angel, Colleen D</cp:lastModifiedBy>
  <cp:revision>2</cp:revision>
  <cp:lastPrinted>2011-04-11T22:30:00Z</cp:lastPrinted>
  <dcterms:created xsi:type="dcterms:W3CDTF">2012-03-22T21:44:00Z</dcterms:created>
  <dcterms:modified xsi:type="dcterms:W3CDTF">2012-03-22T21:44:00Z</dcterms:modified>
</cp:coreProperties>
</file>