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DF1FB" w14:textId="77777777" w:rsidR="00F9370F" w:rsidRPr="00E937E6" w:rsidRDefault="00CD73AC" w:rsidP="005D2844">
      <w:pPr>
        <w:spacing w:after="240"/>
        <w:jc w:val="center"/>
        <w:rPr>
          <w:sz w:val="44"/>
          <w:szCs w:val="44"/>
          <w:u w:val="single"/>
        </w:rPr>
      </w:pPr>
      <w:r w:rsidRPr="00E937E6">
        <w:rPr>
          <w:b/>
          <w:sz w:val="44"/>
          <w:szCs w:val="44"/>
          <w:u w:val="single"/>
        </w:rPr>
        <w:t>AP3.31</w:t>
      </w:r>
      <w:r w:rsidR="0066639C" w:rsidRPr="00E937E6">
        <w:rPr>
          <w:b/>
          <w:sz w:val="44"/>
          <w:szCs w:val="44"/>
          <w:u w:val="single"/>
        </w:rPr>
        <w:t>.</w:t>
      </w:r>
      <w:r w:rsidRPr="00E937E6">
        <w:rPr>
          <w:b/>
          <w:sz w:val="44"/>
          <w:szCs w:val="44"/>
          <w:u w:val="single"/>
        </w:rPr>
        <w:t xml:space="preserve"> APPENDIX 3.31</w:t>
      </w:r>
    </w:p>
    <w:p w14:paraId="416DF1FC" w14:textId="77777777" w:rsidR="009733CE" w:rsidRDefault="00F9370F" w:rsidP="00882630">
      <w:pPr>
        <w:spacing w:after="360"/>
        <w:jc w:val="center"/>
        <w:rPr>
          <w:b/>
          <w:sz w:val="36"/>
          <w:u w:val="single"/>
        </w:rPr>
      </w:pPr>
      <w:bookmarkStart w:id="0" w:name="A2"/>
      <w:bookmarkStart w:id="1" w:name="_GoBack"/>
      <w:r>
        <w:rPr>
          <w:b/>
          <w:sz w:val="36"/>
          <w:u w:val="single"/>
        </w:rPr>
        <w:t>FOREIGN MILITARY SALES</w:t>
      </w:r>
      <w:r w:rsidR="00913387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NOTICE OF AVAILABILITY DETAIL DOCUMENT</w:t>
      </w:r>
    </w:p>
    <w:bookmarkEnd w:id="1"/>
    <w:p w14:paraId="3A8134F8" w14:textId="553BB5FB" w:rsidR="00FC1D27" w:rsidRPr="00FC1D27" w:rsidRDefault="00FC1D27" w:rsidP="00FC1D27">
      <w:pPr>
        <w:spacing w:after="360"/>
        <w:rPr>
          <w:szCs w:val="24"/>
        </w:rPr>
      </w:pPr>
      <w:r>
        <w:t>AP3.31.1</w:t>
      </w:r>
      <w:proofErr w:type="gramStart"/>
      <w:r>
        <w:t>.  The</w:t>
      </w:r>
      <w:proofErr w:type="gramEnd"/>
      <w:r>
        <w:t xml:space="preserve"> mechanized </w:t>
      </w:r>
      <w:proofErr w:type="spellStart"/>
      <w:r>
        <w:t>freign</w:t>
      </w:r>
      <w:proofErr w:type="spellEnd"/>
      <w:r>
        <w:t xml:space="preserve"> military sales (FMS) n</w:t>
      </w:r>
      <w:r>
        <w:rPr>
          <w:szCs w:val="24"/>
        </w:rPr>
        <w:t>otice of availability</w:t>
      </w:r>
      <w:r>
        <w:t xml:space="preserve"> (NOA) detail document shall be prepared from the issue release/receipt documents (materiel release order (MRO), DD Form 1348-1A, and DD Form 1348-2) contained in the shipment unit and shall accompany the FMS NOA key document.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90"/>
        <w:gridCol w:w="1800"/>
        <w:gridCol w:w="5490"/>
      </w:tblGrid>
      <w:tr w:rsidR="00F9370F" w:rsidRPr="00FC1D27" w14:paraId="416DF203" w14:textId="77777777" w:rsidTr="00FC1D27">
        <w:trPr>
          <w:cantSplit/>
          <w:trHeight w:val="403"/>
          <w:tblHeader/>
          <w:jc w:val="center"/>
        </w:trPr>
        <w:tc>
          <w:tcPr>
            <w:tcW w:w="2790" w:type="dxa"/>
            <w:vAlign w:val="bottom"/>
          </w:tcPr>
          <w:p w14:paraId="416DF1FF" w14:textId="77777777" w:rsidR="00F9370F" w:rsidRPr="00FC1D27" w:rsidRDefault="00F9370F" w:rsidP="00FC1D27">
            <w:pPr>
              <w:spacing w:before="60" w:after="120"/>
            </w:pPr>
            <w:r w:rsidRPr="00FC1D27">
              <w:t>FIELD LEGEND</w:t>
            </w:r>
          </w:p>
        </w:tc>
        <w:tc>
          <w:tcPr>
            <w:tcW w:w="1800" w:type="dxa"/>
          </w:tcPr>
          <w:p w14:paraId="416DF200" w14:textId="77777777" w:rsidR="00F9370F" w:rsidRPr="00FC1D27" w:rsidRDefault="00F9370F" w:rsidP="00FC1D27">
            <w:pPr>
              <w:spacing w:before="60" w:after="120"/>
              <w:jc w:val="center"/>
            </w:pPr>
            <w:r w:rsidRPr="00FC1D27">
              <w:t>RECORD</w:t>
            </w:r>
          </w:p>
          <w:p w14:paraId="416DF201" w14:textId="77777777" w:rsidR="00F9370F" w:rsidRPr="00FC1D27" w:rsidRDefault="00F9370F" w:rsidP="00FC1D27">
            <w:pPr>
              <w:spacing w:before="60" w:after="120"/>
              <w:jc w:val="center"/>
            </w:pPr>
            <w:r w:rsidRPr="00FC1D27">
              <w:t>POSITION(S)</w:t>
            </w:r>
          </w:p>
        </w:tc>
        <w:tc>
          <w:tcPr>
            <w:tcW w:w="5490" w:type="dxa"/>
            <w:vAlign w:val="bottom"/>
          </w:tcPr>
          <w:p w14:paraId="416DF202" w14:textId="77777777" w:rsidR="00F9370F" w:rsidRPr="00FC1D27" w:rsidRDefault="00F9370F" w:rsidP="00FC1D27">
            <w:pPr>
              <w:spacing w:before="60" w:after="120"/>
            </w:pPr>
            <w:r w:rsidRPr="00FC1D27">
              <w:t>ENTRY AND INSTRUCTIONS</w:t>
            </w:r>
          </w:p>
        </w:tc>
      </w:tr>
      <w:tr w:rsidR="00F9370F" w:rsidRPr="00FC1D27" w14:paraId="416DF208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04" w14:textId="14E33A4F" w:rsidR="00F9370F" w:rsidRPr="00FC1D27" w:rsidRDefault="00F9370F" w:rsidP="009B61F9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FC1D27">
              <w:t>Document Identifier</w:t>
            </w:r>
            <w:r w:rsidR="00FF7667" w:rsidRPr="00FC1D27">
              <w:t xml:space="preserve"> Code </w:t>
            </w:r>
          </w:p>
        </w:tc>
        <w:tc>
          <w:tcPr>
            <w:tcW w:w="1800" w:type="dxa"/>
          </w:tcPr>
          <w:p w14:paraId="416DF205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1-3</w:t>
            </w:r>
          </w:p>
        </w:tc>
        <w:tc>
          <w:tcPr>
            <w:tcW w:w="5490" w:type="dxa"/>
          </w:tcPr>
          <w:p w14:paraId="416DF206" w14:textId="66C2FA02" w:rsidR="00F9370F" w:rsidRPr="00FC1D27" w:rsidRDefault="00F9370F" w:rsidP="009B61F9">
            <w:pPr>
              <w:spacing w:before="60" w:after="60"/>
            </w:pPr>
            <w:proofErr w:type="gramStart"/>
            <w:r w:rsidRPr="00FC1D27">
              <w:t>a.  Enter</w:t>
            </w:r>
            <w:proofErr w:type="gramEnd"/>
            <w:r w:rsidRPr="00FC1D27">
              <w:t xml:space="preserve"> </w:t>
            </w:r>
            <w:r w:rsidR="007F48DD" w:rsidRPr="00FC1D27">
              <w:t>DIC</w:t>
            </w:r>
            <w:r w:rsidRPr="00FC1D27">
              <w:t xml:space="preserve"> AD2 for the initial detail NOA document.</w:t>
            </w:r>
          </w:p>
          <w:p w14:paraId="416DF207" w14:textId="0AAB8A83" w:rsidR="00F9370F" w:rsidRPr="00FC1D27" w:rsidRDefault="00F9370F" w:rsidP="009B61F9">
            <w:pPr>
              <w:spacing w:before="60" w:after="60"/>
            </w:pPr>
            <w:proofErr w:type="gramStart"/>
            <w:r w:rsidRPr="00FC1D27">
              <w:t>b.  Enter</w:t>
            </w:r>
            <w:proofErr w:type="gramEnd"/>
            <w:r w:rsidRPr="00FC1D27">
              <w:t xml:space="preserve"> </w:t>
            </w:r>
            <w:r w:rsidR="007F48DD" w:rsidRPr="00FC1D27">
              <w:t>DIC</w:t>
            </w:r>
            <w:r w:rsidRPr="00FC1D27">
              <w:t xml:space="preserve"> AD4 for the delay detail NOA document.</w:t>
            </w:r>
          </w:p>
        </w:tc>
      </w:tr>
      <w:tr w:rsidR="00F9370F" w:rsidRPr="00FC1D27" w14:paraId="416DF20C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09" w14:textId="6C40B14D" w:rsidR="00F9370F" w:rsidRPr="00FC1D27" w:rsidRDefault="00F9370F" w:rsidP="009B61F9">
            <w:pPr>
              <w:spacing w:before="60" w:after="60"/>
            </w:pPr>
            <w:r w:rsidRPr="00FC1D27">
              <w:t>Routing Identifier</w:t>
            </w:r>
            <w:r w:rsidR="00FF7667" w:rsidRPr="00FC1D27">
              <w:t xml:space="preserve"> Code</w:t>
            </w:r>
          </w:p>
        </w:tc>
        <w:tc>
          <w:tcPr>
            <w:tcW w:w="1800" w:type="dxa"/>
          </w:tcPr>
          <w:p w14:paraId="416DF20A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4-6</w:t>
            </w:r>
          </w:p>
        </w:tc>
        <w:tc>
          <w:tcPr>
            <w:tcW w:w="5490" w:type="dxa"/>
          </w:tcPr>
          <w:p w14:paraId="416DF20B" w14:textId="44E3D9DB" w:rsidR="00F9370F" w:rsidRPr="00FC1D27" w:rsidRDefault="00F9370F" w:rsidP="009B61F9">
            <w:pPr>
              <w:spacing w:before="60" w:after="60"/>
            </w:pPr>
            <w:r w:rsidRPr="00FC1D27">
              <w:t xml:space="preserve">Enter the </w:t>
            </w:r>
            <w:r w:rsidR="007F48DD" w:rsidRPr="00FC1D27">
              <w:t>RIC</w:t>
            </w:r>
            <w:r w:rsidRPr="00FC1D27">
              <w:t xml:space="preserve"> of the activity transmitting the NOA.</w:t>
            </w:r>
          </w:p>
        </w:tc>
      </w:tr>
      <w:tr w:rsidR="00F9370F" w:rsidRPr="00FC1D27" w14:paraId="416DF210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0D" w14:textId="77777777" w:rsidR="00F9370F" w:rsidRPr="00FC1D27" w:rsidRDefault="00F9370F" w:rsidP="009B61F9">
            <w:pPr>
              <w:spacing w:before="60" w:after="60"/>
            </w:pPr>
            <w:r w:rsidRPr="00FC1D27">
              <w:t>Media and Status</w:t>
            </w:r>
          </w:p>
        </w:tc>
        <w:tc>
          <w:tcPr>
            <w:tcW w:w="1800" w:type="dxa"/>
          </w:tcPr>
          <w:p w14:paraId="416DF20E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7</w:t>
            </w:r>
          </w:p>
        </w:tc>
        <w:tc>
          <w:tcPr>
            <w:tcW w:w="5490" w:type="dxa"/>
          </w:tcPr>
          <w:p w14:paraId="416DF20F" w14:textId="1F535935" w:rsidR="00F9370F" w:rsidRPr="00FC1D27" w:rsidRDefault="00F9370F" w:rsidP="00FF7667">
            <w:pPr>
              <w:spacing w:before="60" w:after="60"/>
            </w:pPr>
            <w:r w:rsidRPr="00FC1D27">
              <w:t xml:space="preserve">Enter </w:t>
            </w:r>
            <w:r w:rsidR="00FF7667" w:rsidRPr="00FC1D27">
              <w:t xml:space="preserve">the same M&amp;S code </w:t>
            </w:r>
            <w:r w:rsidRPr="00FC1D27">
              <w:t xml:space="preserve">as the issue release/receipt document (MRO, DD Form 1348-1A, </w:t>
            </w:r>
            <w:proofErr w:type="gramStart"/>
            <w:r w:rsidRPr="00FC1D27">
              <w:t>DD</w:t>
            </w:r>
            <w:proofErr w:type="gramEnd"/>
            <w:r w:rsidRPr="00FC1D27">
              <w:t xml:space="preserve"> Form 1348-2).</w:t>
            </w:r>
          </w:p>
        </w:tc>
      </w:tr>
      <w:tr w:rsidR="00F9370F" w:rsidRPr="00FC1D27" w14:paraId="416DF214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11" w14:textId="77777777" w:rsidR="00F9370F" w:rsidRPr="00FC1D27" w:rsidRDefault="00F9370F" w:rsidP="009B61F9">
            <w:pPr>
              <w:spacing w:before="60" w:after="60"/>
            </w:pPr>
            <w:r w:rsidRPr="00FC1D27">
              <w:t>Stock or Part Number</w:t>
            </w:r>
          </w:p>
        </w:tc>
        <w:tc>
          <w:tcPr>
            <w:tcW w:w="1800" w:type="dxa"/>
          </w:tcPr>
          <w:p w14:paraId="416DF212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8-22</w:t>
            </w:r>
          </w:p>
        </w:tc>
        <w:tc>
          <w:tcPr>
            <w:tcW w:w="5490" w:type="dxa"/>
          </w:tcPr>
          <w:p w14:paraId="416DF213" w14:textId="77777777" w:rsidR="00F9370F" w:rsidRPr="00FC1D27" w:rsidRDefault="00F9370F" w:rsidP="009B61F9">
            <w:pPr>
              <w:spacing w:before="60" w:after="60"/>
            </w:pPr>
            <w:r w:rsidRPr="00FC1D27">
              <w:t>Enter the stock or part number of the item supplied.</w:t>
            </w:r>
          </w:p>
        </w:tc>
      </w:tr>
      <w:tr w:rsidR="00F9370F" w:rsidRPr="00FC1D27" w14:paraId="416DF218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15" w14:textId="77777777" w:rsidR="00F9370F" w:rsidRPr="00FC1D27" w:rsidRDefault="00F9370F" w:rsidP="009B61F9">
            <w:pPr>
              <w:spacing w:before="60" w:after="60"/>
            </w:pPr>
            <w:r w:rsidRPr="00FC1D27">
              <w:t>Unit of Issue</w:t>
            </w:r>
          </w:p>
        </w:tc>
        <w:tc>
          <w:tcPr>
            <w:tcW w:w="1800" w:type="dxa"/>
          </w:tcPr>
          <w:p w14:paraId="416DF216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23-24</w:t>
            </w:r>
          </w:p>
        </w:tc>
        <w:tc>
          <w:tcPr>
            <w:tcW w:w="5490" w:type="dxa"/>
          </w:tcPr>
          <w:p w14:paraId="416DF217" w14:textId="77777777" w:rsidR="00F9370F" w:rsidRPr="00FC1D27" w:rsidRDefault="00F9370F" w:rsidP="009B61F9">
            <w:pPr>
              <w:spacing w:before="60" w:after="60"/>
            </w:pPr>
            <w:r w:rsidRPr="00FC1D27">
              <w:t>Enter data same as the issue release/receipt document (MRO, DD Form 1348-1A, DD Form 1348-2).</w:t>
            </w:r>
          </w:p>
        </w:tc>
      </w:tr>
      <w:tr w:rsidR="00F9370F" w:rsidRPr="00FC1D27" w14:paraId="416DF21D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19" w14:textId="77777777" w:rsidR="00F9370F" w:rsidRPr="00FC1D27" w:rsidRDefault="00F9370F" w:rsidP="009B61F9">
            <w:pPr>
              <w:spacing w:before="60" w:after="60"/>
            </w:pPr>
            <w:r w:rsidRPr="00FC1D27">
              <w:t>Quantity</w:t>
            </w:r>
          </w:p>
        </w:tc>
        <w:tc>
          <w:tcPr>
            <w:tcW w:w="1800" w:type="dxa"/>
          </w:tcPr>
          <w:p w14:paraId="416DF21A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25-29</w:t>
            </w:r>
          </w:p>
        </w:tc>
        <w:tc>
          <w:tcPr>
            <w:tcW w:w="5490" w:type="dxa"/>
          </w:tcPr>
          <w:p w14:paraId="416DF21B" w14:textId="77777777" w:rsidR="00F9370F" w:rsidRPr="00FC1D27" w:rsidRDefault="00F9370F" w:rsidP="009B61F9">
            <w:pPr>
              <w:spacing w:before="60" w:after="60"/>
            </w:pPr>
            <w:proofErr w:type="gramStart"/>
            <w:r w:rsidRPr="00FC1D27">
              <w:t>a.  Enter</w:t>
            </w:r>
            <w:proofErr w:type="gramEnd"/>
            <w:r w:rsidRPr="00FC1D27">
              <w:t xml:space="preserve"> data same as the issue release/receipt documents (MRO, DD Form 1348-1A, DD Form 1348-2).</w:t>
            </w:r>
          </w:p>
          <w:p w14:paraId="416DF21C" w14:textId="5B91F7DB" w:rsidR="00F9370F" w:rsidRPr="00FC1D27" w:rsidRDefault="00F9370F" w:rsidP="000439AE">
            <w:pPr>
              <w:spacing w:before="60" w:after="60"/>
            </w:pPr>
            <w:r w:rsidRPr="00FC1D27">
              <w:t>b.  For ammunition</w:t>
            </w:r>
            <w:r w:rsidR="009A151E" w:rsidRPr="00FC1D27">
              <w:rPr>
                <w:rFonts w:cs="Arial"/>
                <w:bCs/>
                <w:iCs/>
              </w:rPr>
              <w:t xml:space="preserve"> and ammunition related items only (items in</w:t>
            </w:r>
            <w:r w:rsidRPr="00FC1D27">
              <w:t xml:space="preserve"> </w:t>
            </w:r>
            <w:r w:rsidR="007F48DD" w:rsidRPr="00FC1D27">
              <w:t>Federal Supply Group (</w:t>
            </w:r>
            <w:r w:rsidRPr="00FC1D27">
              <w:t>FSG</w:t>
            </w:r>
            <w:r w:rsidR="007F48DD" w:rsidRPr="00FC1D27">
              <w:t>)</w:t>
            </w:r>
            <w:r w:rsidRPr="00FC1D27">
              <w:t xml:space="preserve"> 13</w:t>
            </w:r>
            <w:r w:rsidR="001D4966" w:rsidRPr="00FC1D27">
              <w:t xml:space="preserve"> and for </w:t>
            </w:r>
            <w:r w:rsidR="007F48DD" w:rsidRPr="00FC1D27">
              <w:t>Federal Supply classification (</w:t>
            </w:r>
            <w:r w:rsidR="001D4966" w:rsidRPr="00FC1D27">
              <w:t>FSC</w:t>
            </w:r>
            <w:r w:rsidR="007F48DD" w:rsidRPr="00FC1D27">
              <w:t>)</w:t>
            </w:r>
            <w:r w:rsidR="001D4966" w:rsidRPr="00FC1D27">
              <w:t xml:space="preserve"> 1410, 1420, 1427, 1440, 5330, 5865, </w:t>
            </w:r>
            <w:r w:rsidR="000439AE" w:rsidRPr="00FC1D27">
              <w:t xml:space="preserve">6810 </w:t>
            </w:r>
            <w:r w:rsidR="001D4966" w:rsidRPr="00FC1D27">
              <w:t>or 8140</w:t>
            </w:r>
            <w:r w:rsidR="009A151E" w:rsidRPr="00FC1D27">
              <w:t>)</w:t>
            </w:r>
            <w:r w:rsidRPr="00FC1D27">
              <w:t>, enter an “M” in rp 29 to express in thousands any quantity exceeding 99,999.  Example:  Express a quantity of 1,950,000 as 1950M (1950 in rp 25-28 and an “M” in rp 29).</w:t>
            </w:r>
          </w:p>
        </w:tc>
      </w:tr>
      <w:tr w:rsidR="00F9370F" w:rsidRPr="00FC1D27" w14:paraId="416DF221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1E" w14:textId="77777777" w:rsidR="00F9370F" w:rsidRPr="00FC1D27" w:rsidRDefault="00F9370F" w:rsidP="009B61F9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FC1D27">
              <w:t>Document Number</w:t>
            </w:r>
          </w:p>
        </w:tc>
        <w:tc>
          <w:tcPr>
            <w:tcW w:w="1800" w:type="dxa"/>
          </w:tcPr>
          <w:p w14:paraId="416DF21F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30-43</w:t>
            </w:r>
          </w:p>
        </w:tc>
        <w:tc>
          <w:tcPr>
            <w:tcW w:w="5490" w:type="dxa"/>
          </w:tcPr>
          <w:p w14:paraId="416DF220" w14:textId="77777777" w:rsidR="00F9370F" w:rsidRPr="00FC1D27" w:rsidRDefault="00F9370F" w:rsidP="009B61F9">
            <w:pPr>
              <w:spacing w:before="60" w:after="60"/>
            </w:pPr>
            <w:r w:rsidRPr="00FC1D27">
              <w:t>Enter data same as the issue release/receipt document (MRO, DD Form 1348-1A, DD Form 1348-2).</w:t>
            </w:r>
          </w:p>
        </w:tc>
      </w:tr>
      <w:tr w:rsidR="00F9370F" w:rsidRPr="00FC1D27" w14:paraId="416DF225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22" w14:textId="77777777" w:rsidR="00F9370F" w:rsidRPr="00FC1D27" w:rsidRDefault="00F9370F" w:rsidP="009B61F9">
            <w:pPr>
              <w:spacing w:before="60" w:after="60"/>
            </w:pPr>
            <w:r w:rsidRPr="00FC1D27">
              <w:lastRenderedPageBreak/>
              <w:t>Suffix</w:t>
            </w:r>
          </w:p>
        </w:tc>
        <w:tc>
          <w:tcPr>
            <w:tcW w:w="1800" w:type="dxa"/>
          </w:tcPr>
          <w:p w14:paraId="416DF223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44</w:t>
            </w:r>
          </w:p>
        </w:tc>
        <w:tc>
          <w:tcPr>
            <w:tcW w:w="5490" w:type="dxa"/>
          </w:tcPr>
          <w:p w14:paraId="416DF224" w14:textId="77777777" w:rsidR="00F9370F" w:rsidRPr="00FC1D27" w:rsidRDefault="00F9370F" w:rsidP="009B61F9">
            <w:pPr>
              <w:spacing w:before="60" w:after="60"/>
            </w:pPr>
            <w:r w:rsidRPr="00FC1D27">
              <w:t>Enter data same as the issue release/receipt document (MRO, DD Form 1348-1A, DD Form 1348-2).</w:t>
            </w:r>
          </w:p>
        </w:tc>
      </w:tr>
      <w:tr w:rsidR="00F9370F" w:rsidRPr="00FC1D27" w14:paraId="416DF22E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2B" w14:textId="77777777" w:rsidR="00F9370F" w:rsidRPr="00FC1D27" w:rsidRDefault="00F9370F" w:rsidP="009B61F9">
            <w:pPr>
              <w:spacing w:before="60" w:after="60"/>
            </w:pPr>
            <w:r w:rsidRPr="00FC1D27">
              <w:t>Supplementary Address</w:t>
            </w:r>
          </w:p>
        </w:tc>
        <w:tc>
          <w:tcPr>
            <w:tcW w:w="1800" w:type="dxa"/>
          </w:tcPr>
          <w:p w14:paraId="416DF22C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45-50</w:t>
            </w:r>
          </w:p>
        </w:tc>
        <w:tc>
          <w:tcPr>
            <w:tcW w:w="5490" w:type="dxa"/>
          </w:tcPr>
          <w:p w14:paraId="416DF22D" w14:textId="77777777" w:rsidR="00F9370F" w:rsidRPr="00FC1D27" w:rsidRDefault="00F9370F" w:rsidP="009B61F9">
            <w:pPr>
              <w:spacing w:before="60" w:after="60"/>
            </w:pPr>
            <w:r w:rsidRPr="00FC1D27">
              <w:t>Enter data same as the issue release/receipt document (MRO, DD Form 1348-1A, DD Form 1348-2).</w:t>
            </w:r>
          </w:p>
        </w:tc>
      </w:tr>
      <w:tr w:rsidR="00F9370F" w:rsidRPr="00FC1D27" w14:paraId="416DF232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2F" w14:textId="77777777" w:rsidR="00F9370F" w:rsidRPr="00FC1D27" w:rsidRDefault="00F9370F" w:rsidP="009B61F9">
            <w:pPr>
              <w:spacing w:before="60" w:after="60"/>
            </w:pPr>
            <w:r w:rsidRPr="00FC1D27">
              <w:t>Blank</w:t>
            </w:r>
          </w:p>
        </w:tc>
        <w:tc>
          <w:tcPr>
            <w:tcW w:w="1800" w:type="dxa"/>
          </w:tcPr>
          <w:p w14:paraId="416DF230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51-53</w:t>
            </w:r>
          </w:p>
        </w:tc>
        <w:tc>
          <w:tcPr>
            <w:tcW w:w="5490" w:type="dxa"/>
          </w:tcPr>
          <w:p w14:paraId="416DF231" w14:textId="77777777" w:rsidR="00F9370F" w:rsidRPr="00FC1D27" w:rsidRDefault="00F9370F" w:rsidP="009B61F9">
            <w:pPr>
              <w:spacing w:before="60" w:after="60"/>
            </w:pPr>
            <w:r w:rsidRPr="00FC1D27">
              <w:t>Leave blank.</w:t>
            </w:r>
          </w:p>
        </w:tc>
      </w:tr>
      <w:tr w:rsidR="00F9370F" w:rsidRPr="00FC1D27" w14:paraId="416DF236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33" w14:textId="77777777" w:rsidR="00F9370F" w:rsidRPr="00FC1D27" w:rsidRDefault="00F9370F" w:rsidP="009B61F9">
            <w:pPr>
              <w:spacing w:before="60" w:after="60"/>
            </w:pPr>
            <w:r w:rsidRPr="00FC1D27">
              <w:t>Required Delivery Date/Required Availability Date</w:t>
            </w:r>
          </w:p>
        </w:tc>
        <w:tc>
          <w:tcPr>
            <w:tcW w:w="1800" w:type="dxa"/>
          </w:tcPr>
          <w:p w14:paraId="416DF234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54-56</w:t>
            </w:r>
          </w:p>
        </w:tc>
        <w:tc>
          <w:tcPr>
            <w:tcW w:w="5490" w:type="dxa"/>
          </w:tcPr>
          <w:p w14:paraId="416DF235" w14:textId="77777777" w:rsidR="00F9370F" w:rsidRPr="00FC1D27" w:rsidRDefault="00F9370F" w:rsidP="009B61F9">
            <w:pPr>
              <w:spacing w:before="60" w:after="60"/>
            </w:pPr>
            <w:r w:rsidRPr="00FC1D27">
              <w:t>Enter data same as the issue release/receipt document (MRO, DD Form 1348-1A, DD Form 1348-2).</w:t>
            </w:r>
          </w:p>
        </w:tc>
      </w:tr>
      <w:tr w:rsidR="00F9370F" w:rsidRPr="00FC1D27" w14:paraId="416DF23A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37" w14:textId="77777777" w:rsidR="00F9370F" w:rsidRPr="00FC1D27" w:rsidRDefault="00F9370F" w:rsidP="009B61F9">
            <w:pPr>
              <w:spacing w:before="60" w:after="60"/>
            </w:pPr>
            <w:r w:rsidRPr="00FC1D27">
              <w:t>Project</w:t>
            </w:r>
          </w:p>
        </w:tc>
        <w:tc>
          <w:tcPr>
            <w:tcW w:w="1800" w:type="dxa"/>
          </w:tcPr>
          <w:p w14:paraId="416DF238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57-59</w:t>
            </w:r>
          </w:p>
        </w:tc>
        <w:tc>
          <w:tcPr>
            <w:tcW w:w="5490" w:type="dxa"/>
          </w:tcPr>
          <w:p w14:paraId="416DF239" w14:textId="77777777" w:rsidR="00F9370F" w:rsidRPr="00FC1D27" w:rsidRDefault="00F9370F" w:rsidP="009B61F9">
            <w:pPr>
              <w:spacing w:before="60" w:after="60"/>
            </w:pPr>
            <w:r w:rsidRPr="00FC1D27">
              <w:t>Enter data same as the issue release/receipt document (MRO, DD Form 1348-1A, DD Form 1348-2).</w:t>
            </w:r>
          </w:p>
        </w:tc>
      </w:tr>
      <w:tr w:rsidR="00F9370F" w:rsidRPr="00FC1D27" w14:paraId="416DF23E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3B" w14:textId="77777777" w:rsidR="00F9370F" w:rsidRPr="00FC1D27" w:rsidRDefault="00F9370F" w:rsidP="009B61F9">
            <w:pPr>
              <w:spacing w:before="60" w:after="60"/>
            </w:pPr>
            <w:r w:rsidRPr="00FC1D27">
              <w:t>Blank</w:t>
            </w:r>
          </w:p>
        </w:tc>
        <w:tc>
          <w:tcPr>
            <w:tcW w:w="1800" w:type="dxa"/>
          </w:tcPr>
          <w:p w14:paraId="416DF23C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60</w:t>
            </w:r>
          </w:p>
        </w:tc>
        <w:tc>
          <w:tcPr>
            <w:tcW w:w="5490" w:type="dxa"/>
          </w:tcPr>
          <w:p w14:paraId="416DF23D" w14:textId="77777777" w:rsidR="00F9370F" w:rsidRPr="00FC1D27" w:rsidRDefault="00F9370F" w:rsidP="009B61F9">
            <w:pPr>
              <w:spacing w:before="60" w:after="60"/>
            </w:pPr>
            <w:r w:rsidRPr="00FC1D27">
              <w:t>Leave blank.</w:t>
            </w:r>
          </w:p>
        </w:tc>
      </w:tr>
      <w:tr w:rsidR="00F9370F" w:rsidRPr="00FC1D27" w14:paraId="416DF242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3F" w14:textId="77777777" w:rsidR="00F9370F" w:rsidRPr="00FC1D27" w:rsidRDefault="00F9370F" w:rsidP="009B61F9">
            <w:pPr>
              <w:spacing w:before="60" w:after="60"/>
            </w:pPr>
            <w:r w:rsidRPr="00FC1D27">
              <w:t>Foreign Military Sales Notice Number</w:t>
            </w:r>
          </w:p>
        </w:tc>
        <w:tc>
          <w:tcPr>
            <w:tcW w:w="1800" w:type="dxa"/>
          </w:tcPr>
          <w:p w14:paraId="416DF240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61-77</w:t>
            </w:r>
          </w:p>
        </w:tc>
        <w:tc>
          <w:tcPr>
            <w:tcW w:w="5490" w:type="dxa"/>
          </w:tcPr>
          <w:p w14:paraId="416DF241" w14:textId="77777777" w:rsidR="00F9370F" w:rsidRPr="00FC1D27" w:rsidRDefault="00F9370F" w:rsidP="009B61F9">
            <w:pPr>
              <w:spacing w:before="60" w:after="60"/>
            </w:pPr>
            <w:r w:rsidRPr="00FC1D27">
              <w:t>Enter data same as rp 61-77 of the initial FMS NOA key document.</w:t>
            </w:r>
          </w:p>
        </w:tc>
      </w:tr>
      <w:tr w:rsidR="00F9370F" w:rsidRPr="00FC1D27" w14:paraId="416DF247" w14:textId="77777777" w:rsidTr="00FC1D27">
        <w:trPr>
          <w:cantSplit/>
          <w:trHeight w:val="403"/>
          <w:jc w:val="center"/>
        </w:trPr>
        <w:tc>
          <w:tcPr>
            <w:tcW w:w="2790" w:type="dxa"/>
          </w:tcPr>
          <w:p w14:paraId="416DF243" w14:textId="77777777" w:rsidR="00F9370F" w:rsidRPr="00FC1D27" w:rsidRDefault="00F9370F" w:rsidP="009B61F9">
            <w:pPr>
              <w:spacing w:before="60" w:after="60"/>
            </w:pPr>
            <w:r w:rsidRPr="00FC1D27">
              <w:t>Date of Offer</w:t>
            </w:r>
          </w:p>
        </w:tc>
        <w:tc>
          <w:tcPr>
            <w:tcW w:w="1800" w:type="dxa"/>
          </w:tcPr>
          <w:p w14:paraId="416DF244" w14:textId="77777777" w:rsidR="00F9370F" w:rsidRPr="00FC1D27" w:rsidRDefault="00F9370F" w:rsidP="009B61F9">
            <w:pPr>
              <w:spacing w:before="60" w:after="60"/>
              <w:jc w:val="center"/>
            </w:pPr>
            <w:r w:rsidRPr="00FC1D27">
              <w:t>78-80</w:t>
            </w:r>
          </w:p>
        </w:tc>
        <w:tc>
          <w:tcPr>
            <w:tcW w:w="5490" w:type="dxa"/>
          </w:tcPr>
          <w:p w14:paraId="416DF245" w14:textId="7D14FDDC" w:rsidR="00F9370F" w:rsidRPr="00FC1D27" w:rsidRDefault="00F9370F" w:rsidP="009B61F9">
            <w:pPr>
              <w:spacing w:before="60" w:after="60"/>
            </w:pPr>
            <w:proofErr w:type="gramStart"/>
            <w:r w:rsidRPr="00FC1D27">
              <w:t>a.  For</w:t>
            </w:r>
            <w:proofErr w:type="gramEnd"/>
            <w:r w:rsidRPr="00FC1D27">
              <w:t xml:space="preserve"> </w:t>
            </w:r>
            <w:r w:rsidR="007F48DD" w:rsidRPr="00FC1D27">
              <w:t>DIC</w:t>
            </w:r>
            <w:r w:rsidRPr="00FC1D27">
              <w:t xml:space="preserve"> AD2 and </w:t>
            </w:r>
            <w:r w:rsidR="007F48DD" w:rsidRPr="00FC1D27">
              <w:t>DIC</w:t>
            </w:r>
            <w:r w:rsidRPr="00FC1D27">
              <w:t xml:space="preserve"> AD4 documents, enter the ordinal day the initial NOA is transmitted.</w:t>
            </w:r>
          </w:p>
          <w:p w14:paraId="416DF246" w14:textId="196C2750" w:rsidR="00F9370F" w:rsidRPr="00FC1D27" w:rsidRDefault="00F9370F" w:rsidP="000439AE">
            <w:pPr>
              <w:spacing w:before="60" w:after="60"/>
            </w:pPr>
            <w:proofErr w:type="gramStart"/>
            <w:r w:rsidRPr="00FC1D27">
              <w:t>b.  When</w:t>
            </w:r>
            <w:proofErr w:type="gramEnd"/>
            <w:r w:rsidRPr="00FC1D27">
              <w:t xml:space="preserve"> new NOAs are prepared because the original NOA contained items </w:t>
            </w:r>
            <w:r w:rsidR="000439AE" w:rsidRPr="00FC1D27">
              <w:t xml:space="preserve">that </w:t>
            </w:r>
            <w:r w:rsidRPr="00FC1D27">
              <w:t xml:space="preserve">were rejected, the date of offer </w:t>
            </w:r>
            <w:r w:rsidR="007F48DD" w:rsidRPr="00FC1D27">
              <w:t>shall</w:t>
            </w:r>
            <w:r w:rsidRPr="00FC1D27">
              <w:t xml:space="preserve"> be the transmission date of the new NOA.</w:t>
            </w:r>
            <w:r w:rsidR="00186BD1">
              <w:t xml:space="preserve">  </w:t>
            </w:r>
            <w:r w:rsidR="00665B26">
              <w:t xml:space="preserve">  </w:t>
            </w:r>
          </w:p>
        </w:tc>
      </w:tr>
      <w:bookmarkEnd w:id="0"/>
    </w:tbl>
    <w:p w14:paraId="416DF248" w14:textId="77777777" w:rsidR="00F9370F" w:rsidRDefault="00F9370F">
      <w:pPr>
        <w:spacing w:before="60" w:after="60"/>
      </w:pPr>
    </w:p>
    <w:sectPr w:rsidR="00F9370F" w:rsidSect="00FF76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DF24B" w14:textId="77777777" w:rsidR="00AF5B96" w:rsidRDefault="00AF5B96">
      <w:r>
        <w:separator/>
      </w:r>
    </w:p>
  </w:endnote>
  <w:endnote w:type="continuationSeparator" w:id="0">
    <w:p w14:paraId="416DF24C" w14:textId="77777777" w:rsidR="00AF5B96" w:rsidRDefault="00AF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F24F" w14:textId="77777777" w:rsidR="009733CE" w:rsidRPr="00A51372" w:rsidRDefault="00D16437" w:rsidP="00F9370F">
    <w:pPr>
      <w:pStyle w:val="Footer"/>
      <w:framePr w:wrap="around" w:vAnchor="text" w:hAnchor="margin" w:xAlign="center" w:y="1"/>
      <w:rPr>
        <w:rStyle w:val="PageNumber"/>
        <w:i/>
      </w:rPr>
    </w:pPr>
    <w:r w:rsidRPr="00A51372">
      <w:rPr>
        <w:rStyle w:val="PageNumber"/>
        <w:i/>
      </w:rPr>
      <w:fldChar w:fldCharType="begin"/>
    </w:r>
    <w:r w:rsidR="009733CE" w:rsidRPr="00A51372">
      <w:rPr>
        <w:rStyle w:val="PageNumber"/>
        <w:i/>
      </w:rPr>
      <w:instrText xml:space="preserve">PAGE  </w:instrText>
    </w:r>
    <w:r w:rsidRPr="00A51372">
      <w:rPr>
        <w:rStyle w:val="PageNumber"/>
        <w:i/>
      </w:rPr>
      <w:fldChar w:fldCharType="separate"/>
    </w:r>
    <w:r w:rsidR="005B5E60">
      <w:rPr>
        <w:rStyle w:val="PageNumber"/>
        <w:i/>
        <w:noProof/>
      </w:rPr>
      <w:t>2</w:t>
    </w:r>
    <w:r w:rsidRPr="00A51372">
      <w:rPr>
        <w:rStyle w:val="PageNumber"/>
        <w:i/>
      </w:rPr>
      <w:fldChar w:fldCharType="end"/>
    </w:r>
  </w:p>
  <w:p w14:paraId="416DF250" w14:textId="77777777" w:rsidR="00F9370F" w:rsidRPr="00CD73AC" w:rsidRDefault="00CD73AC" w:rsidP="00CD73AC">
    <w:pPr>
      <w:pStyle w:val="Footer"/>
      <w:jc w:val="right"/>
      <w:rPr>
        <w:rStyle w:val="PageNumber"/>
        <w:b w:val="0"/>
      </w:rPr>
    </w:pPr>
    <w:r w:rsidRPr="00CD73AC">
      <w:rPr>
        <w:rStyle w:val="PageNumber"/>
        <w:b w:val="0"/>
      </w:rPr>
      <w:t>APPENDIX 3</w:t>
    </w:r>
    <w:r w:rsidR="00680C07">
      <w:rPr>
        <w:rStyle w:val="PageNumber"/>
        <w:b w:val="0"/>
      </w:rPr>
      <w:t>.31</w:t>
    </w:r>
    <w:r w:rsidR="009B61F9">
      <w:rPr>
        <w:rStyle w:val="PageNumber"/>
        <w:b w:val="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F251" w14:textId="77777777" w:rsidR="009733CE" w:rsidRPr="00773F3F" w:rsidRDefault="00773F3F" w:rsidP="00F9370F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AP3.31-</w:t>
    </w:r>
    <w:r w:rsidR="00D16437" w:rsidRPr="00773F3F">
      <w:rPr>
        <w:rStyle w:val="PageNumber"/>
        <w:b w:val="0"/>
      </w:rPr>
      <w:fldChar w:fldCharType="begin"/>
    </w:r>
    <w:r w:rsidR="009733CE" w:rsidRPr="00773F3F">
      <w:rPr>
        <w:rStyle w:val="PageNumber"/>
        <w:b w:val="0"/>
      </w:rPr>
      <w:instrText xml:space="preserve">PAGE  </w:instrText>
    </w:r>
    <w:r w:rsidR="00D16437" w:rsidRPr="00773F3F">
      <w:rPr>
        <w:rStyle w:val="PageNumber"/>
        <w:b w:val="0"/>
      </w:rPr>
      <w:fldChar w:fldCharType="separate"/>
    </w:r>
    <w:r w:rsidR="00F86D3C">
      <w:rPr>
        <w:rStyle w:val="PageNumber"/>
        <w:b w:val="0"/>
        <w:noProof/>
      </w:rPr>
      <w:t>1</w:t>
    </w:r>
    <w:r w:rsidR="00D16437" w:rsidRPr="00773F3F">
      <w:rPr>
        <w:rStyle w:val="PageNumber"/>
        <w:b w:val="0"/>
      </w:rPr>
      <w:fldChar w:fldCharType="end"/>
    </w:r>
  </w:p>
  <w:p w14:paraId="416DF252" w14:textId="77777777" w:rsidR="009733CE" w:rsidRDefault="00CD73AC" w:rsidP="00934B45">
    <w:pPr>
      <w:pStyle w:val="Footer"/>
      <w:tabs>
        <w:tab w:val="clear" w:pos="4320"/>
        <w:tab w:val="clear" w:pos="8640"/>
      </w:tabs>
      <w:jc w:val="right"/>
    </w:pPr>
    <w:r>
      <w:t>APPENDIX 3</w:t>
    </w:r>
    <w:r w:rsidR="00680C07">
      <w:t>.31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F256" w14:textId="77777777" w:rsidR="00F9370F" w:rsidRDefault="00F9370F">
    <w:pPr>
      <w:pStyle w:val="Footer"/>
      <w:jc w:val="center"/>
      <w:rPr>
        <w:rStyle w:val="PageNumber"/>
      </w:rPr>
    </w:pPr>
    <w:r>
      <w:rPr>
        <w:rStyle w:val="PageNumber"/>
      </w:rPr>
      <w:t>AP3.31-</w:t>
    </w:r>
    <w:r w:rsidR="00D16437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D16437">
      <w:rPr>
        <w:rStyle w:val="PageNumber"/>
      </w:rPr>
      <w:fldChar w:fldCharType="separate"/>
    </w:r>
    <w:r w:rsidR="005B5E60">
      <w:rPr>
        <w:rStyle w:val="PageNumber"/>
        <w:noProof/>
      </w:rPr>
      <w:t>2</w:t>
    </w:r>
    <w:r w:rsidR="00D1643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DF249" w14:textId="77777777" w:rsidR="00AF5B96" w:rsidRDefault="00AF5B96">
      <w:r>
        <w:separator/>
      </w:r>
    </w:p>
  </w:footnote>
  <w:footnote w:type="continuationSeparator" w:id="0">
    <w:p w14:paraId="416DF24A" w14:textId="77777777" w:rsidR="00AF5B96" w:rsidRDefault="00AF5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F24D" w14:textId="77777777" w:rsidR="00F9370F" w:rsidRPr="007B3256" w:rsidRDefault="00F270A7" w:rsidP="00F270A7">
    <w:pPr>
      <w:pStyle w:val="Header"/>
      <w:jc w:val="right"/>
      <w:rPr>
        <w:i/>
        <w:u w:val="none"/>
      </w:rPr>
    </w:pPr>
    <w:r w:rsidRPr="008A7103">
      <w:rPr>
        <w:i/>
        <w:u w:val="none"/>
      </w:rPr>
      <w:t xml:space="preserve">DoD 4000.25-1-M, </w:t>
    </w:r>
    <w:r w:rsidR="009B61F9">
      <w:rPr>
        <w:i/>
        <w:u w:val="none"/>
      </w:rPr>
      <w:t>March 2007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F24E" w14:textId="6DFC310B" w:rsidR="009733CE" w:rsidRPr="00FF7667" w:rsidRDefault="00A51372" w:rsidP="00934B45">
    <w:pPr>
      <w:pStyle w:val="Header"/>
      <w:tabs>
        <w:tab w:val="clear" w:pos="4320"/>
        <w:tab w:val="clear" w:pos="8640"/>
      </w:tabs>
      <w:jc w:val="right"/>
      <w:rPr>
        <w:u w:val="none"/>
      </w:rPr>
    </w:pPr>
    <w:r w:rsidRPr="00FF7667">
      <w:rPr>
        <w:u w:val="none"/>
      </w:rPr>
      <w:t>D</w:t>
    </w:r>
    <w:r w:rsidR="0084594D" w:rsidRPr="00FF7667">
      <w:rPr>
        <w:u w:val="none"/>
      </w:rPr>
      <w:t>LM</w:t>
    </w:r>
    <w:r w:rsidRPr="00FF7667">
      <w:rPr>
        <w:u w:val="none"/>
      </w:rPr>
      <w:t xml:space="preserve"> 4000.25-1, </w:t>
    </w:r>
    <w:r w:rsidR="00F86D3C">
      <w:rPr>
        <w:u w:val="none"/>
      </w:rPr>
      <w:t>June 13</w:t>
    </w:r>
    <w:r w:rsidR="00FF7667">
      <w:rPr>
        <w:u w:val="none"/>
      </w:rPr>
      <w:t xml:space="preserve">, </w:t>
    </w:r>
    <w:r w:rsidR="0084594D" w:rsidRPr="00FF7667">
      <w:rPr>
        <w:u w:val="none"/>
      </w:rPr>
      <w:t>20</w:t>
    </w:r>
    <w:r w:rsidR="00E937E6" w:rsidRPr="00FF7667">
      <w:rPr>
        <w:u w:val="none"/>
      </w:rPr>
      <w:t>1</w:t>
    </w:r>
    <w:r w:rsidR="007F48DD" w:rsidRPr="00FF7667">
      <w:rPr>
        <w:u w:val="none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F253" w14:textId="77777777" w:rsidR="00F9370F" w:rsidRDefault="00F9370F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416DF254" w14:textId="77777777" w:rsidR="00F9370F" w:rsidRDefault="00F9370F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416DF255" w14:textId="77777777" w:rsidR="00F9370F" w:rsidRDefault="00F9370F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A5F2A204"/>
    <w:lvl w:ilvl="0">
      <w:start w:val="34"/>
      <w:numFmt w:val="none"/>
      <w:pStyle w:val="Heading1"/>
      <w:suff w:val="nothing"/>
      <w:lvlText w:val="AP3.31 APPENDIX 3.3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31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31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31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31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31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31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31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31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>
    <w:nsid w:val="7BB47C30"/>
    <w:multiLevelType w:val="multilevel"/>
    <w:tmpl w:val="FA32ED1A"/>
    <w:lvl w:ilvl="0">
      <w:start w:val="34"/>
      <w:numFmt w:val="none"/>
      <w:suff w:val="nothing"/>
      <w:lvlText w:val="AP3.31 APPENDIX 3.3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3.31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3.31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3.31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3.31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3%1.31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3%1.31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3.31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3%1.31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3CE"/>
    <w:rsid w:val="000439AE"/>
    <w:rsid w:val="000530F0"/>
    <w:rsid w:val="00186BD1"/>
    <w:rsid w:val="001D4966"/>
    <w:rsid w:val="00211CAC"/>
    <w:rsid w:val="00241EF0"/>
    <w:rsid w:val="002C5799"/>
    <w:rsid w:val="00311266"/>
    <w:rsid w:val="00357139"/>
    <w:rsid w:val="0054151D"/>
    <w:rsid w:val="005B5E60"/>
    <w:rsid w:val="005D2844"/>
    <w:rsid w:val="00665B26"/>
    <w:rsid w:val="0066639C"/>
    <w:rsid w:val="00680C07"/>
    <w:rsid w:val="006E29E0"/>
    <w:rsid w:val="006E2F84"/>
    <w:rsid w:val="007365B0"/>
    <w:rsid w:val="00761F43"/>
    <w:rsid w:val="00773F3F"/>
    <w:rsid w:val="00794737"/>
    <w:rsid w:val="007B3256"/>
    <w:rsid w:val="007F48DD"/>
    <w:rsid w:val="00814767"/>
    <w:rsid w:val="0084594D"/>
    <w:rsid w:val="00882630"/>
    <w:rsid w:val="008E3FF9"/>
    <w:rsid w:val="008F6E9C"/>
    <w:rsid w:val="00913387"/>
    <w:rsid w:val="00934B45"/>
    <w:rsid w:val="00955303"/>
    <w:rsid w:val="009708BA"/>
    <w:rsid w:val="009733CE"/>
    <w:rsid w:val="009A151E"/>
    <w:rsid w:val="009B61F9"/>
    <w:rsid w:val="00A3772C"/>
    <w:rsid w:val="00A51372"/>
    <w:rsid w:val="00AB1451"/>
    <w:rsid w:val="00AF5B96"/>
    <w:rsid w:val="00AF735A"/>
    <w:rsid w:val="00B22F06"/>
    <w:rsid w:val="00B30FF7"/>
    <w:rsid w:val="00BB42E4"/>
    <w:rsid w:val="00BE7C23"/>
    <w:rsid w:val="00C31DD7"/>
    <w:rsid w:val="00C60AB2"/>
    <w:rsid w:val="00CD73AC"/>
    <w:rsid w:val="00D16437"/>
    <w:rsid w:val="00DD3EAB"/>
    <w:rsid w:val="00E32E8B"/>
    <w:rsid w:val="00E87FAA"/>
    <w:rsid w:val="00E937E6"/>
    <w:rsid w:val="00EE5F67"/>
    <w:rsid w:val="00F270A7"/>
    <w:rsid w:val="00F86D3C"/>
    <w:rsid w:val="00F9370F"/>
    <w:rsid w:val="00FC1D27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DF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F06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B22F06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B22F06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B22F06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B22F06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B22F06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B22F06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B22F06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B22F06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B22F06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B22F06"/>
    <w:rPr>
      <w:vertAlign w:val="superscript"/>
    </w:rPr>
  </w:style>
  <w:style w:type="character" w:styleId="FootnoteReference">
    <w:name w:val="footnote reference"/>
    <w:basedOn w:val="DefaultParagraphFont"/>
    <w:semiHidden/>
    <w:rsid w:val="00B22F06"/>
    <w:rPr>
      <w:vertAlign w:val="superscript"/>
    </w:rPr>
  </w:style>
  <w:style w:type="character" w:styleId="PageNumber">
    <w:name w:val="page number"/>
    <w:basedOn w:val="DefaultParagraphFont"/>
    <w:rsid w:val="00B22F06"/>
    <w:rPr>
      <w:rFonts w:ascii="Arial" w:hAnsi="Arial"/>
      <w:b/>
      <w:sz w:val="24"/>
    </w:rPr>
  </w:style>
  <w:style w:type="paragraph" w:styleId="Footer">
    <w:name w:val="footer"/>
    <w:basedOn w:val="Normal"/>
    <w:rsid w:val="00B22F0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2F06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B22F06"/>
    <w:rPr>
      <w:sz w:val="20"/>
    </w:rPr>
  </w:style>
  <w:style w:type="paragraph" w:customStyle="1" w:styleId="SubTitle">
    <w:name w:val="Sub Title"/>
    <w:basedOn w:val="Title"/>
    <w:rsid w:val="00B22F06"/>
    <w:rPr>
      <w:u w:val="single"/>
    </w:rPr>
  </w:style>
  <w:style w:type="paragraph" w:styleId="Title">
    <w:name w:val="Title"/>
    <w:basedOn w:val="Normal"/>
    <w:next w:val="Header"/>
    <w:qFormat/>
    <w:rsid w:val="00B22F06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B22F06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B22F06"/>
    <w:pPr>
      <w:spacing w:after="160"/>
      <w:ind w:left="1440"/>
    </w:pPr>
  </w:style>
  <w:style w:type="paragraph" w:styleId="BodyText">
    <w:name w:val="Body Text"/>
    <w:basedOn w:val="Normal"/>
    <w:rsid w:val="00B22F06"/>
    <w:pPr>
      <w:spacing w:after="120"/>
    </w:pPr>
  </w:style>
  <w:style w:type="paragraph" w:styleId="ListBullet">
    <w:name w:val="List Bullet"/>
    <w:basedOn w:val="Normal"/>
    <w:rsid w:val="00B22F06"/>
    <w:pPr>
      <w:spacing w:after="120"/>
      <w:ind w:left="360" w:hanging="360"/>
    </w:pPr>
  </w:style>
  <w:style w:type="paragraph" w:styleId="ListBullet2">
    <w:name w:val="List Bullet 2"/>
    <w:basedOn w:val="Normal"/>
    <w:rsid w:val="00B22F06"/>
    <w:pPr>
      <w:ind w:left="720" w:hanging="360"/>
    </w:pPr>
  </w:style>
  <w:style w:type="paragraph" w:styleId="ListBullet3">
    <w:name w:val="List Bullet 3"/>
    <w:basedOn w:val="Normal"/>
    <w:rsid w:val="00B22F06"/>
    <w:pPr>
      <w:ind w:left="1080" w:hanging="360"/>
    </w:pPr>
  </w:style>
  <w:style w:type="paragraph" w:styleId="ListNumber">
    <w:name w:val="List Number"/>
    <w:basedOn w:val="Normal"/>
    <w:rsid w:val="00B22F06"/>
    <w:pPr>
      <w:ind w:left="360" w:hanging="360"/>
    </w:pPr>
  </w:style>
  <w:style w:type="paragraph" w:styleId="ListNumber2">
    <w:name w:val="List Number 2"/>
    <w:basedOn w:val="Normal"/>
    <w:rsid w:val="00B22F06"/>
    <w:pPr>
      <w:ind w:left="720" w:hanging="360"/>
    </w:pPr>
  </w:style>
  <w:style w:type="paragraph" w:styleId="ListNumber3">
    <w:name w:val="List Number 3"/>
    <w:basedOn w:val="Normal"/>
    <w:rsid w:val="00B22F06"/>
    <w:pPr>
      <w:ind w:left="1080" w:hanging="360"/>
    </w:pPr>
  </w:style>
  <w:style w:type="paragraph" w:styleId="DocumentMap">
    <w:name w:val="Document Map"/>
    <w:basedOn w:val="Normal"/>
    <w:semiHidden/>
    <w:rsid w:val="00B22F06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B22F06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B22F06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B22F06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B22F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22F06"/>
    <w:rPr>
      <w:sz w:val="20"/>
    </w:rPr>
  </w:style>
  <w:style w:type="paragraph" w:styleId="BalloonText">
    <w:name w:val="Balloon Text"/>
    <w:basedOn w:val="Normal"/>
    <w:semiHidden/>
    <w:rsid w:val="009733C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439A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439A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0439A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439A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F53DD-4751-4A80-8CEA-AD1595014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1D98AD-38BC-4E6A-9FB2-778091837EA2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C427D0-10C8-456D-AB2F-FF62674E17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14</TotalTime>
  <Pages>2</Pages>
  <Words>402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3.31 - FMS Notice of Availability Detail Document</vt:lpstr>
    </vt:vector>
  </TitlesOfParts>
  <Company>DLA Logistics Management Standards Office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3.31 - FMS Notice of Availability Detail Document</dc:title>
  <dc:subject/>
  <dc:creator>Hieidi Daverede</dc:creator>
  <cp:keywords/>
  <cp:lastModifiedBy>Defense Logistics Agency</cp:lastModifiedBy>
  <cp:revision>9</cp:revision>
  <cp:lastPrinted>2007-10-26T13:32:00Z</cp:lastPrinted>
  <dcterms:created xsi:type="dcterms:W3CDTF">2011-10-03T16:00:00Z</dcterms:created>
  <dcterms:modified xsi:type="dcterms:W3CDTF">2012-06-15T12:48:00Z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