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46" w:rsidRDefault="00437746" w:rsidP="00437746">
      <w:pPr>
        <w:jc w:val="center"/>
        <w:rPr>
          <w:rFonts w:ascii="Times New Roman" w:hAnsi="Times New Roman"/>
          <w:b/>
          <w:bCs/>
          <w:color w:val="000000"/>
          <w:sz w:val="40"/>
          <w:szCs w:val="40"/>
        </w:rPr>
      </w:pPr>
      <w:r w:rsidRPr="00D05906">
        <w:rPr>
          <w:rFonts w:ascii="Times New Roman" w:hAnsi="Times New Roman"/>
          <w:b/>
          <w:bCs/>
          <w:color w:val="000000"/>
          <w:sz w:val="40"/>
          <w:szCs w:val="40"/>
        </w:rPr>
        <w:t>DEPARTMENT OF VETERANS AFFAIRS</w:t>
      </w:r>
    </w:p>
    <w:p w:rsidR="00437746" w:rsidRPr="00D05906" w:rsidRDefault="00AF0FFF" w:rsidP="00437746">
      <w:pPr>
        <w:jc w:val="center"/>
        <w:rPr>
          <w:rFonts w:ascii="Times New Roman" w:hAnsi="Times New Roman"/>
          <w:color w:val="000000"/>
          <w:sz w:val="40"/>
          <w:szCs w:val="40"/>
        </w:rPr>
      </w:pPr>
      <w:r>
        <w:rPr>
          <w:rFonts w:ascii="Times New Roman" w:hAnsi="Times New Roman"/>
          <w:b/>
          <w:noProof/>
          <w:color w:val="000000"/>
          <w:sz w:val="40"/>
          <w:szCs w:val="40"/>
        </w:rPr>
        <w:drawing>
          <wp:inline distT="0" distB="0" distL="0" distR="0">
            <wp:extent cx="1451229" cy="1381125"/>
            <wp:effectExtent l="6096"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16025" cy="1216025"/>
                      <a:chOff x="2762250" y="657225"/>
                      <a:chExt cx="1216025" cy="1216025"/>
                    </a:xfrm>
                  </a:grpSpPr>
                  <a:grpSp>
                    <a:nvGrpSpPr>
                      <a:cNvPr id="3" name="Group 23"/>
                      <a:cNvGrpSpPr>
                        <a:grpSpLocks/>
                      </a:cNvGrpSpPr>
                    </a:nvGrpSpPr>
                    <a:grpSpPr bwMode="auto">
                      <a:xfrm>
                        <a:off x="2762250" y="657225"/>
                        <a:ext cx="1216025" cy="1216025"/>
                        <a:chOff x="1726" y="114"/>
                        <a:chExt cx="866" cy="766"/>
                      </a:xfrm>
                    </a:grpSpPr>
                    <a:sp>
                      <a:nvSpPr>
                        <a:cNvPr id="4" name="Oval 21"/>
                        <a:cNvSpPr>
                          <a:spLocks noChangeArrowheads="1"/>
                        </a:cNvSpPr>
                      </a:nvSpPr>
                      <a:spPr bwMode="auto">
                        <a:xfrm>
                          <a:off x="1746" y="128"/>
                          <a:ext cx="828" cy="736"/>
                        </a:xfrm>
                        <a:prstGeom prst="ellipse">
                          <a:avLst/>
                        </a:prstGeom>
                        <a:solidFill>
                          <a:schemeClr val="bg1"/>
                        </a:solidFill>
                        <a:ln w="9525">
                          <a:no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pic>
                      <a:nvPicPr>
                        <a:cNvPr id="5" name="Picture 22" descr="Color Seal"/>
                        <a:cNvPicPr>
                          <a:picLocks noChangeAspect="1" noChangeArrowheads="1"/>
                        </a:cNvPicPr>
                      </a:nvPicPr>
                      <a:blipFill>
                        <a:blip r:embed="rId7">
                          <a:clrChange>
                            <a:clrFrom>
                              <a:srgbClr val="FDFDFD"/>
                            </a:clrFrom>
                            <a:clrTo>
                              <a:srgbClr val="FDFDFD">
                                <a:alpha val="0"/>
                              </a:srgbClr>
                            </a:clrTo>
                          </a:clrChange>
                        </a:blip>
                        <a:srcRect/>
                        <a:stretch>
                          <a:fillRect/>
                        </a:stretch>
                      </a:blipFill>
                      <a:spPr bwMode="auto">
                        <a:xfrm>
                          <a:off x="1726" y="114"/>
                          <a:ext cx="866" cy="766"/>
                        </a:xfrm>
                        <a:prstGeom prst="rect">
                          <a:avLst/>
                        </a:prstGeom>
                        <a:noFill/>
                        <a:ln w="9525">
                          <a:noFill/>
                          <a:miter lim="800000"/>
                          <a:headEnd/>
                          <a:tailEnd/>
                        </a:ln>
                      </a:spPr>
                    </a:pic>
                  </a:grpSp>
                </lc:lockedCanvas>
              </a:graphicData>
            </a:graphic>
          </wp:inline>
        </w:drawing>
      </w:r>
    </w:p>
    <w:p w:rsidR="00437746" w:rsidRPr="00D05906" w:rsidRDefault="00437746" w:rsidP="00437746">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 xml:space="preserve">FISCAL </w:t>
      </w:r>
      <w:r w:rsidRPr="00D05906">
        <w:rPr>
          <w:rFonts w:ascii="Times New Roman" w:hAnsi="Times New Roman"/>
          <w:b/>
          <w:bCs/>
          <w:color w:val="000000"/>
          <w:sz w:val="40"/>
          <w:szCs w:val="40"/>
        </w:rPr>
        <w:t>Y</w:t>
      </w:r>
      <w:r>
        <w:rPr>
          <w:rFonts w:ascii="Times New Roman" w:hAnsi="Times New Roman"/>
          <w:b/>
          <w:bCs/>
          <w:color w:val="000000"/>
          <w:sz w:val="40"/>
          <w:szCs w:val="40"/>
        </w:rPr>
        <w:t>EAR</w:t>
      </w:r>
      <w:r w:rsidRPr="00D05906">
        <w:rPr>
          <w:rFonts w:ascii="Times New Roman" w:hAnsi="Times New Roman"/>
          <w:b/>
          <w:bCs/>
          <w:color w:val="000000"/>
          <w:sz w:val="40"/>
          <w:szCs w:val="40"/>
        </w:rPr>
        <w:t xml:space="preserve"> 201</w:t>
      </w:r>
      <w:r>
        <w:rPr>
          <w:rFonts w:ascii="Times New Roman" w:hAnsi="Times New Roman"/>
          <w:b/>
          <w:bCs/>
          <w:color w:val="000000"/>
          <w:sz w:val="40"/>
          <w:szCs w:val="40"/>
        </w:rPr>
        <w:t>2</w:t>
      </w:r>
      <w:r w:rsidRPr="00D05906">
        <w:rPr>
          <w:rFonts w:ascii="Times New Roman" w:hAnsi="Times New Roman"/>
          <w:b/>
          <w:bCs/>
          <w:color w:val="000000"/>
          <w:sz w:val="40"/>
          <w:szCs w:val="40"/>
        </w:rPr>
        <w:t xml:space="preserve"> </w:t>
      </w:r>
      <w:r>
        <w:rPr>
          <w:rFonts w:ascii="Times New Roman" w:hAnsi="Times New Roman"/>
          <w:b/>
          <w:bCs/>
          <w:color w:val="000000"/>
          <w:sz w:val="40"/>
          <w:szCs w:val="40"/>
        </w:rPr>
        <w:t>ACCOMPLISHMENT REPORT</w:t>
      </w:r>
    </w:p>
    <w:p w:rsidR="00437746" w:rsidRPr="00D05906" w:rsidRDefault="00437746" w:rsidP="00437746">
      <w:pPr>
        <w:autoSpaceDE w:val="0"/>
        <w:autoSpaceDN w:val="0"/>
        <w:adjustRightInd w:val="0"/>
        <w:spacing w:after="0" w:line="240" w:lineRule="auto"/>
        <w:jc w:val="center"/>
        <w:rPr>
          <w:rFonts w:ascii="Times New Roman" w:hAnsi="Times New Roman"/>
          <w:color w:val="000000"/>
          <w:sz w:val="40"/>
          <w:szCs w:val="40"/>
        </w:rPr>
      </w:pPr>
    </w:p>
    <w:p w:rsidR="00437746" w:rsidRPr="00D05906" w:rsidRDefault="00437746" w:rsidP="00437746">
      <w:pPr>
        <w:autoSpaceDE w:val="0"/>
        <w:autoSpaceDN w:val="0"/>
        <w:adjustRightInd w:val="0"/>
        <w:spacing w:after="0" w:line="240" w:lineRule="auto"/>
        <w:jc w:val="center"/>
        <w:rPr>
          <w:rFonts w:ascii="Times New Roman" w:hAnsi="Times New Roman"/>
          <w:b/>
          <w:bCs/>
          <w:color w:val="000000"/>
          <w:sz w:val="28"/>
          <w:szCs w:val="28"/>
        </w:rPr>
      </w:pPr>
      <w:r w:rsidRPr="00D05906">
        <w:rPr>
          <w:rFonts w:ascii="Times New Roman" w:hAnsi="Times New Roman"/>
          <w:b/>
          <w:bCs/>
          <w:color w:val="000000"/>
          <w:sz w:val="28"/>
          <w:szCs w:val="28"/>
        </w:rPr>
        <w:t>IN SUPPORT OF THE</w:t>
      </w:r>
    </w:p>
    <w:p w:rsidR="00437746" w:rsidRPr="00D05906" w:rsidRDefault="00437746" w:rsidP="00437746">
      <w:pPr>
        <w:autoSpaceDE w:val="0"/>
        <w:autoSpaceDN w:val="0"/>
        <w:adjustRightInd w:val="0"/>
        <w:spacing w:after="0" w:line="240" w:lineRule="auto"/>
        <w:jc w:val="center"/>
        <w:rPr>
          <w:rFonts w:ascii="Times New Roman" w:hAnsi="Times New Roman"/>
          <w:color w:val="000000"/>
          <w:sz w:val="28"/>
          <w:szCs w:val="28"/>
        </w:rPr>
      </w:pPr>
    </w:p>
    <w:p w:rsidR="00437746" w:rsidRPr="00D05906" w:rsidRDefault="00437746" w:rsidP="00437746">
      <w:pPr>
        <w:autoSpaceDE w:val="0"/>
        <w:autoSpaceDN w:val="0"/>
        <w:adjustRightInd w:val="0"/>
        <w:spacing w:after="0" w:line="240" w:lineRule="auto"/>
        <w:jc w:val="center"/>
        <w:rPr>
          <w:rFonts w:ascii="Times New Roman" w:hAnsi="Times New Roman"/>
          <w:color w:val="000000"/>
          <w:sz w:val="32"/>
          <w:szCs w:val="32"/>
        </w:rPr>
      </w:pPr>
      <w:r w:rsidRPr="00D05906">
        <w:rPr>
          <w:rFonts w:ascii="Times New Roman" w:hAnsi="Times New Roman"/>
          <w:b/>
          <w:bCs/>
          <w:color w:val="000000"/>
          <w:sz w:val="32"/>
          <w:szCs w:val="32"/>
        </w:rPr>
        <w:t>WHITE HOUSE INITIATIVE ON ASIAN AMERICANS</w:t>
      </w:r>
    </w:p>
    <w:p w:rsidR="00437746" w:rsidRPr="00D05906" w:rsidRDefault="00437746" w:rsidP="00437746">
      <w:pPr>
        <w:jc w:val="center"/>
        <w:rPr>
          <w:rFonts w:ascii="Times New Roman" w:hAnsi="Times New Roman"/>
          <w:b/>
          <w:bCs/>
          <w:color w:val="000000"/>
          <w:sz w:val="32"/>
          <w:szCs w:val="32"/>
        </w:rPr>
      </w:pPr>
      <w:r w:rsidRPr="00D05906">
        <w:rPr>
          <w:rFonts w:ascii="Times New Roman" w:hAnsi="Times New Roman"/>
          <w:b/>
          <w:bCs/>
          <w:color w:val="000000"/>
          <w:sz w:val="32"/>
          <w:szCs w:val="32"/>
        </w:rPr>
        <w:t>AND PACIFIC ISLANDERS</w:t>
      </w:r>
    </w:p>
    <w:p w:rsidR="00437746" w:rsidRDefault="00437746" w:rsidP="00437746">
      <w:pPr>
        <w:spacing w:after="0" w:line="240" w:lineRule="auto"/>
        <w:jc w:val="center"/>
        <w:rPr>
          <w:rFonts w:ascii="Arial" w:eastAsia="Times New Roman" w:hAnsi="Arial" w:cs="Arial"/>
          <w:b/>
          <w:bCs/>
          <w:sz w:val="28"/>
          <w:szCs w:val="28"/>
        </w:rPr>
      </w:pPr>
      <w:r w:rsidRPr="00E2054C">
        <w:rPr>
          <w:rFonts w:ascii="Times New Roman" w:hAnsi="Times New Roman"/>
          <w:b/>
          <w:bCs/>
          <w:color w:val="000000"/>
          <w:sz w:val="32"/>
          <w:szCs w:val="32"/>
        </w:rPr>
        <w:t>EXECUTIVE ORDER 13515</w:t>
      </w: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437746" w:rsidRDefault="00437746" w:rsidP="00D432FB">
      <w:pPr>
        <w:spacing w:after="0" w:line="240" w:lineRule="auto"/>
        <w:jc w:val="center"/>
        <w:rPr>
          <w:rFonts w:ascii="Arial" w:eastAsia="Times New Roman" w:hAnsi="Arial" w:cs="Arial"/>
          <w:b/>
          <w:bCs/>
          <w:sz w:val="28"/>
          <w:szCs w:val="28"/>
        </w:rPr>
      </w:pPr>
    </w:p>
    <w:p w:rsidR="001D76A0" w:rsidRDefault="001D76A0" w:rsidP="00D432FB">
      <w:pPr>
        <w:spacing w:after="0" w:line="240" w:lineRule="auto"/>
        <w:jc w:val="center"/>
        <w:rPr>
          <w:rFonts w:ascii="Arial" w:eastAsia="Times New Roman" w:hAnsi="Arial" w:cs="Arial"/>
          <w:b/>
          <w:bCs/>
          <w:smallCaps/>
          <w:sz w:val="24"/>
          <w:szCs w:val="24"/>
          <w:highlight w:val="lightGray"/>
        </w:rPr>
      </w:pPr>
    </w:p>
    <w:p w:rsidR="000B1F8D" w:rsidRPr="00560849" w:rsidRDefault="000B1F8D" w:rsidP="000B1F8D">
      <w:pPr>
        <w:shd w:val="clear" w:color="auto" w:fill="D9D9D9"/>
        <w:spacing w:after="0" w:line="240" w:lineRule="auto"/>
        <w:jc w:val="center"/>
        <w:rPr>
          <w:rFonts w:ascii="Arial" w:eastAsia="Times New Roman" w:hAnsi="Arial" w:cs="Arial"/>
          <w:smallCaps/>
          <w:sz w:val="24"/>
          <w:szCs w:val="24"/>
        </w:rPr>
      </w:pPr>
      <w:r w:rsidRPr="00560849">
        <w:rPr>
          <w:rFonts w:ascii="Arial" w:eastAsia="Times New Roman" w:hAnsi="Arial" w:cs="Arial"/>
          <w:b/>
          <w:bCs/>
          <w:smallCaps/>
          <w:sz w:val="24"/>
          <w:szCs w:val="24"/>
        </w:rPr>
        <w:lastRenderedPageBreak/>
        <w:t>U.S. Department of Veterans Affairs</w:t>
      </w:r>
    </w:p>
    <w:p w:rsidR="000B1F8D" w:rsidRPr="00560849" w:rsidRDefault="000B1F8D" w:rsidP="000B1F8D">
      <w:pPr>
        <w:tabs>
          <w:tab w:val="left" w:pos="720"/>
        </w:tabs>
        <w:spacing w:after="0" w:line="240" w:lineRule="auto"/>
        <w:jc w:val="both"/>
        <w:rPr>
          <w:rFonts w:ascii="Arial" w:eastAsia="Times New Roman" w:hAnsi="Arial" w:cs="Arial"/>
          <w:i/>
          <w:iCs/>
          <w:color w:val="232F63"/>
          <w:sz w:val="24"/>
          <w:szCs w:val="24"/>
        </w:rPr>
      </w:pPr>
    </w:p>
    <w:p w:rsidR="000B1F8D" w:rsidRPr="00560849" w:rsidRDefault="000B1F8D" w:rsidP="000B1F8D">
      <w:pPr>
        <w:spacing w:after="0" w:line="240" w:lineRule="auto"/>
        <w:rPr>
          <w:rFonts w:ascii="Arial" w:hAnsi="Arial" w:cs="Arial"/>
          <w:sz w:val="24"/>
          <w:szCs w:val="24"/>
        </w:rPr>
      </w:pPr>
      <w:r w:rsidRPr="00331E77">
        <w:rPr>
          <w:rFonts w:ascii="Arial" w:eastAsia="Times New Roman" w:hAnsi="Arial" w:cs="Arial"/>
          <w:b/>
          <w:i/>
          <w:iCs/>
          <w:color w:val="0D0D0D"/>
          <w:sz w:val="24"/>
          <w:szCs w:val="24"/>
        </w:rPr>
        <w:t>Mission</w:t>
      </w:r>
      <w:r w:rsidRPr="00560849">
        <w:rPr>
          <w:rFonts w:ascii="Arial" w:eastAsia="Times New Roman" w:hAnsi="Arial" w:cs="Arial"/>
          <w:i/>
          <w:iCs/>
          <w:color w:val="0D0D0D"/>
          <w:sz w:val="24"/>
          <w:szCs w:val="24"/>
        </w:rPr>
        <w:t>.</w:t>
      </w:r>
      <w:r w:rsidRPr="00560849">
        <w:rPr>
          <w:rFonts w:ascii="Arial" w:eastAsia="Times New Roman" w:hAnsi="Arial" w:cs="Arial"/>
          <w:color w:val="0D0D0D"/>
          <w:sz w:val="24"/>
          <w:szCs w:val="24"/>
        </w:rPr>
        <w:t xml:space="preserve">  The</w:t>
      </w:r>
      <w:r w:rsidRPr="00560849">
        <w:rPr>
          <w:rFonts w:ascii="Arial" w:eastAsia="Times New Roman" w:hAnsi="Arial" w:cs="Arial"/>
          <w:color w:val="000000"/>
          <w:sz w:val="24"/>
          <w:szCs w:val="24"/>
        </w:rPr>
        <w:t xml:space="preserve"> U.S. Department of Veterans Affairs (VA) </w:t>
      </w:r>
      <w:r w:rsidRPr="00560849">
        <w:rPr>
          <w:rFonts w:ascii="Arial" w:hAnsi="Arial" w:cs="Arial"/>
          <w:sz w:val="24"/>
          <w:szCs w:val="24"/>
        </w:rPr>
        <w:t>is responsible for a timeless mission: “To care for him who shall have borne the battle and for his widow, and his orphan”— by serving and honoring the men and women who are America’s Veterans.</w:t>
      </w:r>
    </w:p>
    <w:p w:rsidR="000B1F8D" w:rsidRPr="000B1F8D" w:rsidRDefault="000B1F8D" w:rsidP="000B1F8D">
      <w:pPr>
        <w:spacing w:after="0" w:line="240" w:lineRule="auto"/>
        <w:rPr>
          <w:rFonts w:ascii="Arial" w:hAnsi="Arial" w:cs="Arial"/>
          <w:sz w:val="24"/>
          <w:szCs w:val="24"/>
          <w:highlight w:val="green"/>
        </w:rPr>
      </w:pPr>
    </w:p>
    <w:p w:rsidR="000B1F8D" w:rsidRPr="000B1F8D" w:rsidRDefault="000B1F8D" w:rsidP="00C30724">
      <w:pPr>
        <w:spacing w:after="0" w:line="240" w:lineRule="auto"/>
        <w:rPr>
          <w:rFonts w:ascii="Arial" w:eastAsia="Times New Roman" w:hAnsi="Arial" w:cs="Arial"/>
          <w:b/>
          <w:bCs/>
          <w:smallCaps/>
          <w:sz w:val="24"/>
          <w:szCs w:val="24"/>
          <w:highlight w:val="green"/>
        </w:rPr>
      </w:pPr>
      <w:r w:rsidRPr="00560849">
        <w:rPr>
          <w:rFonts w:ascii="Arial" w:hAnsi="Arial" w:cs="Arial"/>
          <w:sz w:val="24"/>
          <w:szCs w:val="24"/>
        </w:rPr>
        <w:t xml:space="preserve">As the second largest Cabinet level agency, as of </w:t>
      </w:r>
      <w:r w:rsidR="00560849" w:rsidRPr="00560849">
        <w:rPr>
          <w:rFonts w:ascii="Arial" w:hAnsi="Arial" w:cs="Arial"/>
          <w:sz w:val="24"/>
          <w:szCs w:val="24"/>
        </w:rPr>
        <w:t xml:space="preserve">August </w:t>
      </w:r>
      <w:r w:rsidRPr="00560849">
        <w:rPr>
          <w:rFonts w:ascii="Arial" w:hAnsi="Arial" w:cs="Arial"/>
          <w:sz w:val="24"/>
          <w:szCs w:val="24"/>
        </w:rPr>
        <w:t>3</w:t>
      </w:r>
      <w:r w:rsidR="00560849" w:rsidRPr="00560849">
        <w:rPr>
          <w:rFonts w:ascii="Arial" w:hAnsi="Arial" w:cs="Arial"/>
          <w:sz w:val="24"/>
          <w:szCs w:val="24"/>
        </w:rPr>
        <w:t>1, 2012, VA employs 321,627</w:t>
      </w:r>
      <w:r w:rsidRPr="00560849">
        <w:rPr>
          <w:rFonts w:ascii="Arial" w:hAnsi="Arial" w:cs="Arial"/>
          <w:sz w:val="24"/>
          <w:szCs w:val="24"/>
        </w:rPr>
        <w:t xml:space="preserve"> (permanent and temporary) individuals and provides health care, benefits, and memorial services to approximately 25 million Veterans.  VA is comprised of four major components: the Veterans Health Administration (VHA), the Veterans Benefits Administration (VBA), the National Cemetery Administration (NCA), and the VA Central Office (VACO</w:t>
      </w:r>
      <w:r w:rsidRPr="00DC491F">
        <w:rPr>
          <w:rFonts w:ascii="Arial" w:hAnsi="Arial" w:cs="Arial"/>
          <w:sz w:val="24"/>
          <w:szCs w:val="24"/>
        </w:rPr>
        <w:t xml:space="preserve">). </w:t>
      </w:r>
    </w:p>
    <w:p w:rsidR="000B1F8D" w:rsidRDefault="000B1F8D" w:rsidP="00D432FB">
      <w:pPr>
        <w:spacing w:after="0" w:line="240" w:lineRule="auto"/>
        <w:jc w:val="center"/>
        <w:rPr>
          <w:rFonts w:ascii="Arial" w:eastAsia="Times New Roman" w:hAnsi="Arial" w:cs="Arial"/>
          <w:b/>
          <w:bCs/>
          <w:smallCaps/>
          <w:sz w:val="24"/>
          <w:szCs w:val="24"/>
          <w:highlight w:val="lightGray"/>
        </w:rPr>
      </w:pPr>
    </w:p>
    <w:p w:rsidR="00887BB0" w:rsidRPr="000F13E1" w:rsidRDefault="008672FF" w:rsidP="00924B06">
      <w:pPr>
        <w:spacing w:after="0" w:line="240" w:lineRule="auto"/>
        <w:jc w:val="both"/>
        <w:rPr>
          <w:rFonts w:ascii="Arial" w:hAnsi="Arial" w:cs="Arial"/>
          <w:sz w:val="24"/>
          <w:szCs w:val="24"/>
        </w:rPr>
      </w:pPr>
      <w:r w:rsidRPr="008672FF">
        <w:rPr>
          <w:rFonts w:ascii="Arial" w:hAnsi="Arial" w:cs="Arial"/>
          <w:sz w:val="24"/>
          <w:szCs w:val="24"/>
        </w:rPr>
        <w:t>Per Executive Order (E.O.) 13515, VA identified High Priority Performance Goals (HPPGs), W</w:t>
      </w:r>
      <w:r w:rsidR="009C0916">
        <w:rPr>
          <w:rFonts w:ascii="Arial" w:hAnsi="Arial" w:cs="Arial"/>
          <w:sz w:val="24"/>
          <w:szCs w:val="24"/>
        </w:rPr>
        <w:t xml:space="preserve">hite </w:t>
      </w:r>
      <w:r w:rsidRPr="008672FF">
        <w:rPr>
          <w:rFonts w:ascii="Arial" w:hAnsi="Arial" w:cs="Arial"/>
          <w:sz w:val="24"/>
          <w:szCs w:val="24"/>
        </w:rPr>
        <w:t>H</w:t>
      </w:r>
      <w:r w:rsidR="009C0916">
        <w:rPr>
          <w:rFonts w:ascii="Arial" w:hAnsi="Arial" w:cs="Arial"/>
          <w:sz w:val="24"/>
          <w:szCs w:val="24"/>
        </w:rPr>
        <w:t xml:space="preserve">ouse </w:t>
      </w:r>
      <w:r w:rsidRPr="008672FF">
        <w:rPr>
          <w:rFonts w:ascii="Arial" w:hAnsi="Arial" w:cs="Arial"/>
          <w:sz w:val="24"/>
          <w:szCs w:val="24"/>
        </w:rPr>
        <w:t>I</w:t>
      </w:r>
      <w:r w:rsidR="009C0916">
        <w:rPr>
          <w:rFonts w:ascii="Arial" w:hAnsi="Arial" w:cs="Arial"/>
          <w:sz w:val="24"/>
          <w:szCs w:val="24"/>
        </w:rPr>
        <w:t xml:space="preserve">nitiative </w:t>
      </w:r>
      <w:r w:rsidR="0030602C">
        <w:rPr>
          <w:rFonts w:ascii="Arial" w:hAnsi="Arial" w:cs="Arial"/>
          <w:sz w:val="24"/>
          <w:szCs w:val="24"/>
        </w:rPr>
        <w:t xml:space="preserve">on </w:t>
      </w:r>
      <w:r w:rsidRPr="008672FF">
        <w:rPr>
          <w:rFonts w:ascii="Arial" w:hAnsi="Arial" w:cs="Arial"/>
          <w:sz w:val="24"/>
          <w:szCs w:val="24"/>
        </w:rPr>
        <w:t>A</w:t>
      </w:r>
      <w:r w:rsidR="009C0916">
        <w:rPr>
          <w:rFonts w:ascii="Arial" w:hAnsi="Arial" w:cs="Arial"/>
          <w:sz w:val="24"/>
          <w:szCs w:val="24"/>
        </w:rPr>
        <w:t xml:space="preserve">sian </w:t>
      </w:r>
      <w:r w:rsidRPr="008672FF">
        <w:rPr>
          <w:rFonts w:ascii="Arial" w:hAnsi="Arial" w:cs="Arial"/>
          <w:sz w:val="24"/>
          <w:szCs w:val="24"/>
        </w:rPr>
        <w:t>A</w:t>
      </w:r>
      <w:r w:rsidR="009C0916">
        <w:rPr>
          <w:rFonts w:ascii="Arial" w:hAnsi="Arial" w:cs="Arial"/>
          <w:sz w:val="24"/>
          <w:szCs w:val="24"/>
        </w:rPr>
        <w:t>merican</w:t>
      </w:r>
      <w:r w:rsidR="0030602C">
        <w:rPr>
          <w:rFonts w:ascii="Arial" w:hAnsi="Arial" w:cs="Arial"/>
          <w:sz w:val="24"/>
          <w:szCs w:val="24"/>
        </w:rPr>
        <w:t>s</w:t>
      </w:r>
      <w:r w:rsidR="009C0916">
        <w:rPr>
          <w:rFonts w:ascii="Arial" w:hAnsi="Arial" w:cs="Arial"/>
          <w:sz w:val="24"/>
          <w:szCs w:val="24"/>
        </w:rPr>
        <w:t xml:space="preserve"> </w:t>
      </w:r>
      <w:r w:rsidR="0030602C">
        <w:rPr>
          <w:rFonts w:ascii="Arial" w:hAnsi="Arial" w:cs="Arial"/>
          <w:sz w:val="24"/>
          <w:szCs w:val="24"/>
        </w:rPr>
        <w:t xml:space="preserve">and </w:t>
      </w:r>
      <w:r w:rsidRPr="008672FF">
        <w:rPr>
          <w:rFonts w:ascii="Arial" w:hAnsi="Arial" w:cs="Arial"/>
          <w:sz w:val="24"/>
          <w:szCs w:val="24"/>
        </w:rPr>
        <w:t>P</w:t>
      </w:r>
      <w:r w:rsidR="009C0916">
        <w:rPr>
          <w:rFonts w:ascii="Arial" w:hAnsi="Arial" w:cs="Arial"/>
          <w:sz w:val="24"/>
          <w:szCs w:val="24"/>
        </w:rPr>
        <w:t xml:space="preserve">acific </w:t>
      </w:r>
      <w:r w:rsidRPr="008672FF">
        <w:rPr>
          <w:rFonts w:ascii="Arial" w:hAnsi="Arial" w:cs="Arial"/>
          <w:sz w:val="24"/>
          <w:szCs w:val="24"/>
        </w:rPr>
        <w:t>I</w:t>
      </w:r>
      <w:r w:rsidR="009C0916">
        <w:rPr>
          <w:rFonts w:ascii="Arial" w:hAnsi="Arial" w:cs="Arial"/>
          <w:sz w:val="24"/>
          <w:szCs w:val="24"/>
        </w:rPr>
        <w:t>slander</w:t>
      </w:r>
      <w:r w:rsidR="0030602C">
        <w:rPr>
          <w:rFonts w:ascii="Arial" w:hAnsi="Arial" w:cs="Arial"/>
          <w:sz w:val="24"/>
          <w:szCs w:val="24"/>
        </w:rPr>
        <w:t>s</w:t>
      </w:r>
      <w:r w:rsidR="009C0916">
        <w:rPr>
          <w:rFonts w:ascii="Arial" w:hAnsi="Arial" w:cs="Arial"/>
          <w:sz w:val="24"/>
          <w:szCs w:val="24"/>
        </w:rPr>
        <w:t xml:space="preserve"> (WHIAAPI)</w:t>
      </w:r>
      <w:r w:rsidRPr="008672FF">
        <w:rPr>
          <w:rFonts w:ascii="Arial" w:hAnsi="Arial" w:cs="Arial"/>
          <w:sz w:val="24"/>
          <w:szCs w:val="24"/>
        </w:rPr>
        <w:t xml:space="preserve"> Cross Cutting </w:t>
      </w:r>
      <w:r w:rsidR="0069331C">
        <w:rPr>
          <w:rFonts w:ascii="Arial" w:hAnsi="Arial" w:cs="Arial"/>
          <w:sz w:val="24"/>
          <w:szCs w:val="24"/>
        </w:rPr>
        <w:t>G</w:t>
      </w:r>
      <w:r w:rsidRPr="008672FF">
        <w:rPr>
          <w:rFonts w:ascii="Arial" w:hAnsi="Arial" w:cs="Arial"/>
          <w:sz w:val="24"/>
          <w:szCs w:val="24"/>
        </w:rPr>
        <w:t xml:space="preserve">oals, and Agency-Specific </w:t>
      </w:r>
      <w:r w:rsidR="0069331C">
        <w:rPr>
          <w:rFonts w:ascii="Arial" w:hAnsi="Arial" w:cs="Arial"/>
          <w:sz w:val="24"/>
          <w:szCs w:val="24"/>
        </w:rPr>
        <w:t>G</w:t>
      </w:r>
      <w:r w:rsidRPr="008672FF">
        <w:rPr>
          <w:rFonts w:ascii="Arial" w:hAnsi="Arial" w:cs="Arial"/>
          <w:sz w:val="24"/>
          <w:szCs w:val="24"/>
        </w:rPr>
        <w:t>oals that were relevant to helping increase the A</w:t>
      </w:r>
      <w:r w:rsidR="009C0916">
        <w:rPr>
          <w:rFonts w:ascii="Arial" w:hAnsi="Arial" w:cs="Arial"/>
          <w:sz w:val="24"/>
          <w:szCs w:val="24"/>
        </w:rPr>
        <w:t xml:space="preserve">sian </w:t>
      </w:r>
      <w:r w:rsidRPr="008672FF">
        <w:rPr>
          <w:rFonts w:ascii="Arial" w:hAnsi="Arial" w:cs="Arial"/>
          <w:sz w:val="24"/>
          <w:szCs w:val="24"/>
        </w:rPr>
        <w:t>A</w:t>
      </w:r>
      <w:r w:rsidR="009C0916">
        <w:rPr>
          <w:rFonts w:ascii="Arial" w:hAnsi="Arial" w:cs="Arial"/>
          <w:sz w:val="24"/>
          <w:szCs w:val="24"/>
        </w:rPr>
        <w:t>merican</w:t>
      </w:r>
      <w:r w:rsidR="0030602C">
        <w:rPr>
          <w:rFonts w:ascii="Arial" w:hAnsi="Arial" w:cs="Arial"/>
          <w:sz w:val="24"/>
          <w:szCs w:val="24"/>
        </w:rPr>
        <w:t>s</w:t>
      </w:r>
      <w:r w:rsidR="009C0916">
        <w:rPr>
          <w:rFonts w:ascii="Arial" w:hAnsi="Arial" w:cs="Arial"/>
          <w:sz w:val="24"/>
          <w:szCs w:val="24"/>
        </w:rPr>
        <w:t xml:space="preserve"> </w:t>
      </w:r>
      <w:r w:rsidRPr="008672FF">
        <w:rPr>
          <w:rFonts w:ascii="Arial" w:hAnsi="Arial" w:cs="Arial"/>
          <w:sz w:val="24"/>
          <w:szCs w:val="24"/>
        </w:rPr>
        <w:t>P</w:t>
      </w:r>
      <w:r w:rsidR="009C0916">
        <w:rPr>
          <w:rFonts w:ascii="Arial" w:hAnsi="Arial" w:cs="Arial"/>
          <w:sz w:val="24"/>
          <w:szCs w:val="24"/>
        </w:rPr>
        <w:t xml:space="preserve">acific </w:t>
      </w:r>
      <w:r w:rsidRPr="008672FF">
        <w:rPr>
          <w:rFonts w:ascii="Arial" w:hAnsi="Arial" w:cs="Arial"/>
          <w:sz w:val="24"/>
          <w:szCs w:val="24"/>
        </w:rPr>
        <w:t>I</w:t>
      </w:r>
      <w:r w:rsidR="009C0916">
        <w:rPr>
          <w:rFonts w:ascii="Arial" w:hAnsi="Arial" w:cs="Arial"/>
          <w:sz w:val="24"/>
          <w:szCs w:val="24"/>
        </w:rPr>
        <w:t>slander</w:t>
      </w:r>
      <w:r w:rsidR="0030602C">
        <w:rPr>
          <w:rFonts w:ascii="Arial" w:hAnsi="Arial" w:cs="Arial"/>
          <w:sz w:val="24"/>
          <w:szCs w:val="24"/>
        </w:rPr>
        <w:t>s</w:t>
      </w:r>
      <w:r w:rsidR="009C0916">
        <w:rPr>
          <w:rFonts w:ascii="Arial" w:hAnsi="Arial" w:cs="Arial"/>
          <w:sz w:val="24"/>
          <w:szCs w:val="24"/>
        </w:rPr>
        <w:t xml:space="preserve"> (AAPI)</w:t>
      </w:r>
      <w:r w:rsidRPr="008672FF">
        <w:rPr>
          <w:rFonts w:ascii="Arial" w:hAnsi="Arial" w:cs="Arial"/>
          <w:sz w:val="24"/>
          <w:szCs w:val="24"/>
        </w:rPr>
        <w:t xml:space="preserve"> community’s participation in and access to the agency’s programs. </w:t>
      </w:r>
      <w:r w:rsidR="009C0916">
        <w:rPr>
          <w:rFonts w:ascii="Arial" w:hAnsi="Arial" w:cs="Arial"/>
          <w:sz w:val="24"/>
          <w:szCs w:val="24"/>
        </w:rPr>
        <w:t xml:space="preserve">All of the aforementioned goals were captured in VA’s </w:t>
      </w:r>
      <w:r w:rsidR="0069331C">
        <w:rPr>
          <w:rFonts w:ascii="Arial" w:hAnsi="Arial" w:cs="Arial"/>
          <w:sz w:val="24"/>
          <w:szCs w:val="24"/>
        </w:rPr>
        <w:t xml:space="preserve">Fiscal Years </w:t>
      </w:r>
      <w:r w:rsidR="00F34356">
        <w:rPr>
          <w:rFonts w:ascii="Arial" w:hAnsi="Arial" w:cs="Arial"/>
          <w:sz w:val="24"/>
          <w:szCs w:val="24"/>
        </w:rPr>
        <w:t xml:space="preserve">(FY) </w:t>
      </w:r>
      <w:r w:rsidR="0069331C">
        <w:rPr>
          <w:rFonts w:ascii="Arial" w:hAnsi="Arial" w:cs="Arial"/>
          <w:sz w:val="24"/>
          <w:szCs w:val="24"/>
        </w:rPr>
        <w:t xml:space="preserve">2011 and 2012 </w:t>
      </w:r>
      <w:r w:rsidR="009C0916">
        <w:rPr>
          <w:rFonts w:ascii="Arial" w:hAnsi="Arial" w:cs="Arial"/>
          <w:sz w:val="24"/>
          <w:szCs w:val="24"/>
        </w:rPr>
        <w:t>WHIAAPI Plan</w:t>
      </w:r>
      <w:r w:rsidR="0069331C">
        <w:rPr>
          <w:rFonts w:ascii="Arial" w:hAnsi="Arial" w:cs="Arial"/>
          <w:sz w:val="24"/>
          <w:szCs w:val="24"/>
        </w:rPr>
        <w:t>.</w:t>
      </w:r>
      <w:r w:rsidR="009C0916">
        <w:rPr>
          <w:rFonts w:ascii="Arial" w:hAnsi="Arial" w:cs="Arial"/>
          <w:sz w:val="24"/>
          <w:szCs w:val="24"/>
        </w:rPr>
        <w:t xml:space="preserve"> As a close-out to the two-year plan, below is the report on VA’s</w:t>
      </w:r>
      <w:r w:rsidRPr="008672FF">
        <w:rPr>
          <w:rFonts w:ascii="Arial" w:hAnsi="Arial" w:cs="Arial"/>
          <w:sz w:val="24"/>
          <w:szCs w:val="24"/>
        </w:rPr>
        <w:t xml:space="preserve"> </w:t>
      </w:r>
      <w:r w:rsidR="0069331C">
        <w:rPr>
          <w:rFonts w:ascii="Arial" w:hAnsi="Arial" w:cs="Arial"/>
          <w:sz w:val="24"/>
          <w:szCs w:val="24"/>
        </w:rPr>
        <w:t>progress and a</w:t>
      </w:r>
      <w:r w:rsidRPr="008672FF">
        <w:rPr>
          <w:rFonts w:ascii="Arial" w:hAnsi="Arial" w:cs="Arial"/>
          <w:sz w:val="24"/>
          <w:szCs w:val="24"/>
        </w:rPr>
        <w:t>ccomplishments</w:t>
      </w:r>
      <w:r w:rsidR="0069331C">
        <w:rPr>
          <w:rFonts w:ascii="Arial" w:hAnsi="Arial" w:cs="Arial"/>
          <w:sz w:val="24"/>
          <w:szCs w:val="24"/>
        </w:rPr>
        <w:t xml:space="preserve"> with meeting our stated goals. The report primarily focuses on FY 2012 </w:t>
      </w:r>
      <w:r w:rsidR="00B47F7B">
        <w:rPr>
          <w:rFonts w:ascii="Arial" w:hAnsi="Arial" w:cs="Arial"/>
          <w:sz w:val="24"/>
          <w:szCs w:val="24"/>
        </w:rPr>
        <w:t xml:space="preserve">relevant </w:t>
      </w:r>
      <w:r w:rsidR="0069331C">
        <w:rPr>
          <w:rFonts w:ascii="Arial" w:hAnsi="Arial" w:cs="Arial"/>
          <w:sz w:val="24"/>
          <w:szCs w:val="24"/>
        </w:rPr>
        <w:t xml:space="preserve">outcomes </w:t>
      </w:r>
      <w:r w:rsidR="0030602C">
        <w:rPr>
          <w:rFonts w:ascii="Arial" w:hAnsi="Arial" w:cs="Arial"/>
          <w:sz w:val="24"/>
          <w:szCs w:val="24"/>
        </w:rPr>
        <w:t xml:space="preserve">for goals </w:t>
      </w:r>
      <w:r w:rsidR="0069331C">
        <w:rPr>
          <w:rFonts w:ascii="Arial" w:hAnsi="Arial" w:cs="Arial"/>
          <w:sz w:val="24"/>
          <w:szCs w:val="24"/>
        </w:rPr>
        <w:t>that are specific to the AAPI community versus all demographic groups</w:t>
      </w:r>
      <w:r w:rsidR="0030602C">
        <w:rPr>
          <w:rFonts w:ascii="Arial" w:hAnsi="Arial" w:cs="Arial"/>
          <w:sz w:val="24"/>
          <w:szCs w:val="24"/>
        </w:rPr>
        <w:t xml:space="preserve"> in general</w:t>
      </w:r>
      <w:r w:rsidR="0069331C">
        <w:rPr>
          <w:rFonts w:ascii="Arial" w:hAnsi="Arial" w:cs="Arial"/>
          <w:sz w:val="24"/>
          <w:szCs w:val="24"/>
        </w:rPr>
        <w:t>.</w:t>
      </w:r>
      <w:r w:rsidR="00636530">
        <w:rPr>
          <w:rFonts w:ascii="Arial" w:hAnsi="Arial" w:cs="Arial"/>
          <w:sz w:val="24"/>
          <w:szCs w:val="24"/>
        </w:rPr>
        <w:t xml:space="preserve"> </w:t>
      </w:r>
      <w:r w:rsidR="00924B06">
        <w:rPr>
          <w:rFonts w:ascii="Arial" w:hAnsi="Arial" w:cs="Arial"/>
          <w:sz w:val="24"/>
          <w:szCs w:val="24"/>
        </w:rPr>
        <w:t>T</w:t>
      </w:r>
      <w:r w:rsidR="0069331C">
        <w:rPr>
          <w:rFonts w:ascii="Arial" w:hAnsi="Arial" w:cs="Arial"/>
          <w:sz w:val="24"/>
          <w:szCs w:val="24"/>
        </w:rPr>
        <w:t xml:space="preserve">he information is </w:t>
      </w:r>
      <w:r w:rsidR="0030602C">
        <w:rPr>
          <w:rFonts w:ascii="Arial" w:hAnsi="Arial" w:cs="Arial"/>
          <w:sz w:val="24"/>
          <w:szCs w:val="24"/>
        </w:rPr>
        <w:t>pres</w:t>
      </w:r>
      <w:r w:rsidRPr="008672FF">
        <w:rPr>
          <w:rFonts w:ascii="Arial" w:hAnsi="Arial" w:cs="Arial"/>
          <w:sz w:val="24"/>
          <w:szCs w:val="24"/>
        </w:rPr>
        <w:t xml:space="preserve">ented by VA components, </w:t>
      </w:r>
      <w:r w:rsidR="00B47F7B">
        <w:rPr>
          <w:rFonts w:ascii="Arial" w:hAnsi="Arial" w:cs="Arial"/>
          <w:sz w:val="24"/>
          <w:szCs w:val="24"/>
        </w:rPr>
        <w:t>under</w:t>
      </w:r>
      <w:r w:rsidRPr="008672FF">
        <w:rPr>
          <w:rFonts w:ascii="Arial" w:hAnsi="Arial" w:cs="Arial"/>
          <w:sz w:val="24"/>
          <w:szCs w:val="24"/>
        </w:rPr>
        <w:t xml:space="preserve"> each of the goals and objectives.  </w:t>
      </w:r>
      <w:r w:rsidR="00887BB0">
        <w:rPr>
          <w:rFonts w:ascii="Arial" w:hAnsi="Arial" w:cs="Arial"/>
          <w:sz w:val="24"/>
          <w:szCs w:val="24"/>
        </w:rPr>
        <w:t xml:space="preserve">A separate report </w:t>
      </w:r>
      <w:r w:rsidR="0069331C">
        <w:rPr>
          <w:rFonts w:ascii="Arial" w:hAnsi="Arial" w:cs="Arial"/>
          <w:sz w:val="24"/>
          <w:szCs w:val="24"/>
        </w:rPr>
        <w:t xml:space="preserve">covering FY 2011 accomplishments </w:t>
      </w:r>
      <w:r w:rsidR="00887BB0">
        <w:rPr>
          <w:rFonts w:ascii="Arial" w:hAnsi="Arial" w:cs="Arial"/>
          <w:sz w:val="24"/>
          <w:szCs w:val="24"/>
        </w:rPr>
        <w:t xml:space="preserve">was submitted </w:t>
      </w:r>
      <w:r w:rsidR="0069331C">
        <w:rPr>
          <w:rFonts w:ascii="Arial" w:hAnsi="Arial" w:cs="Arial"/>
          <w:sz w:val="24"/>
          <w:szCs w:val="24"/>
        </w:rPr>
        <w:t xml:space="preserve">to the WHIAAPI </w:t>
      </w:r>
      <w:r w:rsidR="00887BB0">
        <w:rPr>
          <w:rFonts w:ascii="Arial" w:hAnsi="Arial" w:cs="Arial"/>
          <w:sz w:val="24"/>
          <w:szCs w:val="24"/>
        </w:rPr>
        <w:t xml:space="preserve">on April 4, 2012.  Future reports will be based on </w:t>
      </w:r>
      <w:r w:rsidR="0030602C">
        <w:rPr>
          <w:rFonts w:ascii="Arial" w:hAnsi="Arial" w:cs="Arial"/>
          <w:sz w:val="24"/>
          <w:szCs w:val="24"/>
        </w:rPr>
        <w:t>VA’s</w:t>
      </w:r>
      <w:r w:rsidR="00636530">
        <w:rPr>
          <w:rFonts w:ascii="Arial" w:hAnsi="Arial" w:cs="Arial"/>
          <w:sz w:val="24"/>
          <w:szCs w:val="24"/>
        </w:rPr>
        <w:t xml:space="preserve"> </w:t>
      </w:r>
      <w:r w:rsidR="00887BB0">
        <w:rPr>
          <w:rFonts w:ascii="Arial" w:hAnsi="Arial" w:cs="Arial"/>
          <w:sz w:val="24"/>
          <w:szCs w:val="24"/>
        </w:rPr>
        <w:t xml:space="preserve">new </w:t>
      </w:r>
      <w:r w:rsidR="0069331C">
        <w:rPr>
          <w:rFonts w:ascii="Arial" w:hAnsi="Arial" w:cs="Arial"/>
          <w:sz w:val="24"/>
          <w:szCs w:val="24"/>
        </w:rPr>
        <w:t>FY 2013 WHI</w:t>
      </w:r>
      <w:r w:rsidR="00887BB0">
        <w:rPr>
          <w:rFonts w:ascii="Arial" w:hAnsi="Arial" w:cs="Arial"/>
          <w:sz w:val="24"/>
          <w:szCs w:val="24"/>
        </w:rPr>
        <w:t xml:space="preserve">AAPI plan </w:t>
      </w:r>
      <w:r w:rsidR="0069331C">
        <w:rPr>
          <w:rFonts w:ascii="Arial" w:hAnsi="Arial" w:cs="Arial"/>
          <w:sz w:val="24"/>
          <w:szCs w:val="24"/>
        </w:rPr>
        <w:t>that has been developed and is</w:t>
      </w:r>
      <w:r w:rsidR="00B47F7B">
        <w:rPr>
          <w:rFonts w:ascii="Arial" w:hAnsi="Arial" w:cs="Arial"/>
          <w:sz w:val="24"/>
          <w:szCs w:val="24"/>
        </w:rPr>
        <w:t xml:space="preserve"> </w:t>
      </w:r>
      <w:r w:rsidR="00887BB0">
        <w:rPr>
          <w:rFonts w:ascii="Arial" w:hAnsi="Arial" w:cs="Arial"/>
          <w:sz w:val="24"/>
          <w:szCs w:val="24"/>
        </w:rPr>
        <w:t xml:space="preserve">currently being </w:t>
      </w:r>
      <w:r w:rsidR="0069331C">
        <w:rPr>
          <w:rFonts w:ascii="Arial" w:hAnsi="Arial" w:cs="Arial"/>
          <w:sz w:val="24"/>
          <w:szCs w:val="24"/>
        </w:rPr>
        <w:t>coordinated for final approval</w:t>
      </w:r>
      <w:r w:rsidR="00887BB0">
        <w:rPr>
          <w:rFonts w:ascii="Arial" w:hAnsi="Arial" w:cs="Arial"/>
          <w:sz w:val="24"/>
          <w:szCs w:val="24"/>
        </w:rPr>
        <w:t xml:space="preserve">.  </w:t>
      </w:r>
    </w:p>
    <w:p w:rsidR="00887BB0" w:rsidRDefault="00887BB0" w:rsidP="00D432FB">
      <w:pPr>
        <w:spacing w:after="0" w:line="240" w:lineRule="auto"/>
        <w:jc w:val="both"/>
        <w:rPr>
          <w:rFonts w:ascii="Arial" w:hAnsi="Arial" w:cs="Arial"/>
          <w:sz w:val="24"/>
          <w:szCs w:val="24"/>
        </w:rPr>
      </w:pPr>
    </w:p>
    <w:p w:rsidR="00B5257F" w:rsidRPr="000F13E1" w:rsidRDefault="00B5257F" w:rsidP="00B5257F">
      <w:pPr>
        <w:spacing w:after="0" w:line="240" w:lineRule="auto"/>
        <w:jc w:val="center"/>
        <w:rPr>
          <w:rFonts w:ascii="Arial" w:eastAsia="Times New Roman" w:hAnsi="Arial" w:cs="Arial"/>
          <w:b/>
          <w:bCs/>
          <w:smallCaps/>
          <w:sz w:val="24"/>
          <w:szCs w:val="24"/>
        </w:rPr>
      </w:pPr>
      <w:r>
        <w:rPr>
          <w:rFonts w:ascii="Arial" w:eastAsia="Times New Roman" w:hAnsi="Arial" w:cs="Arial"/>
          <w:b/>
          <w:bCs/>
          <w:smallCaps/>
          <w:sz w:val="24"/>
          <w:szCs w:val="24"/>
          <w:highlight w:val="lightGray"/>
        </w:rPr>
        <w:t xml:space="preserve">High </w:t>
      </w:r>
      <w:r w:rsidRPr="005750A7">
        <w:rPr>
          <w:rFonts w:ascii="Arial" w:eastAsia="Times New Roman" w:hAnsi="Arial" w:cs="Arial"/>
          <w:b/>
          <w:bCs/>
          <w:smallCaps/>
          <w:sz w:val="24"/>
          <w:szCs w:val="24"/>
          <w:highlight w:val="lightGray"/>
        </w:rPr>
        <w:t>Priority P</w:t>
      </w:r>
      <w:r>
        <w:rPr>
          <w:rFonts w:ascii="Arial" w:eastAsia="Times New Roman" w:hAnsi="Arial" w:cs="Arial"/>
          <w:b/>
          <w:bCs/>
          <w:smallCaps/>
          <w:sz w:val="24"/>
          <w:szCs w:val="24"/>
          <w:highlight w:val="lightGray"/>
        </w:rPr>
        <w:t>erformance</w:t>
      </w:r>
      <w:r w:rsidRPr="005750A7">
        <w:rPr>
          <w:rFonts w:ascii="Arial" w:eastAsia="Times New Roman" w:hAnsi="Arial" w:cs="Arial"/>
          <w:b/>
          <w:bCs/>
          <w:smallCaps/>
          <w:sz w:val="24"/>
          <w:szCs w:val="24"/>
          <w:highlight w:val="lightGray"/>
        </w:rPr>
        <w:t xml:space="preserve"> Goals for the Asian American and Pacific Islander Community</w:t>
      </w:r>
    </w:p>
    <w:p w:rsidR="00B5257F" w:rsidRPr="000F13E1" w:rsidRDefault="00B5257F" w:rsidP="00D432FB">
      <w:pPr>
        <w:spacing w:after="0" w:line="240" w:lineRule="auto"/>
        <w:jc w:val="both"/>
        <w:rPr>
          <w:rFonts w:ascii="Arial" w:hAnsi="Arial" w:cs="Arial"/>
          <w:sz w:val="24"/>
          <w:szCs w:val="24"/>
        </w:rPr>
      </w:pPr>
    </w:p>
    <w:p w:rsidR="00D432FB" w:rsidRPr="00D7572F" w:rsidRDefault="00D432FB" w:rsidP="00D432FB">
      <w:pPr>
        <w:spacing w:after="0" w:line="240" w:lineRule="auto"/>
        <w:ind w:left="1440" w:hanging="1440"/>
        <w:rPr>
          <w:rFonts w:ascii="Arial" w:hAnsi="Arial" w:cs="Arial"/>
          <w:b/>
          <w:i/>
          <w:color w:val="0D0D0D"/>
          <w:sz w:val="24"/>
          <w:szCs w:val="24"/>
        </w:rPr>
      </w:pPr>
      <w:r w:rsidRPr="00D7572F">
        <w:rPr>
          <w:rFonts w:ascii="Arial" w:hAnsi="Arial" w:cs="Arial"/>
          <w:b/>
          <w:i/>
          <w:color w:val="0D0D0D"/>
          <w:sz w:val="24"/>
          <w:szCs w:val="24"/>
        </w:rPr>
        <w:t xml:space="preserve">Goal  </w:t>
      </w:r>
      <w:r w:rsidRPr="00D7572F">
        <w:rPr>
          <w:rFonts w:ascii="Arial" w:hAnsi="Arial" w:cs="Arial"/>
          <w:b/>
          <w:i/>
          <w:color w:val="0D0D0D"/>
          <w:sz w:val="24"/>
          <w:szCs w:val="24"/>
        </w:rPr>
        <w:tab/>
      </w:r>
      <w:r w:rsidR="00365294" w:rsidRPr="00D7572F">
        <w:rPr>
          <w:rFonts w:ascii="Arial" w:hAnsi="Arial" w:cs="Arial"/>
          <w:b/>
          <w:i/>
          <w:color w:val="0D0D0D"/>
          <w:sz w:val="24"/>
          <w:szCs w:val="24"/>
        </w:rPr>
        <w:t xml:space="preserve"> </w:t>
      </w:r>
      <w:r w:rsidRPr="00D7572F">
        <w:rPr>
          <w:rFonts w:ascii="Arial" w:hAnsi="Arial" w:cs="Arial"/>
          <w:b/>
          <w:i/>
          <w:color w:val="0D0D0D"/>
          <w:sz w:val="24"/>
          <w:szCs w:val="24"/>
        </w:rPr>
        <w:t>In conjunction with HUD, reduce the homeless Veteran population to 59,000 by June 2012 on the way to eliminating Veteran homelessness.</w:t>
      </w:r>
    </w:p>
    <w:p w:rsidR="007C14DE" w:rsidRPr="00D7572F" w:rsidRDefault="007C14DE" w:rsidP="00D432FB">
      <w:pPr>
        <w:spacing w:after="0" w:line="240" w:lineRule="auto"/>
        <w:ind w:left="1440" w:hanging="1440"/>
        <w:rPr>
          <w:rFonts w:ascii="Arial" w:hAnsi="Arial" w:cs="Arial"/>
          <w:b/>
          <w:color w:val="0D0D0D"/>
          <w:sz w:val="24"/>
          <w:szCs w:val="24"/>
        </w:rPr>
      </w:pPr>
    </w:p>
    <w:p w:rsidR="00EB6D7D" w:rsidRDefault="00EB6D7D" w:rsidP="00606E6F">
      <w:pPr>
        <w:pStyle w:val="ListParagraph"/>
        <w:spacing w:line="240" w:lineRule="auto"/>
        <w:ind w:left="0"/>
        <w:rPr>
          <w:rFonts w:ascii="Arial" w:hAnsi="Arial" w:cs="Arial"/>
          <w:b/>
          <w:sz w:val="24"/>
        </w:rPr>
      </w:pPr>
      <w:r w:rsidRPr="00D7572F">
        <w:rPr>
          <w:rFonts w:ascii="Arial" w:hAnsi="Arial" w:cs="Arial"/>
          <w:sz w:val="24"/>
        </w:rPr>
        <w:t xml:space="preserve">According to </w:t>
      </w:r>
      <w:r w:rsidRPr="00D7572F">
        <w:rPr>
          <w:rFonts w:ascii="Arial" w:hAnsi="Arial" w:cs="Arial"/>
          <w:i/>
          <w:iCs/>
          <w:sz w:val="24"/>
        </w:rPr>
        <w:t>The 2011 Point-in-Time Estimates of Homelessness: Supplement to the Annual Homeless Assessment Report</w:t>
      </w:r>
      <w:r w:rsidRPr="00D7572F">
        <w:rPr>
          <w:rFonts w:ascii="Arial" w:hAnsi="Arial" w:cs="Arial"/>
          <w:sz w:val="24"/>
        </w:rPr>
        <w:t xml:space="preserve">, 67,495 Veterans were homeless in the United States on a single night in January 2011.  Homelessness among Veterans has declined by nearly </w:t>
      </w:r>
      <w:r w:rsidRPr="00D7572F">
        <w:rPr>
          <w:rFonts w:ascii="Arial" w:hAnsi="Arial" w:cs="Arial"/>
          <w:b/>
          <w:sz w:val="24"/>
        </w:rPr>
        <w:t>12 percent</w:t>
      </w:r>
      <w:r w:rsidRPr="00D7572F">
        <w:rPr>
          <w:rFonts w:ascii="Arial" w:hAnsi="Arial" w:cs="Arial"/>
          <w:sz w:val="24"/>
        </w:rPr>
        <w:t xml:space="preserve"> since the January 2010 Point-in-Time count which was 76,329.  The 2012 Point-in-Time count data has not yet been released by the Department of Housing and Urban Development.</w:t>
      </w:r>
      <w:r w:rsidRPr="00845404">
        <w:rPr>
          <w:rFonts w:ascii="Arial" w:hAnsi="Arial" w:cs="Arial"/>
          <w:sz w:val="24"/>
        </w:rPr>
        <w:t xml:space="preserve">  </w:t>
      </w:r>
      <w:bookmarkStart w:id="0" w:name="_GoBack"/>
      <w:bookmarkEnd w:id="0"/>
    </w:p>
    <w:p w:rsidR="00D432FB" w:rsidRPr="00D838D4" w:rsidRDefault="00B5257F" w:rsidP="00D432FB">
      <w:pPr>
        <w:spacing w:after="0" w:line="240" w:lineRule="auto"/>
        <w:ind w:left="1440" w:hanging="1440"/>
        <w:rPr>
          <w:rFonts w:ascii="Arial" w:hAnsi="Arial" w:cs="Arial"/>
          <w:b/>
          <w:i/>
          <w:color w:val="0D0D0D"/>
          <w:sz w:val="24"/>
          <w:szCs w:val="24"/>
        </w:rPr>
      </w:pPr>
      <w:r>
        <w:rPr>
          <w:rFonts w:ascii="Arial" w:hAnsi="Arial" w:cs="Arial"/>
          <w:b/>
          <w:i/>
          <w:color w:val="0D0D0D"/>
          <w:sz w:val="24"/>
          <w:szCs w:val="24"/>
        </w:rPr>
        <w:t xml:space="preserve">Goal </w:t>
      </w:r>
      <w:r w:rsidR="00D432FB" w:rsidRPr="00D838D4">
        <w:rPr>
          <w:rFonts w:ascii="Arial" w:hAnsi="Arial" w:cs="Arial"/>
          <w:b/>
          <w:i/>
          <w:color w:val="0D0D0D"/>
          <w:sz w:val="24"/>
          <w:szCs w:val="24"/>
        </w:rPr>
        <w:t xml:space="preserve"> </w:t>
      </w:r>
      <w:r w:rsidR="00D432FB" w:rsidRPr="00D838D4">
        <w:rPr>
          <w:rFonts w:ascii="Arial" w:hAnsi="Arial" w:cs="Arial"/>
          <w:b/>
          <w:i/>
          <w:color w:val="0D0D0D"/>
          <w:sz w:val="24"/>
          <w:szCs w:val="24"/>
        </w:rPr>
        <w:tab/>
      </w:r>
      <w:r w:rsidR="00D432FB" w:rsidRPr="00150156">
        <w:rPr>
          <w:rFonts w:ascii="Arial" w:hAnsi="Arial" w:cs="Arial"/>
          <w:b/>
          <w:i/>
          <w:color w:val="0D0D0D"/>
          <w:sz w:val="24"/>
          <w:szCs w:val="24"/>
        </w:rPr>
        <w:t xml:space="preserve">Improve the quality, access, and value of mental health care provided to Veterans by December 2011.  </w:t>
      </w:r>
    </w:p>
    <w:p w:rsidR="00B613E8" w:rsidRDefault="00B613E8" w:rsidP="00D432FB">
      <w:pPr>
        <w:spacing w:after="0" w:line="240" w:lineRule="auto"/>
        <w:rPr>
          <w:rFonts w:ascii="Arial" w:hAnsi="Arial" w:cs="Arial"/>
          <w:b/>
          <w:i/>
          <w:color w:val="0D0D0D"/>
          <w:sz w:val="24"/>
          <w:szCs w:val="24"/>
        </w:rPr>
      </w:pPr>
    </w:p>
    <w:p w:rsidR="00F1660B" w:rsidRDefault="00AA34B2" w:rsidP="00D7572F">
      <w:pPr>
        <w:spacing w:after="0" w:line="240" w:lineRule="auto"/>
        <w:rPr>
          <w:rFonts w:ascii="Arial" w:hAnsi="Arial" w:cs="Arial"/>
          <w:sz w:val="24"/>
          <w:szCs w:val="24"/>
        </w:rPr>
      </w:pPr>
      <w:r>
        <w:rPr>
          <w:rFonts w:ascii="Arial" w:hAnsi="Arial" w:cs="Arial"/>
          <w:sz w:val="24"/>
          <w:szCs w:val="24"/>
        </w:rPr>
        <w:t xml:space="preserve">While we do not </w:t>
      </w:r>
      <w:r w:rsidR="00D7572F">
        <w:rPr>
          <w:rFonts w:ascii="Arial" w:hAnsi="Arial" w:cs="Arial"/>
          <w:sz w:val="24"/>
          <w:szCs w:val="24"/>
        </w:rPr>
        <w:t xml:space="preserve">have </w:t>
      </w:r>
      <w:r>
        <w:rPr>
          <w:rFonts w:ascii="Arial" w:hAnsi="Arial" w:cs="Arial"/>
          <w:sz w:val="24"/>
          <w:szCs w:val="24"/>
        </w:rPr>
        <w:t>AAPI spe</w:t>
      </w:r>
      <w:r w:rsidR="00D7572F">
        <w:rPr>
          <w:rFonts w:ascii="Arial" w:hAnsi="Arial" w:cs="Arial"/>
          <w:sz w:val="24"/>
          <w:szCs w:val="24"/>
        </w:rPr>
        <w:t xml:space="preserve">cific </w:t>
      </w:r>
      <w:r>
        <w:rPr>
          <w:rFonts w:ascii="Arial" w:hAnsi="Arial" w:cs="Arial"/>
          <w:sz w:val="24"/>
          <w:szCs w:val="24"/>
        </w:rPr>
        <w:t>data</w:t>
      </w:r>
      <w:r w:rsidR="00D7572F">
        <w:rPr>
          <w:rFonts w:ascii="Arial" w:hAnsi="Arial" w:cs="Arial"/>
          <w:sz w:val="24"/>
          <w:szCs w:val="24"/>
        </w:rPr>
        <w:t>,</w:t>
      </w:r>
      <w:r>
        <w:rPr>
          <w:rFonts w:ascii="Arial" w:hAnsi="Arial" w:cs="Arial"/>
          <w:sz w:val="24"/>
          <w:szCs w:val="24"/>
        </w:rPr>
        <w:t xml:space="preserve"> VHA has taken measures</w:t>
      </w:r>
      <w:r w:rsidR="00D7572F">
        <w:rPr>
          <w:rFonts w:ascii="Arial" w:hAnsi="Arial" w:cs="Arial"/>
          <w:sz w:val="24"/>
          <w:szCs w:val="24"/>
        </w:rPr>
        <w:t xml:space="preserve"> to provide minimum clinical requirements for all Veterans</w:t>
      </w:r>
      <w:r w:rsidR="00702866">
        <w:rPr>
          <w:rFonts w:ascii="Arial" w:hAnsi="Arial" w:cs="Arial"/>
          <w:sz w:val="24"/>
          <w:szCs w:val="24"/>
        </w:rPr>
        <w:t>, through</w:t>
      </w:r>
      <w:r w:rsidR="00636530">
        <w:rPr>
          <w:rFonts w:ascii="Arial" w:hAnsi="Arial" w:cs="Arial"/>
          <w:sz w:val="24"/>
          <w:szCs w:val="24"/>
        </w:rPr>
        <w:t xml:space="preserve"> </w:t>
      </w:r>
      <w:r w:rsidR="00702866">
        <w:rPr>
          <w:rFonts w:ascii="Arial" w:hAnsi="Arial" w:cs="Arial"/>
          <w:sz w:val="24"/>
          <w:szCs w:val="24"/>
        </w:rPr>
        <w:t>i</w:t>
      </w:r>
      <w:r w:rsidR="00EB6D7D" w:rsidRPr="000340F2">
        <w:rPr>
          <w:rFonts w:ascii="Arial" w:hAnsi="Arial" w:cs="Arial"/>
          <w:sz w:val="24"/>
          <w:szCs w:val="24"/>
        </w:rPr>
        <w:t>mplementation of the Uniform Mental Health Services Handbook (UMHSH)</w:t>
      </w:r>
      <w:r w:rsidR="00702866">
        <w:rPr>
          <w:rFonts w:ascii="Arial" w:hAnsi="Arial" w:cs="Arial"/>
          <w:sz w:val="24"/>
          <w:szCs w:val="24"/>
        </w:rPr>
        <w:t>, which</w:t>
      </w:r>
      <w:r w:rsidR="00EB6D7D" w:rsidRPr="000340F2">
        <w:rPr>
          <w:rFonts w:ascii="Arial" w:hAnsi="Arial" w:cs="Arial"/>
          <w:sz w:val="24"/>
          <w:szCs w:val="24"/>
        </w:rPr>
        <w:t xml:space="preserve"> is assessed quarterly through the </w:t>
      </w:r>
      <w:r w:rsidR="00EB6D7D" w:rsidRPr="000340F2">
        <w:rPr>
          <w:rFonts w:ascii="Arial" w:hAnsi="Arial" w:cs="Arial"/>
          <w:sz w:val="24"/>
          <w:szCs w:val="24"/>
        </w:rPr>
        <w:lastRenderedPageBreak/>
        <w:t>administration of the UMHSH Implementation Survey.  The Handbook establishes minimum clinical requirements for VHA Mental Health Services, and it delineates the essential components of the mental health programs that are to be implemented nationally, to ensure th</w:t>
      </w:r>
      <w:r w:rsidR="00D7572F">
        <w:rPr>
          <w:rFonts w:ascii="Arial" w:hAnsi="Arial" w:cs="Arial"/>
          <w:sz w:val="24"/>
          <w:szCs w:val="24"/>
        </w:rPr>
        <w:t>at all V</w:t>
      </w:r>
      <w:r w:rsidR="00EB6D7D" w:rsidRPr="000340F2">
        <w:rPr>
          <w:rFonts w:ascii="Arial" w:hAnsi="Arial" w:cs="Arial"/>
          <w:sz w:val="24"/>
          <w:szCs w:val="24"/>
        </w:rPr>
        <w:t>eterans, wherever they obtain care in VHA, have access to quality mental health services</w:t>
      </w:r>
      <w:r w:rsidR="00EB6D7D" w:rsidRPr="00D7572F">
        <w:rPr>
          <w:rFonts w:ascii="Arial" w:hAnsi="Arial" w:cs="Arial"/>
          <w:sz w:val="24"/>
          <w:szCs w:val="24"/>
        </w:rPr>
        <w:t>.  The UMHSH also specifies those services that must be provided at each VA Medical Center (VAMC) and at each Community-Based Outpatient Clinic (CBOC). The national policy requires achieving a minimum of 95 percent implementation of all required services at all VHA medical facilities and Health Care Systems (HCS).   Results for Quarter 3 (as of June 30, 2012) indicate that implementation for all VAMCs and HCSs is 96.18 percent</w:t>
      </w:r>
      <w:r w:rsidR="00EB6D7D" w:rsidRPr="000340F2">
        <w:rPr>
          <w:rFonts w:ascii="Arial" w:hAnsi="Arial" w:cs="Arial"/>
          <w:sz w:val="24"/>
          <w:szCs w:val="24"/>
        </w:rPr>
        <w:t xml:space="preserve">.  This represents an increase from the Quarter 2 national score of 95.74 percent.  </w:t>
      </w:r>
    </w:p>
    <w:p w:rsidR="009E4BB7" w:rsidRDefault="009E4BB7" w:rsidP="00D7572F">
      <w:pPr>
        <w:spacing w:after="0" w:line="240" w:lineRule="auto"/>
        <w:rPr>
          <w:rFonts w:ascii="Arial" w:hAnsi="Arial" w:cs="Arial"/>
          <w:sz w:val="24"/>
          <w:szCs w:val="24"/>
        </w:rPr>
      </w:pPr>
    </w:p>
    <w:p w:rsidR="009E4BB7" w:rsidRDefault="009E4BB7" w:rsidP="009E4BB7">
      <w:pPr>
        <w:pStyle w:val="ListParagraph"/>
        <w:numPr>
          <w:ilvl w:val="0"/>
          <w:numId w:val="5"/>
        </w:numPr>
        <w:spacing w:after="0" w:line="240" w:lineRule="auto"/>
        <w:ind w:left="360"/>
        <w:rPr>
          <w:rFonts w:ascii="Arial" w:hAnsi="Arial" w:cs="Arial"/>
          <w:sz w:val="24"/>
          <w:szCs w:val="24"/>
        </w:rPr>
      </w:pPr>
      <w:r w:rsidRPr="009E4BB7">
        <w:rPr>
          <w:rFonts w:ascii="Arial" w:hAnsi="Arial" w:cs="Arial"/>
          <w:sz w:val="24"/>
          <w:szCs w:val="24"/>
        </w:rPr>
        <w:t>The results of the measure from October 1, 2011 to August 21, 2012, show 96 percent of new mental health patients received a mental health evaluation within 15 days following their first mental health encounter.  VA will be rewriting this metric based on VA Office of Inspector General feedback during fiscal year 2012.</w:t>
      </w:r>
    </w:p>
    <w:p w:rsidR="009E4BB7" w:rsidRPr="002364CE" w:rsidRDefault="009E4BB7" w:rsidP="009E4BB7">
      <w:pPr>
        <w:pStyle w:val="ListParagraph"/>
        <w:numPr>
          <w:ilvl w:val="0"/>
          <w:numId w:val="5"/>
        </w:numPr>
        <w:spacing w:after="0" w:line="240" w:lineRule="auto"/>
        <w:ind w:left="360"/>
        <w:rPr>
          <w:rFonts w:ascii="Arial" w:hAnsi="Arial" w:cs="Arial"/>
          <w:sz w:val="24"/>
          <w:szCs w:val="24"/>
        </w:rPr>
      </w:pPr>
      <w:r w:rsidRPr="002364CE">
        <w:rPr>
          <w:rFonts w:ascii="Arial" w:hAnsi="Arial" w:cs="Arial"/>
          <w:sz w:val="24"/>
          <w:szCs w:val="24"/>
        </w:rPr>
        <w:t>Between October 1, 2011 and August 2, 2012, 98 percent of eligible patients were screened at required intervals for PTSD</w:t>
      </w:r>
      <w:r w:rsidR="002364CE" w:rsidRPr="002364CE">
        <w:rPr>
          <w:rFonts w:ascii="Arial" w:hAnsi="Arial" w:cs="Arial"/>
          <w:sz w:val="24"/>
          <w:szCs w:val="24"/>
        </w:rPr>
        <w:t>;</w:t>
      </w:r>
      <w:r w:rsidRPr="002364CE">
        <w:rPr>
          <w:rFonts w:ascii="Arial" w:hAnsi="Arial" w:cs="Arial"/>
          <w:sz w:val="24"/>
          <w:szCs w:val="24"/>
        </w:rPr>
        <w:t xml:space="preserve"> 97 percent of all eligible patients were screened at requir</w:t>
      </w:r>
      <w:r w:rsidR="002364CE" w:rsidRPr="002364CE">
        <w:rPr>
          <w:rFonts w:ascii="Arial" w:hAnsi="Arial" w:cs="Arial"/>
          <w:sz w:val="24"/>
          <w:szCs w:val="24"/>
        </w:rPr>
        <w:t>ed intervals for alcohol misuse; and</w:t>
      </w:r>
      <w:r w:rsidRPr="002364CE">
        <w:rPr>
          <w:rFonts w:ascii="Arial" w:hAnsi="Arial" w:cs="Arial"/>
          <w:sz w:val="24"/>
          <w:szCs w:val="24"/>
        </w:rPr>
        <w:t xml:space="preserve"> 97 percent of all eligible patients were screened for depression.  </w:t>
      </w:r>
    </w:p>
    <w:p w:rsidR="00AA34B2" w:rsidRDefault="00AA34B2" w:rsidP="00AA34B2">
      <w:pPr>
        <w:spacing w:after="0" w:line="240" w:lineRule="auto"/>
        <w:rPr>
          <w:rFonts w:ascii="Arial" w:hAnsi="Arial" w:cs="Arial"/>
          <w:sz w:val="24"/>
          <w:szCs w:val="24"/>
        </w:rPr>
      </w:pPr>
    </w:p>
    <w:p w:rsidR="005366BA" w:rsidRPr="003E2BD1" w:rsidRDefault="008672FF" w:rsidP="00CF4462">
      <w:pPr>
        <w:pStyle w:val="ListParagraph"/>
        <w:tabs>
          <w:tab w:val="left" w:pos="-270"/>
        </w:tabs>
        <w:spacing w:after="0" w:line="240" w:lineRule="auto"/>
        <w:ind w:left="0"/>
        <w:rPr>
          <w:rFonts w:ascii="Arial" w:hAnsi="Arial" w:cs="Arial"/>
          <w:sz w:val="24"/>
          <w:szCs w:val="24"/>
        </w:rPr>
      </w:pPr>
      <w:r w:rsidRPr="00636530">
        <w:rPr>
          <w:rFonts w:ascii="Arial" w:hAnsi="Arial" w:cs="Arial"/>
          <w:sz w:val="24"/>
          <w:szCs w:val="24"/>
        </w:rPr>
        <w:t>VA is also doing innovative work with social media to educate Veterans</w:t>
      </w:r>
      <w:r w:rsidR="00407A1F" w:rsidRPr="00636530">
        <w:rPr>
          <w:rFonts w:ascii="Arial" w:hAnsi="Arial" w:cs="Arial"/>
          <w:sz w:val="24"/>
          <w:szCs w:val="24"/>
        </w:rPr>
        <w:t>;</w:t>
      </w:r>
      <w:r w:rsidRPr="00636530">
        <w:rPr>
          <w:rFonts w:ascii="Arial" w:hAnsi="Arial" w:cs="Arial"/>
          <w:sz w:val="24"/>
          <w:szCs w:val="24"/>
        </w:rPr>
        <w:t xml:space="preserve"> provide valuable tools to build mental health skills</w:t>
      </w:r>
      <w:r w:rsidR="005366BA" w:rsidRPr="00636530">
        <w:rPr>
          <w:rFonts w:ascii="Arial" w:hAnsi="Arial" w:cs="Arial"/>
          <w:sz w:val="24"/>
          <w:szCs w:val="24"/>
        </w:rPr>
        <w:t>;</w:t>
      </w:r>
      <w:r w:rsidRPr="00636530">
        <w:rPr>
          <w:rFonts w:ascii="Arial" w:hAnsi="Arial" w:cs="Arial"/>
          <w:sz w:val="24"/>
          <w:szCs w:val="24"/>
        </w:rPr>
        <w:t xml:space="preserve"> and to offer services in a format with which they resonate.</w:t>
      </w:r>
      <w:r w:rsidR="0024484B">
        <w:rPr>
          <w:rFonts w:ascii="Arial" w:hAnsi="Arial" w:cs="Arial"/>
          <w:sz w:val="24"/>
          <w:szCs w:val="24"/>
        </w:rPr>
        <w:t xml:space="preserve">  One example is the award-winning Mobile App PTSD Coach.  This was developed based on focus groups with Veterans and combines evidence-based information and tools in a format well suited to the Mobile App environment.   </w:t>
      </w:r>
      <w:r w:rsidR="005366BA">
        <w:rPr>
          <w:rFonts w:ascii="Arial" w:hAnsi="Arial" w:cs="Arial"/>
          <w:sz w:val="24"/>
          <w:szCs w:val="24"/>
        </w:rPr>
        <w:t xml:space="preserve">Released in April 2011, it already has over 7,500 downloads in 68 countries and has won two prestigious awards.  </w:t>
      </w:r>
    </w:p>
    <w:p w:rsidR="00EB6D7D" w:rsidRPr="003E2BD1" w:rsidRDefault="00EB6D7D" w:rsidP="00D7572F">
      <w:pPr>
        <w:pStyle w:val="ListParagraph"/>
        <w:tabs>
          <w:tab w:val="left" w:pos="-270"/>
        </w:tabs>
        <w:spacing w:after="0" w:line="240" w:lineRule="auto"/>
        <w:ind w:left="0"/>
        <w:rPr>
          <w:rFonts w:ascii="Arial" w:hAnsi="Arial" w:cs="Arial"/>
          <w:sz w:val="24"/>
          <w:szCs w:val="24"/>
        </w:rPr>
      </w:pPr>
    </w:p>
    <w:p w:rsidR="00EB6D7D" w:rsidRDefault="005366BA" w:rsidP="00D7572F">
      <w:pPr>
        <w:pStyle w:val="ListParagraph"/>
        <w:tabs>
          <w:tab w:val="left" w:pos="-270"/>
        </w:tabs>
        <w:spacing w:after="0" w:line="240" w:lineRule="auto"/>
        <w:ind w:left="0"/>
        <w:rPr>
          <w:rFonts w:ascii="Arial" w:hAnsi="Arial" w:cs="Arial"/>
          <w:sz w:val="24"/>
          <w:szCs w:val="24"/>
        </w:rPr>
      </w:pPr>
      <w:r>
        <w:rPr>
          <w:rFonts w:ascii="Arial" w:hAnsi="Arial" w:cs="Arial"/>
          <w:sz w:val="24"/>
          <w:szCs w:val="24"/>
        </w:rPr>
        <w:t>August 6, 2012 marked five years since the establishment of VA’s Veterans Crisis Line (1-800-273-TALK (8255), press 1), which has expanded to include a Chat Service and texting option for contacting the Crisis Line.  The program continues to save lives and link Veterans with effective ongoing mental health services on a daily basis.  Staffing at the Crisis Line is currently being expanded by 50 percent, as called for in the Presidential Executive Order, with most of those hires already</w:t>
      </w:r>
      <w:r w:rsidRPr="000340F2">
        <w:rPr>
          <w:rFonts w:ascii="Arial" w:hAnsi="Arial" w:cs="Arial"/>
          <w:sz w:val="24"/>
          <w:szCs w:val="24"/>
        </w:rPr>
        <w:t xml:space="preserve"> having taken place.  To date, the outreach and educational campaign related to the Crisis Line has received seven prestigious awards</w:t>
      </w:r>
    </w:p>
    <w:p w:rsidR="002364CE" w:rsidRDefault="002364CE">
      <w:pPr>
        <w:spacing w:after="0" w:line="240" w:lineRule="auto"/>
        <w:rPr>
          <w:rFonts w:ascii="Arial" w:hAnsi="Arial" w:cs="Arial"/>
          <w:sz w:val="24"/>
        </w:rPr>
      </w:pPr>
      <w:r>
        <w:rPr>
          <w:rFonts w:ascii="Arial" w:hAnsi="Arial" w:cs="Arial"/>
          <w:sz w:val="24"/>
        </w:rPr>
        <w:br w:type="page"/>
      </w:r>
    </w:p>
    <w:p w:rsidR="00D432FB" w:rsidRPr="00D838D4" w:rsidRDefault="00D432FB" w:rsidP="009D2937">
      <w:pPr>
        <w:rPr>
          <w:rFonts w:ascii="Arial" w:hAnsi="Arial" w:cs="Arial"/>
          <w:b/>
          <w:i/>
          <w:color w:val="0D0D0D"/>
          <w:sz w:val="24"/>
          <w:szCs w:val="24"/>
        </w:rPr>
      </w:pPr>
      <w:r w:rsidRPr="00D838D4">
        <w:rPr>
          <w:rFonts w:ascii="Arial" w:eastAsia="Times New Roman" w:hAnsi="Arial" w:cs="Arial"/>
          <w:b/>
          <w:bCs/>
          <w:smallCaps/>
          <w:color w:val="0D0D0D"/>
          <w:sz w:val="24"/>
          <w:szCs w:val="24"/>
          <w:highlight w:val="lightGray"/>
        </w:rPr>
        <w:lastRenderedPageBreak/>
        <w:t xml:space="preserve">Cross-Cutting Goals </w:t>
      </w:r>
      <w:r w:rsidR="007C2029">
        <w:rPr>
          <w:rFonts w:ascii="Arial" w:eastAsia="Times New Roman" w:hAnsi="Arial" w:cs="Arial"/>
          <w:b/>
          <w:bCs/>
          <w:smallCaps/>
          <w:color w:val="0D0D0D"/>
          <w:sz w:val="24"/>
          <w:szCs w:val="24"/>
          <w:highlight w:val="lightGray"/>
        </w:rPr>
        <w:t xml:space="preserve">(CCG) </w:t>
      </w:r>
      <w:r>
        <w:rPr>
          <w:rFonts w:ascii="Arial" w:eastAsia="Times New Roman" w:hAnsi="Arial" w:cs="Arial"/>
          <w:b/>
          <w:bCs/>
          <w:smallCaps/>
          <w:color w:val="0D0D0D"/>
          <w:sz w:val="24"/>
          <w:szCs w:val="24"/>
          <w:highlight w:val="lightGray"/>
        </w:rPr>
        <w:t>For T</w:t>
      </w:r>
      <w:r w:rsidRPr="00D838D4">
        <w:rPr>
          <w:rFonts w:ascii="Arial" w:eastAsia="Times New Roman" w:hAnsi="Arial" w:cs="Arial"/>
          <w:b/>
          <w:bCs/>
          <w:smallCaps/>
          <w:color w:val="0D0D0D"/>
          <w:sz w:val="24"/>
          <w:szCs w:val="24"/>
          <w:highlight w:val="lightGray"/>
        </w:rPr>
        <w:t>he Asian American and Pacific Islander Community</w:t>
      </w:r>
    </w:p>
    <w:p w:rsidR="00D432FB" w:rsidRDefault="00D432FB" w:rsidP="00D432FB">
      <w:pPr>
        <w:spacing w:after="0" w:line="240" w:lineRule="auto"/>
        <w:ind w:left="1440" w:hanging="1440"/>
        <w:rPr>
          <w:rFonts w:ascii="Arial" w:hAnsi="Arial" w:cs="Arial"/>
          <w:b/>
          <w:i/>
          <w:color w:val="0D0D0D"/>
          <w:sz w:val="24"/>
          <w:szCs w:val="24"/>
        </w:rPr>
      </w:pPr>
      <w:r w:rsidRPr="00D838D4">
        <w:rPr>
          <w:rFonts w:ascii="Arial" w:hAnsi="Arial" w:cs="Arial"/>
          <w:b/>
          <w:i/>
          <w:color w:val="0D0D0D"/>
          <w:sz w:val="24"/>
          <w:szCs w:val="24"/>
        </w:rPr>
        <w:t>Goal</w:t>
      </w:r>
      <w:r w:rsidR="00636530">
        <w:rPr>
          <w:rFonts w:ascii="Arial" w:hAnsi="Arial" w:cs="Arial"/>
          <w:b/>
          <w:i/>
          <w:color w:val="0D0D0D"/>
          <w:sz w:val="24"/>
          <w:szCs w:val="24"/>
        </w:rPr>
        <w:tab/>
      </w:r>
      <w:r w:rsidRPr="00D838D4">
        <w:rPr>
          <w:rFonts w:ascii="Arial" w:hAnsi="Arial" w:cs="Arial"/>
          <w:b/>
          <w:i/>
          <w:color w:val="0D0D0D"/>
          <w:sz w:val="24"/>
          <w:szCs w:val="24"/>
        </w:rPr>
        <w:t xml:space="preserve"> Increase the AAPI community’s access to federal funding</w:t>
      </w:r>
      <w:r w:rsidR="009D2937">
        <w:rPr>
          <w:rFonts w:ascii="Arial" w:hAnsi="Arial" w:cs="Arial"/>
          <w:b/>
          <w:i/>
          <w:color w:val="0D0D0D"/>
          <w:sz w:val="24"/>
          <w:szCs w:val="24"/>
        </w:rPr>
        <w:t xml:space="preserve"> -- Grants and </w:t>
      </w:r>
      <w:r>
        <w:rPr>
          <w:rFonts w:ascii="Arial" w:hAnsi="Arial" w:cs="Arial"/>
          <w:b/>
          <w:i/>
          <w:color w:val="0D0D0D"/>
          <w:sz w:val="24"/>
          <w:szCs w:val="24"/>
        </w:rPr>
        <w:t>Programs.</w:t>
      </w:r>
    </w:p>
    <w:p w:rsidR="00A0519E" w:rsidRPr="00A0519E" w:rsidRDefault="00A0519E" w:rsidP="00A0519E">
      <w:pPr>
        <w:pStyle w:val="ListParagraph"/>
        <w:spacing w:after="0" w:line="240" w:lineRule="auto"/>
        <w:rPr>
          <w:rFonts w:ascii="Arial" w:hAnsi="Arial" w:cs="Arial"/>
          <w:sz w:val="24"/>
          <w:szCs w:val="24"/>
        </w:rPr>
      </w:pPr>
    </w:p>
    <w:p w:rsidR="00A0519E" w:rsidRDefault="00903B72" w:rsidP="001F2E2C">
      <w:pPr>
        <w:spacing w:after="0" w:line="240" w:lineRule="auto"/>
        <w:rPr>
          <w:rFonts w:ascii="Arial" w:hAnsi="Arial" w:cs="Arial"/>
          <w:color w:val="0D0D0D"/>
          <w:sz w:val="24"/>
          <w:szCs w:val="24"/>
        </w:rPr>
      </w:pPr>
      <w:r w:rsidRPr="00F07E59">
        <w:rPr>
          <w:rFonts w:ascii="Arial" w:hAnsi="Arial" w:cs="Arial"/>
          <w:color w:val="0D0D0D"/>
          <w:sz w:val="24"/>
          <w:szCs w:val="24"/>
        </w:rPr>
        <w:t xml:space="preserve">Through the National Diversity Internship Program (NDIP), managed by the Office of Diversity and Inclusion (ODI), VA contracted with </w:t>
      </w:r>
      <w:r w:rsidR="00F07E59">
        <w:rPr>
          <w:rFonts w:ascii="Arial" w:hAnsi="Arial" w:cs="Arial"/>
          <w:color w:val="0D0D0D"/>
          <w:sz w:val="24"/>
          <w:szCs w:val="24"/>
        </w:rPr>
        <w:t>7</w:t>
      </w:r>
      <w:r w:rsidRPr="00F07E59">
        <w:rPr>
          <w:rFonts w:ascii="Arial" w:hAnsi="Arial" w:cs="Arial"/>
          <w:color w:val="0D0D0D"/>
          <w:sz w:val="24"/>
          <w:szCs w:val="24"/>
        </w:rPr>
        <w:t xml:space="preserve"> vendors to offer internship opportunities to students from diverse backgrounds, totaling nearly </w:t>
      </w:r>
      <w:r w:rsidR="00F07E59" w:rsidRPr="00F07E59">
        <w:rPr>
          <w:rFonts w:ascii="Arial" w:hAnsi="Arial" w:cs="Arial"/>
          <w:color w:val="0D0D0D"/>
          <w:sz w:val="24"/>
          <w:szCs w:val="24"/>
        </w:rPr>
        <w:t xml:space="preserve">700,000.00 </w:t>
      </w:r>
      <w:r w:rsidRPr="00F07E59">
        <w:rPr>
          <w:rFonts w:ascii="Arial" w:hAnsi="Arial" w:cs="Arial"/>
          <w:color w:val="0D0D0D"/>
          <w:sz w:val="24"/>
          <w:szCs w:val="24"/>
        </w:rPr>
        <w:t>dollars in funding.  Of these, two -- the Asian Pacific American Institute for Congressional Studies (APAICS) and the International Leadership Foundation (ILF)</w:t>
      </w:r>
      <w:r w:rsidR="002364CE">
        <w:rPr>
          <w:rFonts w:ascii="Arial" w:hAnsi="Arial" w:cs="Arial"/>
          <w:color w:val="0D0D0D"/>
          <w:sz w:val="24"/>
          <w:szCs w:val="24"/>
        </w:rPr>
        <w:t>--</w:t>
      </w:r>
      <w:r w:rsidRPr="00F07E59">
        <w:rPr>
          <w:rFonts w:ascii="Arial" w:hAnsi="Arial" w:cs="Arial"/>
          <w:color w:val="0D0D0D"/>
          <w:sz w:val="24"/>
          <w:szCs w:val="24"/>
        </w:rPr>
        <w:t>were awarded nearly $</w:t>
      </w:r>
      <w:r w:rsidR="00F07E59" w:rsidRPr="00F07E59">
        <w:rPr>
          <w:rFonts w:ascii="Arial" w:hAnsi="Arial" w:cs="Arial"/>
          <w:color w:val="0D0D0D"/>
          <w:sz w:val="24"/>
          <w:szCs w:val="24"/>
        </w:rPr>
        <w:t>20</w:t>
      </w:r>
      <w:r w:rsidRPr="00F07E59">
        <w:rPr>
          <w:rFonts w:ascii="Arial" w:hAnsi="Arial" w:cs="Arial"/>
          <w:color w:val="0D0D0D"/>
          <w:sz w:val="24"/>
          <w:szCs w:val="24"/>
        </w:rPr>
        <w:t xml:space="preserve">,000 or </w:t>
      </w:r>
      <w:r w:rsidR="00F07E59" w:rsidRPr="00F07E59">
        <w:rPr>
          <w:rFonts w:ascii="Arial" w:hAnsi="Arial" w:cs="Arial"/>
          <w:color w:val="0D0D0D"/>
          <w:sz w:val="24"/>
          <w:szCs w:val="24"/>
        </w:rPr>
        <w:t xml:space="preserve">3 </w:t>
      </w:r>
      <w:r w:rsidRPr="00F07E59">
        <w:rPr>
          <w:rFonts w:ascii="Arial" w:hAnsi="Arial" w:cs="Arial"/>
          <w:color w:val="0D0D0D"/>
          <w:sz w:val="24"/>
          <w:szCs w:val="24"/>
        </w:rPr>
        <w:t>percent of overall funding.</w:t>
      </w:r>
    </w:p>
    <w:p w:rsidR="00651B5D" w:rsidRPr="001F2E2C" w:rsidRDefault="00651B5D" w:rsidP="001F2E2C">
      <w:pPr>
        <w:spacing w:after="0" w:line="240" w:lineRule="auto"/>
        <w:rPr>
          <w:rFonts w:ascii="Arial" w:hAnsi="Arial" w:cs="Arial"/>
          <w:i/>
          <w:color w:val="0D0D0D"/>
          <w:sz w:val="24"/>
          <w:szCs w:val="24"/>
        </w:rPr>
      </w:pPr>
    </w:p>
    <w:p w:rsidR="00DB6259" w:rsidRDefault="008672FF">
      <w:pPr>
        <w:spacing w:after="0" w:line="240" w:lineRule="auto"/>
        <w:rPr>
          <w:rFonts w:ascii="Arial" w:hAnsi="Arial" w:cs="Arial"/>
          <w:sz w:val="24"/>
          <w:szCs w:val="24"/>
        </w:rPr>
      </w:pPr>
      <w:r w:rsidRPr="008672FF">
        <w:rPr>
          <w:rFonts w:ascii="Arial" w:hAnsi="Arial" w:cs="Arial"/>
          <w:sz w:val="24"/>
          <w:szCs w:val="24"/>
        </w:rPr>
        <w:t>NCA provide</w:t>
      </w:r>
      <w:r w:rsidR="002364CE">
        <w:rPr>
          <w:rFonts w:ascii="Arial" w:hAnsi="Arial" w:cs="Arial"/>
          <w:sz w:val="24"/>
          <w:szCs w:val="24"/>
        </w:rPr>
        <w:t>s</w:t>
      </w:r>
      <w:r w:rsidRPr="008672FF">
        <w:rPr>
          <w:rFonts w:ascii="Arial" w:hAnsi="Arial" w:cs="Arial"/>
          <w:sz w:val="24"/>
          <w:szCs w:val="24"/>
        </w:rPr>
        <w:t xml:space="preserve"> grants to assist states, territories and federally recognized tribal governments in providing gravesites for Veterans in those areas where VA’s national cemeteries cannot fully satisfy their burial needs.  Grants may be used only for the purpose of establishing, expanding or improving Veterans cemeteries that are owned and operated by a state, federally recognized tribal government or U.S. territory. Since 1988, NCA has provided grants to nine cemeteries that are located throughout Hawaii and Guam for establishment, expansion and improvement.</w:t>
      </w:r>
    </w:p>
    <w:p w:rsidR="00636530" w:rsidRDefault="00636530">
      <w:pPr>
        <w:spacing w:after="0" w:line="240" w:lineRule="auto"/>
        <w:rPr>
          <w:rFonts w:ascii="Arial" w:hAnsi="Arial" w:cs="Arial"/>
          <w:sz w:val="24"/>
          <w:szCs w:val="24"/>
        </w:rPr>
      </w:pPr>
    </w:p>
    <w:p w:rsidR="00DB6259" w:rsidRDefault="002D1226">
      <w:pPr>
        <w:spacing w:after="0" w:line="240" w:lineRule="auto"/>
        <w:rPr>
          <w:rFonts w:ascii="Arial" w:hAnsi="Arial" w:cs="Arial"/>
          <w:sz w:val="24"/>
          <w:szCs w:val="24"/>
        </w:rPr>
      </w:pPr>
      <w:r>
        <w:rPr>
          <w:rFonts w:ascii="Arial" w:hAnsi="Arial" w:cs="Arial"/>
          <w:sz w:val="24"/>
          <w:szCs w:val="24"/>
        </w:rPr>
        <w:t xml:space="preserve">NCA’s </w:t>
      </w:r>
      <w:r w:rsidR="008672FF" w:rsidRPr="008672FF">
        <w:rPr>
          <w:rFonts w:ascii="Arial" w:hAnsi="Arial" w:cs="Arial"/>
          <w:sz w:val="24"/>
          <w:szCs w:val="24"/>
        </w:rPr>
        <w:t>Veterans Cemetery Grants Program conducts quarterly conference calls and emails program updates to state cemeteries and other organizations with pending grants. Individual conference calls have been conducted with the state of Hawaii and Guam providing guidance on their pending projects.  In August of FY12, a grant of $1,293,286.00 was awarded for improvements at Kauai Veterans Cemetery in Kauai, Hawaii.</w:t>
      </w:r>
    </w:p>
    <w:p w:rsidR="00966D1F" w:rsidRDefault="00966D1F">
      <w:pPr>
        <w:spacing w:after="0" w:line="240" w:lineRule="auto"/>
        <w:rPr>
          <w:rFonts w:ascii="Arial" w:hAnsi="Arial" w:cs="Arial"/>
          <w:sz w:val="24"/>
          <w:szCs w:val="24"/>
        </w:rPr>
      </w:pPr>
    </w:p>
    <w:p w:rsidR="00966D1F" w:rsidRPr="004F20AD" w:rsidRDefault="00966D1F" w:rsidP="00966D1F">
      <w:pPr>
        <w:spacing w:after="0" w:line="240" w:lineRule="auto"/>
        <w:rPr>
          <w:rFonts w:ascii="Arial" w:hAnsi="Arial" w:cs="Arial"/>
          <w:sz w:val="24"/>
          <w:szCs w:val="24"/>
        </w:rPr>
      </w:pPr>
      <w:r w:rsidRPr="004F20AD">
        <w:rPr>
          <w:rFonts w:ascii="Arial" w:hAnsi="Arial" w:cs="Arial"/>
          <w:sz w:val="24"/>
          <w:szCs w:val="24"/>
        </w:rPr>
        <w:t>The Native American Veterans Direct Loan Program</w:t>
      </w:r>
      <w:r>
        <w:rPr>
          <w:rFonts w:ascii="Arial" w:hAnsi="Arial" w:cs="Arial"/>
          <w:sz w:val="24"/>
          <w:szCs w:val="24"/>
        </w:rPr>
        <w:t>, which is</w:t>
      </w:r>
      <w:r w:rsidRPr="004F20AD">
        <w:rPr>
          <w:rFonts w:ascii="Arial" w:hAnsi="Arial" w:cs="Arial"/>
          <w:sz w:val="24"/>
          <w:szCs w:val="24"/>
        </w:rPr>
        <w:t xml:space="preserve"> administered by </w:t>
      </w:r>
      <w:r>
        <w:rPr>
          <w:rFonts w:ascii="Arial" w:hAnsi="Arial" w:cs="Arial"/>
          <w:sz w:val="24"/>
          <w:szCs w:val="24"/>
        </w:rPr>
        <w:t>V</w:t>
      </w:r>
      <w:r w:rsidRPr="004F20AD">
        <w:rPr>
          <w:rFonts w:ascii="Arial" w:hAnsi="Arial" w:cs="Arial"/>
          <w:sz w:val="24"/>
          <w:szCs w:val="24"/>
        </w:rPr>
        <w:t>BA Loan</w:t>
      </w:r>
      <w:r>
        <w:rPr>
          <w:rFonts w:ascii="Arial" w:hAnsi="Arial" w:cs="Arial"/>
          <w:sz w:val="24"/>
          <w:szCs w:val="24"/>
        </w:rPr>
        <w:t xml:space="preserve"> </w:t>
      </w:r>
      <w:r w:rsidRPr="004F20AD">
        <w:rPr>
          <w:rFonts w:ascii="Arial" w:hAnsi="Arial" w:cs="Arial"/>
          <w:sz w:val="24"/>
          <w:szCs w:val="24"/>
        </w:rPr>
        <w:t>Guaranty Service</w:t>
      </w:r>
      <w:r>
        <w:rPr>
          <w:rFonts w:ascii="Arial" w:hAnsi="Arial" w:cs="Arial"/>
          <w:sz w:val="24"/>
          <w:szCs w:val="24"/>
        </w:rPr>
        <w:t>,</w:t>
      </w:r>
      <w:r w:rsidRPr="004F20AD">
        <w:rPr>
          <w:rFonts w:ascii="Arial" w:hAnsi="Arial" w:cs="Arial"/>
          <w:sz w:val="24"/>
          <w:szCs w:val="24"/>
        </w:rPr>
        <w:t xml:space="preserve"> provides home financing to Veterans on trust land, which</w:t>
      </w:r>
      <w:r>
        <w:rPr>
          <w:rFonts w:ascii="Arial" w:hAnsi="Arial" w:cs="Arial"/>
          <w:sz w:val="24"/>
          <w:szCs w:val="24"/>
        </w:rPr>
        <w:t xml:space="preserve"> </w:t>
      </w:r>
      <w:r w:rsidRPr="004F20AD">
        <w:rPr>
          <w:rFonts w:ascii="Arial" w:hAnsi="Arial" w:cs="Arial"/>
          <w:sz w:val="24"/>
          <w:szCs w:val="24"/>
        </w:rPr>
        <w:t>includes Hawaii and U.S. Territories in the South Pacific.</w:t>
      </w:r>
    </w:p>
    <w:p w:rsidR="00DC3ADA" w:rsidRPr="00127531" w:rsidRDefault="00DC3ADA" w:rsidP="00A952BA">
      <w:pPr>
        <w:pStyle w:val="Default"/>
        <w:rPr>
          <w:rFonts w:ascii="Arial" w:hAnsi="Arial" w:cs="Arial"/>
        </w:rPr>
      </w:pPr>
    </w:p>
    <w:p w:rsidR="00D432FB" w:rsidRDefault="00D432FB" w:rsidP="00D432FB">
      <w:pPr>
        <w:spacing w:after="0" w:line="240" w:lineRule="auto"/>
        <w:ind w:left="1440" w:hanging="1440"/>
        <w:rPr>
          <w:rFonts w:ascii="Arial" w:hAnsi="Arial" w:cs="Arial"/>
          <w:b/>
          <w:i/>
          <w:color w:val="0D0D0D"/>
          <w:sz w:val="24"/>
          <w:szCs w:val="24"/>
        </w:rPr>
      </w:pPr>
      <w:r w:rsidRPr="00D838D4">
        <w:rPr>
          <w:rFonts w:ascii="Arial" w:hAnsi="Arial" w:cs="Arial"/>
          <w:b/>
          <w:i/>
          <w:color w:val="0D0D0D"/>
          <w:sz w:val="24"/>
          <w:szCs w:val="24"/>
        </w:rPr>
        <w:t xml:space="preserve">Goal </w:t>
      </w:r>
      <w:r w:rsidRPr="00D838D4">
        <w:rPr>
          <w:rFonts w:ascii="Arial" w:hAnsi="Arial" w:cs="Arial"/>
          <w:b/>
          <w:i/>
          <w:color w:val="0D0D0D"/>
          <w:sz w:val="24"/>
          <w:szCs w:val="24"/>
        </w:rPr>
        <w:tab/>
        <w:t>Increase the number of AAPIs with access to linguistically appropriate resources</w:t>
      </w:r>
      <w:r>
        <w:rPr>
          <w:rFonts w:ascii="Arial" w:hAnsi="Arial" w:cs="Arial"/>
          <w:b/>
          <w:i/>
          <w:color w:val="0D0D0D"/>
          <w:sz w:val="24"/>
          <w:szCs w:val="24"/>
        </w:rPr>
        <w:t xml:space="preserve"> – Language Accessibility</w:t>
      </w:r>
      <w:r w:rsidRPr="00D838D4">
        <w:rPr>
          <w:rFonts w:ascii="Arial" w:hAnsi="Arial" w:cs="Arial"/>
          <w:b/>
          <w:i/>
          <w:color w:val="0D0D0D"/>
          <w:sz w:val="24"/>
          <w:szCs w:val="24"/>
        </w:rPr>
        <w:t>.</w:t>
      </w:r>
    </w:p>
    <w:p w:rsidR="009D2937" w:rsidRDefault="009D2937" w:rsidP="00D432FB">
      <w:pPr>
        <w:spacing w:after="0" w:line="240" w:lineRule="auto"/>
        <w:rPr>
          <w:rFonts w:ascii="Arial" w:hAnsi="Arial" w:cs="Arial"/>
          <w:color w:val="0D0D0D"/>
          <w:sz w:val="24"/>
          <w:szCs w:val="24"/>
        </w:rPr>
      </w:pPr>
    </w:p>
    <w:p w:rsidR="007F4EF6" w:rsidRDefault="007F4EF6" w:rsidP="007F4EF6">
      <w:pPr>
        <w:spacing w:after="0" w:line="240" w:lineRule="auto"/>
        <w:rPr>
          <w:rFonts w:ascii="Arial" w:hAnsi="Arial" w:cs="Arial"/>
          <w:color w:val="0D0D0D"/>
          <w:sz w:val="24"/>
          <w:szCs w:val="24"/>
        </w:rPr>
      </w:pPr>
      <w:r>
        <w:rPr>
          <w:rFonts w:ascii="Arial" w:hAnsi="Arial" w:cs="Arial"/>
          <w:color w:val="0D0D0D"/>
          <w:sz w:val="24"/>
          <w:szCs w:val="24"/>
        </w:rPr>
        <w:t xml:space="preserve">The Office of Resolution Management (ORM) established and maintains the agency Limited English Proficiency (LEP) policy, which is implemented throughout the agency in accordance with E.O. 13166.   </w:t>
      </w:r>
      <w:r w:rsidR="007C2029">
        <w:rPr>
          <w:rFonts w:ascii="Arial" w:hAnsi="Arial" w:cs="Arial"/>
          <w:color w:val="0D0D0D"/>
          <w:sz w:val="24"/>
          <w:szCs w:val="24"/>
        </w:rPr>
        <w:t>In accordance with EO 13166, the Department leverages</w:t>
      </w:r>
      <w:r w:rsidR="007C2029" w:rsidRPr="007C2029">
        <w:rPr>
          <w:rFonts w:ascii="Arial" w:hAnsi="Arial" w:cs="Arial"/>
          <w:sz w:val="24"/>
          <w:szCs w:val="24"/>
        </w:rPr>
        <w:t xml:space="preserve"> </w:t>
      </w:r>
      <w:r w:rsidR="007C2029" w:rsidRPr="00BC05FA">
        <w:rPr>
          <w:rFonts w:ascii="Arial" w:hAnsi="Arial" w:cs="Arial"/>
          <w:sz w:val="24"/>
          <w:szCs w:val="24"/>
        </w:rPr>
        <w:t xml:space="preserve">telephone </w:t>
      </w:r>
      <w:r w:rsidR="007C2029">
        <w:rPr>
          <w:rFonts w:ascii="Arial" w:hAnsi="Arial" w:cs="Arial"/>
          <w:sz w:val="24"/>
          <w:szCs w:val="24"/>
        </w:rPr>
        <w:t xml:space="preserve">and other </w:t>
      </w:r>
      <w:r w:rsidR="007C2029" w:rsidRPr="00BC05FA">
        <w:rPr>
          <w:rFonts w:ascii="Arial" w:hAnsi="Arial" w:cs="Arial"/>
          <w:sz w:val="24"/>
          <w:szCs w:val="24"/>
        </w:rPr>
        <w:t>interpreting services to further assist the LEP population in accessing our services</w:t>
      </w:r>
      <w:r w:rsidR="00AA34B2">
        <w:rPr>
          <w:rFonts w:ascii="Arial" w:hAnsi="Arial" w:cs="Arial"/>
          <w:sz w:val="24"/>
          <w:szCs w:val="24"/>
        </w:rPr>
        <w:t>, including the AAPI community, in accessing our services.</w:t>
      </w:r>
    </w:p>
    <w:p w:rsidR="00966D1F" w:rsidRDefault="00966D1F">
      <w:pPr>
        <w:spacing w:after="0" w:line="240" w:lineRule="auto"/>
        <w:rPr>
          <w:rFonts w:ascii="Arial" w:hAnsi="Arial" w:cs="Arial"/>
          <w:color w:val="0D0D0D"/>
          <w:sz w:val="24"/>
          <w:szCs w:val="24"/>
        </w:rPr>
      </w:pPr>
      <w:r>
        <w:rPr>
          <w:rFonts w:ascii="Arial" w:hAnsi="Arial" w:cs="Arial"/>
          <w:color w:val="0D0D0D"/>
          <w:sz w:val="24"/>
          <w:szCs w:val="24"/>
        </w:rPr>
        <w:br w:type="page"/>
      </w:r>
    </w:p>
    <w:p w:rsidR="00DB6259" w:rsidRDefault="00D432FB">
      <w:pPr>
        <w:pStyle w:val="ListParagraph"/>
        <w:tabs>
          <w:tab w:val="left" w:pos="360"/>
        </w:tabs>
        <w:ind w:left="1440" w:hanging="1440"/>
        <w:rPr>
          <w:rFonts w:ascii="Arial" w:hAnsi="Arial" w:cs="Arial"/>
          <w:i/>
          <w:color w:val="0D0D0D"/>
          <w:sz w:val="24"/>
          <w:szCs w:val="24"/>
        </w:rPr>
      </w:pPr>
      <w:r w:rsidRPr="00D838D4">
        <w:rPr>
          <w:rFonts w:ascii="Arial" w:hAnsi="Arial" w:cs="Arial"/>
          <w:b/>
          <w:i/>
          <w:color w:val="0D0D0D"/>
          <w:sz w:val="24"/>
          <w:szCs w:val="24"/>
        </w:rPr>
        <w:lastRenderedPageBreak/>
        <w:t xml:space="preserve">Goal </w:t>
      </w:r>
      <w:r w:rsidRPr="00D838D4">
        <w:rPr>
          <w:rFonts w:ascii="Arial" w:hAnsi="Arial" w:cs="Arial"/>
          <w:b/>
          <w:i/>
          <w:color w:val="0D0D0D"/>
          <w:sz w:val="24"/>
          <w:szCs w:val="24"/>
        </w:rPr>
        <w:tab/>
        <w:t>Foster the recruitment, career development and advancement of AAPIs in the Federal Government</w:t>
      </w:r>
      <w:r>
        <w:rPr>
          <w:rFonts w:ascii="Arial" w:hAnsi="Arial" w:cs="Arial"/>
          <w:b/>
          <w:i/>
          <w:color w:val="0D0D0D"/>
          <w:sz w:val="24"/>
          <w:szCs w:val="24"/>
        </w:rPr>
        <w:t xml:space="preserve">  </w:t>
      </w:r>
    </w:p>
    <w:p w:rsidR="00412728" w:rsidRPr="001D37DE" w:rsidRDefault="00412728" w:rsidP="00CD5E13">
      <w:pPr>
        <w:spacing w:after="0" w:line="240" w:lineRule="auto"/>
        <w:rPr>
          <w:rFonts w:ascii="Arial" w:hAnsi="Arial" w:cs="Arial"/>
          <w:color w:val="0D0D0D"/>
          <w:sz w:val="24"/>
          <w:szCs w:val="24"/>
        </w:rPr>
      </w:pPr>
      <w:r>
        <w:rPr>
          <w:rFonts w:ascii="Arial" w:hAnsi="Arial" w:cs="Arial"/>
          <w:color w:val="0D0D0D"/>
          <w:sz w:val="24"/>
          <w:szCs w:val="24"/>
        </w:rPr>
        <w:t xml:space="preserve">As of September 30, 2012, VA employed 22,832 (7.06 percent) AAPIs, including 22,105 (6.84 percent) Asians and 727 (0.22 percent) Native Hawaiian or Pacific Islanders (NHOPI).  These rates are above the Civilian Labor Force (CLF) rates of 3.6 percent for Asians and 0.02 percent for NHOPIs.  From FY 2012 to FY 2013, the overall growth of AAPIs in the VA workforce was 7.02 percent, which exceeded the </w:t>
      </w:r>
      <w:r w:rsidRPr="00412728">
        <w:rPr>
          <w:rFonts w:ascii="Arial" w:hAnsi="Arial" w:cs="Arial"/>
          <w:sz w:val="24"/>
          <w:szCs w:val="24"/>
        </w:rPr>
        <w:t xml:space="preserve">net </w:t>
      </w:r>
      <w:r>
        <w:rPr>
          <w:rFonts w:ascii="Arial" w:hAnsi="Arial" w:cs="Arial"/>
          <w:color w:val="0D0D0D"/>
          <w:sz w:val="24"/>
          <w:szCs w:val="24"/>
        </w:rPr>
        <w:t xml:space="preserve">workforce growth of 2.55 percent.  </w:t>
      </w:r>
      <w:r w:rsidR="001D37DE">
        <w:rPr>
          <w:rFonts w:ascii="Arial" w:hAnsi="Arial" w:cs="Arial"/>
          <w:color w:val="0D0D0D"/>
          <w:sz w:val="24"/>
          <w:szCs w:val="24"/>
        </w:rPr>
        <w:t>Of the non-Wage Grade workforce, 21.43 percent of VA’s employees were in GS 13-15 or Title 38 equivalent pay grades, compared to 31.82% of AAPIs in those grades. O</w:t>
      </w:r>
      <w:r>
        <w:rPr>
          <w:rFonts w:ascii="Arial" w:hAnsi="Arial" w:cs="Arial"/>
          <w:sz w:val="24"/>
          <w:szCs w:val="24"/>
        </w:rPr>
        <w:t>f VA’s total permanent workforce, 0.13% were in SES level positions.  In an ideal workforce distribution, 0.13% of each race/national origin/disability status group would have the same representation of employees in SES (0.13%).   However, of the AAPI permanent workforce (aside from Wage Grade positions)</w:t>
      </w:r>
      <w:r w:rsidR="001D37DE">
        <w:rPr>
          <w:rFonts w:ascii="Arial" w:hAnsi="Arial" w:cs="Arial"/>
          <w:sz w:val="24"/>
          <w:szCs w:val="24"/>
        </w:rPr>
        <w:t xml:space="preserve">, </w:t>
      </w:r>
      <w:r>
        <w:rPr>
          <w:rFonts w:ascii="Arial" w:hAnsi="Arial" w:cs="Arial"/>
          <w:sz w:val="24"/>
          <w:szCs w:val="24"/>
        </w:rPr>
        <w:t>0.03% were at the SES</w:t>
      </w:r>
      <w:r w:rsidR="001D37DE">
        <w:rPr>
          <w:rFonts w:ascii="Arial" w:hAnsi="Arial" w:cs="Arial"/>
          <w:sz w:val="24"/>
          <w:szCs w:val="24"/>
        </w:rPr>
        <w:t>/equivalent</w:t>
      </w:r>
      <w:r>
        <w:rPr>
          <w:rFonts w:ascii="Arial" w:hAnsi="Arial" w:cs="Arial"/>
          <w:sz w:val="24"/>
          <w:szCs w:val="24"/>
        </w:rPr>
        <w:t xml:space="preserve"> level.  </w:t>
      </w:r>
      <w:r w:rsidRPr="00412728">
        <w:rPr>
          <w:rFonts w:ascii="Arial" w:hAnsi="Arial" w:cs="Arial"/>
          <w:sz w:val="24"/>
          <w:szCs w:val="24"/>
        </w:rPr>
        <w:t>Asian men had a SES participation rate of 0.06%; Asian women had an SES participation rate of 0.01%; Native Hawaiian men had 0.43%; and Native Hawaiian women had none.</w:t>
      </w:r>
      <w:r>
        <w:rPr>
          <w:rFonts w:ascii="Arial" w:hAnsi="Arial" w:cs="Arial"/>
          <w:sz w:val="24"/>
          <w:szCs w:val="24"/>
        </w:rPr>
        <w:t xml:space="preserve">  </w:t>
      </w:r>
    </w:p>
    <w:p w:rsidR="00412728" w:rsidRDefault="00412728" w:rsidP="00CD5E13">
      <w:pPr>
        <w:spacing w:after="0" w:line="240" w:lineRule="auto"/>
        <w:rPr>
          <w:rFonts w:ascii="Arial" w:hAnsi="Arial" w:cs="Arial"/>
          <w:color w:val="0D0D0D"/>
          <w:sz w:val="24"/>
          <w:szCs w:val="24"/>
        </w:rPr>
      </w:pPr>
    </w:p>
    <w:p w:rsidR="00462047" w:rsidRDefault="00B00DFF" w:rsidP="00D432FB">
      <w:pPr>
        <w:spacing w:after="0" w:line="240" w:lineRule="auto"/>
        <w:rPr>
          <w:rFonts w:ascii="Arial" w:hAnsi="Arial" w:cs="Arial"/>
          <w:color w:val="0D0D0D"/>
          <w:sz w:val="24"/>
          <w:szCs w:val="24"/>
        </w:rPr>
      </w:pPr>
      <w:r>
        <w:rPr>
          <w:rFonts w:ascii="Arial" w:hAnsi="Arial" w:cs="Arial"/>
          <w:color w:val="0D0D0D"/>
          <w:sz w:val="24"/>
          <w:szCs w:val="24"/>
        </w:rPr>
        <w:t xml:space="preserve">AAPIs’ </w:t>
      </w:r>
      <w:r w:rsidR="00CF4462">
        <w:rPr>
          <w:rFonts w:ascii="Arial" w:hAnsi="Arial" w:cs="Arial"/>
          <w:color w:val="0D0D0D"/>
          <w:sz w:val="24"/>
          <w:szCs w:val="24"/>
        </w:rPr>
        <w:t>higher than expected</w:t>
      </w:r>
      <w:r>
        <w:rPr>
          <w:rFonts w:ascii="Arial" w:hAnsi="Arial" w:cs="Arial"/>
          <w:color w:val="0D0D0D"/>
          <w:sz w:val="24"/>
          <w:szCs w:val="24"/>
        </w:rPr>
        <w:t xml:space="preserve"> representat</w:t>
      </w:r>
      <w:r w:rsidR="001D37DE">
        <w:rPr>
          <w:rFonts w:ascii="Arial" w:hAnsi="Arial" w:cs="Arial"/>
          <w:color w:val="0D0D0D"/>
          <w:sz w:val="24"/>
          <w:szCs w:val="24"/>
        </w:rPr>
        <w:t>ion in VA’s overall workforce and</w:t>
      </w:r>
      <w:r>
        <w:rPr>
          <w:rFonts w:ascii="Arial" w:hAnsi="Arial" w:cs="Arial"/>
          <w:color w:val="0D0D0D"/>
          <w:sz w:val="24"/>
          <w:szCs w:val="24"/>
        </w:rPr>
        <w:t xml:space="preserve"> leadership pipeline</w:t>
      </w:r>
      <w:r w:rsidR="004925BD">
        <w:rPr>
          <w:rFonts w:ascii="Arial" w:hAnsi="Arial" w:cs="Arial"/>
          <w:color w:val="0D0D0D"/>
          <w:sz w:val="24"/>
          <w:szCs w:val="24"/>
        </w:rPr>
        <w:t xml:space="preserve"> (GS13</w:t>
      </w:r>
      <w:r w:rsidR="001D37DE">
        <w:rPr>
          <w:rFonts w:ascii="Arial" w:hAnsi="Arial" w:cs="Arial"/>
          <w:color w:val="0D0D0D"/>
          <w:sz w:val="24"/>
          <w:szCs w:val="24"/>
        </w:rPr>
        <w:t xml:space="preserve">-15 and equivalent Title 38 pay grades) </w:t>
      </w:r>
      <w:r w:rsidR="00462047">
        <w:rPr>
          <w:rFonts w:ascii="Arial" w:hAnsi="Arial" w:cs="Arial"/>
          <w:color w:val="0D0D0D"/>
          <w:sz w:val="24"/>
          <w:szCs w:val="24"/>
        </w:rPr>
        <w:t xml:space="preserve">can be directly attributed to VA’s recruitment outreach efforts, student training programs, and career development initiatives. </w:t>
      </w:r>
    </w:p>
    <w:p w:rsidR="00B00DFF" w:rsidRPr="001F2E2C" w:rsidRDefault="00B00DFF" w:rsidP="00D432FB">
      <w:pPr>
        <w:spacing w:after="0" w:line="240" w:lineRule="auto"/>
        <w:rPr>
          <w:rFonts w:ascii="Arial" w:hAnsi="Arial" w:cs="Arial"/>
          <w:color w:val="0D0D0D"/>
          <w:sz w:val="24"/>
          <w:szCs w:val="24"/>
        </w:rPr>
      </w:pPr>
      <w:r>
        <w:rPr>
          <w:rFonts w:ascii="Arial" w:hAnsi="Arial" w:cs="Arial"/>
          <w:color w:val="0D0D0D"/>
          <w:sz w:val="24"/>
          <w:szCs w:val="24"/>
        </w:rPr>
        <w:t xml:space="preserve"> </w:t>
      </w:r>
    </w:p>
    <w:p w:rsidR="0025234A" w:rsidRPr="0025234A" w:rsidRDefault="0025234A" w:rsidP="00B00DFF">
      <w:pPr>
        <w:spacing w:after="0" w:line="240" w:lineRule="auto"/>
        <w:rPr>
          <w:rFonts w:ascii="Arial" w:hAnsi="Arial" w:cs="Arial"/>
          <w:b/>
          <w:i/>
          <w:sz w:val="24"/>
          <w:szCs w:val="24"/>
        </w:rPr>
      </w:pPr>
      <w:r w:rsidRPr="0025234A">
        <w:rPr>
          <w:rFonts w:ascii="Arial" w:hAnsi="Arial" w:cs="Arial"/>
          <w:b/>
          <w:i/>
          <w:sz w:val="24"/>
          <w:szCs w:val="24"/>
        </w:rPr>
        <w:t>Recruitment Outreach</w:t>
      </w:r>
    </w:p>
    <w:p w:rsidR="00B00DFF" w:rsidRDefault="00B00DFF" w:rsidP="00B00DFF">
      <w:pPr>
        <w:spacing w:after="0" w:line="240" w:lineRule="auto"/>
        <w:rPr>
          <w:rFonts w:ascii="Arial" w:hAnsi="Arial" w:cs="Arial"/>
          <w:color w:val="0D0D0D"/>
          <w:sz w:val="24"/>
          <w:szCs w:val="24"/>
        </w:rPr>
      </w:pPr>
      <w:r w:rsidRPr="005844AF">
        <w:rPr>
          <w:rFonts w:ascii="Arial" w:hAnsi="Arial" w:cs="Arial"/>
          <w:sz w:val="24"/>
          <w:szCs w:val="24"/>
        </w:rPr>
        <w:t xml:space="preserve">During FY 2012, </w:t>
      </w:r>
      <w:r w:rsidRPr="005844AF">
        <w:rPr>
          <w:rFonts w:ascii="Arial" w:hAnsi="Arial" w:cs="Arial"/>
          <w:color w:val="0D0D0D"/>
          <w:sz w:val="24"/>
          <w:szCs w:val="24"/>
        </w:rPr>
        <w:t>VA conduct</w:t>
      </w:r>
      <w:r w:rsidR="0025234A">
        <w:rPr>
          <w:rFonts w:ascii="Arial" w:hAnsi="Arial" w:cs="Arial"/>
          <w:color w:val="0D0D0D"/>
          <w:sz w:val="24"/>
          <w:szCs w:val="24"/>
        </w:rPr>
        <w:t>ed</w:t>
      </w:r>
      <w:r w:rsidRPr="005844AF">
        <w:rPr>
          <w:rFonts w:ascii="Arial" w:hAnsi="Arial" w:cs="Arial"/>
          <w:color w:val="0D0D0D"/>
          <w:sz w:val="24"/>
          <w:szCs w:val="24"/>
        </w:rPr>
        <w:t xml:space="preserve"> outreach to AAPIs at the national level through participation in national conferences such as Federal Asian Pacific American Council (FAPAC), Conference on Asian Pacific American Leadership (CAPAL), International Leadership Foundation (ILF), and Asian Pacific American Institute for Congressional Studies (APAICS).</w:t>
      </w:r>
    </w:p>
    <w:p w:rsidR="00B00DFF" w:rsidRDefault="00B00DFF" w:rsidP="00B00DFF">
      <w:pPr>
        <w:spacing w:after="0" w:line="240" w:lineRule="auto"/>
        <w:rPr>
          <w:rFonts w:ascii="Arial" w:hAnsi="Arial" w:cs="Arial"/>
          <w:color w:val="0D0D0D"/>
          <w:sz w:val="24"/>
          <w:szCs w:val="24"/>
        </w:rPr>
      </w:pPr>
    </w:p>
    <w:p w:rsidR="00B00DFF" w:rsidRDefault="00B00DFF" w:rsidP="00B00DFF">
      <w:pPr>
        <w:pStyle w:val="ListParagraph"/>
        <w:spacing w:after="0" w:line="240" w:lineRule="auto"/>
        <w:ind w:left="0"/>
        <w:contextualSpacing/>
        <w:rPr>
          <w:rFonts w:ascii="Arial" w:hAnsi="Arial" w:cs="Arial"/>
          <w:sz w:val="24"/>
          <w:szCs w:val="24"/>
        </w:rPr>
      </w:pPr>
      <w:r w:rsidRPr="009D2937">
        <w:rPr>
          <w:rFonts w:ascii="Arial" w:hAnsi="Arial" w:cs="Arial"/>
          <w:sz w:val="24"/>
          <w:szCs w:val="24"/>
        </w:rPr>
        <w:t xml:space="preserve">VHA </w:t>
      </w:r>
      <w:r>
        <w:rPr>
          <w:rFonts w:ascii="Arial" w:hAnsi="Arial" w:cs="Arial"/>
          <w:sz w:val="24"/>
          <w:szCs w:val="24"/>
        </w:rPr>
        <w:t xml:space="preserve">participated in the </w:t>
      </w:r>
      <w:r w:rsidRPr="009D2937">
        <w:rPr>
          <w:rFonts w:ascii="Arial" w:hAnsi="Arial" w:cs="Arial"/>
          <w:sz w:val="24"/>
          <w:szCs w:val="24"/>
        </w:rPr>
        <w:t xml:space="preserve">National Association of Asian American Professionals annual conference </w:t>
      </w:r>
      <w:r>
        <w:rPr>
          <w:rFonts w:ascii="Arial" w:hAnsi="Arial" w:cs="Arial"/>
          <w:sz w:val="24"/>
          <w:szCs w:val="24"/>
        </w:rPr>
        <w:t xml:space="preserve">held </w:t>
      </w:r>
      <w:r w:rsidRPr="009D2937">
        <w:rPr>
          <w:rFonts w:ascii="Arial" w:hAnsi="Arial" w:cs="Arial"/>
          <w:sz w:val="24"/>
          <w:szCs w:val="24"/>
        </w:rPr>
        <w:t>August 24-25, 2012, in New York City.  A</w:t>
      </w:r>
      <w:r>
        <w:rPr>
          <w:rFonts w:ascii="Arial" w:hAnsi="Arial" w:cs="Arial"/>
          <w:sz w:val="24"/>
          <w:szCs w:val="24"/>
        </w:rPr>
        <w:t xml:space="preserve"> Health Retention and Recruitment Office </w:t>
      </w:r>
      <w:r w:rsidRPr="009D2937">
        <w:rPr>
          <w:rFonts w:ascii="Arial" w:hAnsi="Arial" w:cs="Arial"/>
          <w:sz w:val="24"/>
          <w:szCs w:val="24"/>
        </w:rPr>
        <w:t>National Recruiter attended the event</w:t>
      </w:r>
      <w:r>
        <w:rPr>
          <w:rFonts w:ascii="Arial" w:hAnsi="Arial" w:cs="Arial"/>
          <w:sz w:val="24"/>
          <w:szCs w:val="24"/>
        </w:rPr>
        <w:t xml:space="preserve"> in which there </w:t>
      </w:r>
      <w:r w:rsidRPr="009D2937">
        <w:rPr>
          <w:rFonts w:ascii="Arial" w:hAnsi="Arial" w:cs="Arial"/>
          <w:sz w:val="24"/>
          <w:szCs w:val="24"/>
        </w:rPr>
        <w:t>was an estimated attendance of 500 participants</w:t>
      </w:r>
      <w:r>
        <w:rPr>
          <w:rFonts w:ascii="Arial" w:hAnsi="Arial" w:cs="Arial"/>
          <w:sz w:val="24"/>
          <w:szCs w:val="24"/>
        </w:rPr>
        <w:t xml:space="preserve">. </w:t>
      </w:r>
      <w:r w:rsidRPr="009D2937">
        <w:rPr>
          <w:rFonts w:ascii="Arial" w:hAnsi="Arial" w:cs="Arial"/>
          <w:sz w:val="24"/>
          <w:szCs w:val="24"/>
        </w:rPr>
        <w:t xml:space="preserve">Twenty viable interested candidates submitted resumes and 10 have been contacted for follow-up.  </w:t>
      </w:r>
    </w:p>
    <w:p w:rsidR="00B00DFF" w:rsidRDefault="00B00DFF" w:rsidP="00B00DFF">
      <w:pPr>
        <w:pStyle w:val="ListParagraph"/>
        <w:spacing w:after="0" w:line="240" w:lineRule="auto"/>
        <w:ind w:left="0"/>
        <w:contextualSpacing/>
        <w:rPr>
          <w:rFonts w:ascii="Arial" w:hAnsi="Arial" w:cs="Arial"/>
          <w:sz w:val="24"/>
          <w:szCs w:val="24"/>
        </w:rPr>
      </w:pPr>
    </w:p>
    <w:p w:rsidR="00366A0A" w:rsidRPr="00602551" w:rsidRDefault="00366A0A" w:rsidP="00366A0A">
      <w:pPr>
        <w:spacing w:after="0" w:line="240" w:lineRule="auto"/>
        <w:rPr>
          <w:rFonts w:ascii="Arial" w:hAnsi="Arial" w:cs="Arial"/>
          <w:sz w:val="24"/>
          <w:szCs w:val="24"/>
        </w:rPr>
      </w:pPr>
      <w:r w:rsidRPr="00BC05FA">
        <w:rPr>
          <w:rFonts w:ascii="Arial" w:hAnsi="Arial" w:cs="Arial"/>
          <w:sz w:val="24"/>
          <w:szCs w:val="24"/>
        </w:rPr>
        <w:t>NCA</w:t>
      </w:r>
      <w:r>
        <w:rPr>
          <w:rFonts w:ascii="Arial" w:hAnsi="Arial" w:cs="Arial"/>
          <w:sz w:val="24"/>
          <w:szCs w:val="24"/>
        </w:rPr>
        <w:t xml:space="preserve"> personnel</w:t>
      </w:r>
      <w:r w:rsidRPr="00BC05FA">
        <w:rPr>
          <w:rFonts w:ascii="Arial" w:hAnsi="Arial" w:cs="Arial"/>
          <w:sz w:val="24"/>
          <w:szCs w:val="24"/>
        </w:rPr>
        <w:t xml:space="preserve"> attended the </w:t>
      </w:r>
      <w:r w:rsidRPr="00BC05FA">
        <w:rPr>
          <w:rFonts w:ascii="Arial" w:hAnsi="Arial" w:cs="Arial"/>
          <w:bCs/>
          <w:sz w:val="24"/>
          <w:szCs w:val="24"/>
        </w:rPr>
        <w:t>Federal Asian Pacific American Council Annual National Leadership Train</w:t>
      </w:r>
      <w:r>
        <w:rPr>
          <w:rFonts w:ascii="Arial" w:hAnsi="Arial" w:cs="Arial"/>
          <w:bCs/>
          <w:sz w:val="24"/>
          <w:szCs w:val="24"/>
        </w:rPr>
        <w:t xml:space="preserve">ing Conference in Atlanta, GA. NCA provided training on Veterans </w:t>
      </w:r>
      <w:r w:rsidRPr="00BC05FA">
        <w:rPr>
          <w:rFonts w:ascii="Arial" w:hAnsi="Arial" w:cs="Arial"/>
          <w:bCs/>
          <w:sz w:val="24"/>
          <w:szCs w:val="24"/>
        </w:rPr>
        <w:t>benefits, conducted outreach activities, and networked with key personnel in</w:t>
      </w:r>
      <w:r>
        <w:rPr>
          <w:rFonts w:ascii="Arial" w:hAnsi="Arial" w:cs="Arial"/>
          <w:bCs/>
          <w:sz w:val="24"/>
          <w:szCs w:val="24"/>
        </w:rPr>
        <w:t xml:space="preserve"> the </w:t>
      </w:r>
      <w:r w:rsidRPr="00BC05FA">
        <w:rPr>
          <w:rFonts w:ascii="Arial" w:hAnsi="Arial" w:cs="Arial"/>
          <w:bCs/>
          <w:sz w:val="24"/>
          <w:szCs w:val="24"/>
        </w:rPr>
        <w:t xml:space="preserve">organization. </w:t>
      </w:r>
      <w:r w:rsidRPr="00BC05FA">
        <w:rPr>
          <w:rFonts w:ascii="Arial" w:hAnsi="Arial" w:cs="Arial"/>
          <w:sz w:val="24"/>
          <w:szCs w:val="24"/>
        </w:rPr>
        <w:t xml:space="preserve">In collaboration with the minority serving organizations, NCA has developed partnerships to participate at various conferences and job fairs throughout the year providing vacancy announcements to increase the representation of groups that have low participation rates within NCA.  </w:t>
      </w:r>
      <w:r w:rsidRPr="00A15B08">
        <w:rPr>
          <w:rFonts w:ascii="Arial" w:hAnsi="Arial" w:cs="Arial"/>
          <w:sz w:val="24"/>
          <w:szCs w:val="24"/>
        </w:rPr>
        <w:t xml:space="preserve">    </w:t>
      </w:r>
    </w:p>
    <w:p w:rsidR="00366A0A" w:rsidRPr="00475601" w:rsidRDefault="00366A0A" w:rsidP="00B00DFF">
      <w:pPr>
        <w:pStyle w:val="ListParagraph"/>
        <w:spacing w:after="0" w:line="240" w:lineRule="auto"/>
        <w:ind w:left="0"/>
        <w:contextualSpacing/>
        <w:rPr>
          <w:rFonts w:ascii="Arial" w:hAnsi="Arial" w:cs="Arial"/>
          <w:sz w:val="24"/>
          <w:szCs w:val="24"/>
        </w:rPr>
      </w:pPr>
    </w:p>
    <w:p w:rsidR="001E2458" w:rsidRDefault="0025234A" w:rsidP="001E2458">
      <w:pPr>
        <w:spacing w:after="0" w:line="240" w:lineRule="auto"/>
        <w:rPr>
          <w:rFonts w:ascii="Arial" w:hAnsi="Arial" w:cs="Arial"/>
          <w:sz w:val="24"/>
          <w:szCs w:val="24"/>
        </w:rPr>
      </w:pPr>
      <w:r>
        <w:rPr>
          <w:rFonts w:ascii="Arial" w:hAnsi="Arial" w:cs="Arial"/>
          <w:sz w:val="24"/>
          <w:szCs w:val="24"/>
        </w:rPr>
        <w:t>NCA</w:t>
      </w:r>
      <w:r w:rsidR="00B00DFF" w:rsidRPr="00D7572F">
        <w:rPr>
          <w:rFonts w:ascii="Arial" w:hAnsi="Arial" w:cs="Arial"/>
          <w:sz w:val="24"/>
          <w:szCs w:val="24"/>
        </w:rPr>
        <w:t xml:space="preserve"> established partnerships with Asian Pacific American national affinity groups such as International Leadership Foundation (ILF); Asian Pacific American Institute for </w:t>
      </w:r>
      <w:r w:rsidR="00B00DFF" w:rsidRPr="00D7572F">
        <w:rPr>
          <w:rFonts w:ascii="Arial" w:hAnsi="Arial" w:cs="Arial"/>
          <w:sz w:val="24"/>
          <w:szCs w:val="24"/>
        </w:rPr>
        <w:lastRenderedPageBreak/>
        <w:t xml:space="preserve">Congressional Studies (APAICS); and the Organization of Chinese Americans (OCA) to sponsor students throughout the year at various cemetery locations nationwide. These partnerships will provide opportunities to AAPIs </w:t>
      </w:r>
      <w:r>
        <w:rPr>
          <w:rFonts w:ascii="Arial" w:hAnsi="Arial" w:cs="Arial"/>
          <w:sz w:val="24"/>
          <w:szCs w:val="24"/>
        </w:rPr>
        <w:t xml:space="preserve">to participate in </w:t>
      </w:r>
      <w:r w:rsidR="001E2458">
        <w:rPr>
          <w:rFonts w:ascii="Arial" w:hAnsi="Arial" w:cs="Arial"/>
          <w:sz w:val="24"/>
          <w:szCs w:val="24"/>
        </w:rPr>
        <w:t xml:space="preserve">the VA workforce.  </w:t>
      </w:r>
    </w:p>
    <w:p w:rsidR="001E2458" w:rsidRDefault="001E2458" w:rsidP="001E2458">
      <w:pPr>
        <w:spacing w:after="0" w:line="240" w:lineRule="auto"/>
        <w:rPr>
          <w:rFonts w:ascii="Arial" w:hAnsi="Arial" w:cs="Arial"/>
          <w:sz w:val="24"/>
          <w:szCs w:val="24"/>
        </w:rPr>
      </w:pPr>
    </w:p>
    <w:p w:rsidR="00B00DFF" w:rsidRDefault="001E2458" w:rsidP="001E2458">
      <w:pPr>
        <w:spacing w:after="0" w:line="240" w:lineRule="auto"/>
        <w:rPr>
          <w:rFonts w:ascii="Arial" w:hAnsi="Arial" w:cs="Arial"/>
          <w:sz w:val="24"/>
          <w:szCs w:val="24"/>
        </w:rPr>
      </w:pPr>
      <w:r>
        <w:rPr>
          <w:rFonts w:ascii="Arial" w:hAnsi="Arial" w:cs="Arial"/>
          <w:sz w:val="24"/>
          <w:szCs w:val="24"/>
        </w:rPr>
        <w:t xml:space="preserve">VBA established an </w:t>
      </w:r>
      <w:r w:rsidRPr="004F20AD">
        <w:rPr>
          <w:rFonts w:ascii="Arial" w:hAnsi="Arial" w:cs="Arial"/>
          <w:sz w:val="24"/>
          <w:szCs w:val="24"/>
        </w:rPr>
        <w:t xml:space="preserve">intern program </w:t>
      </w:r>
      <w:r>
        <w:rPr>
          <w:rFonts w:ascii="Arial" w:hAnsi="Arial" w:cs="Arial"/>
          <w:sz w:val="24"/>
          <w:szCs w:val="24"/>
        </w:rPr>
        <w:t xml:space="preserve">that </w:t>
      </w:r>
      <w:r w:rsidRPr="004F20AD">
        <w:rPr>
          <w:rFonts w:ascii="Arial" w:hAnsi="Arial" w:cs="Arial"/>
          <w:sz w:val="24"/>
          <w:szCs w:val="24"/>
        </w:rPr>
        <w:t>specific</w:t>
      </w:r>
      <w:r>
        <w:rPr>
          <w:rFonts w:ascii="Arial" w:hAnsi="Arial" w:cs="Arial"/>
          <w:sz w:val="24"/>
          <w:szCs w:val="24"/>
        </w:rPr>
        <w:t>ally targets outreach</w:t>
      </w:r>
      <w:r w:rsidRPr="004F20AD">
        <w:rPr>
          <w:rFonts w:ascii="Arial" w:hAnsi="Arial" w:cs="Arial"/>
          <w:sz w:val="24"/>
          <w:szCs w:val="24"/>
        </w:rPr>
        <w:t xml:space="preserve"> to the AAPI community</w:t>
      </w:r>
      <w:r>
        <w:rPr>
          <w:rFonts w:ascii="Arial" w:hAnsi="Arial" w:cs="Arial"/>
          <w:sz w:val="24"/>
          <w:szCs w:val="24"/>
        </w:rPr>
        <w:t>.</w:t>
      </w:r>
    </w:p>
    <w:p w:rsidR="00CF4462" w:rsidRPr="00D7572F" w:rsidRDefault="00CF4462" w:rsidP="00B00DFF">
      <w:pPr>
        <w:spacing w:after="0" w:line="240" w:lineRule="auto"/>
        <w:rPr>
          <w:rFonts w:ascii="Arial" w:hAnsi="Arial" w:cs="Arial"/>
          <w:color w:val="0D0D0D"/>
          <w:sz w:val="24"/>
          <w:szCs w:val="24"/>
        </w:rPr>
      </w:pPr>
    </w:p>
    <w:p w:rsidR="0025234A" w:rsidRPr="0025234A" w:rsidRDefault="0025234A" w:rsidP="00602551">
      <w:pPr>
        <w:tabs>
          <w:tab w:val="left" w:pos="1185"/>
        </w:tabs>
        <w:spacing w:after="0" w:line="240" w:lineRule="auto"/>
        <w:rPr>
          <w:rFonts w:ascii="Arial" w:hAnsi="Arial" w:cs="Arial"/>
          <w:b/>
          <w:i/>
          <w:sz w:val="24"/>
          <w:szCs w:val="24"/>
        </w:rPr>
      </w:pPr>
      <w:r w:rsidRPr="0025234A">
        <w:rPr>
          <w:rFonts w:ascii="Arial" w:hAnsi="Arial" w:cs="Arial"/>
          <w:b/>
          <w:i/>
          <w:sz w:val="24"/>
          <w:szCs w:val="24"/>
        </w:rPr>
        <w:t>Student Training Programs</w:t>
      </w:r>
    </w:p>
    <w:p w:rsidR="00F1660B" w:rsidRDefault="00EB6D7D" w:rsidP="00602551">
      <w:pPr>
        <w:tabs>
          <w:tab w:val="left" w:pos="1185"/>
        </w:tabs>
        <w:spacing w:after="0" w:line="240" w:lineRule="auto"/>
        <w:rPr>
          <w:rFonts w:ascii="Arial" w:hAnsi="Arial" w:cs="Arial"/>
          <w:sz w:val="24"/>
          <w:szCs w:val="24"/>
        </w:rPr>
      </w:pPr>
      <w:r>
        <w:rPr>
          <w:rFonts w:ascii="Arial" w:hAnsi="Arial" w:cs="Arial"/>
          <w:sz w:val="24"/>
          <w:szCs w:val="24"/>
        </w:rPr>
        <w:t>VHA, through the Office of Academic Affiliations (OAA), has clinical training affiliations with most of America’s medical schools and hundreds of associated health training programs nationwide.   Over 100,000 health care trainees perform clinical training rotations in VA medical centers each year which offer excellent exposure to employment opportunities.</w:t>
      </w:r>
      <w:r w:rsidR="00475601">
        <w:rPr>
          <w:rFonts w:ascii="Arial" w:hAnsi="Arial" w:cs="Arial"/>
          <w:sz w:val="24"/>
          <w:szCs w:val="24"/>
        </w:rPr>
        <w:t xml:space="preserve"> </w:t>
      </w:r>
      <w:r w:rsidR="00475601" w:rsidRPr="001B224A">
        <w:rPr>
          <w:rFonts w:ascii="Arial" w:hAnsi="Arial" w:cs="Arial"/>
          <w:sz w:val="24"/>
          <w:szCs w:val="24"/>
        </w:rPr>
        <w:t>In Academic Year 2010-2011, OAA engaged in affiliation agreements with 16 Asian American Native American Pacific Islander Serving Institutions (AANAPISIs) for VA career and internship opportunities</w:t>
      </w:r>
    </w:p>
    <w:p w:rsidR="00602551" w:rsidRDefault="00602551" w:rsidP="00602551">
      <w:pPr>
        <w:spacing w:after="0" w:line="240" w:lineRule="auto"/>
        <w:rPr>
          <w:rFonts w:ascii="Arial" w:hAnsi="Arial" w:cs="Arial"/>
          <w:sz w:val="24"/>
          <w:szCs w:val="24"/>
        </w:rPr>
      </w:pPr>
    </w:p>
    <w:p w:rsidR="00EB6D7D" w:rsidRDefault="00EB6D7D" w:rsidP="00EB6D7D">
      <w:pPr>
        <w:spacing w:after="0" w:line="240" w:lineRule="auto"/>
        <w:rPr>
          <w:rFonts w:ascii="Arial" w:hAnsi="Arial" w:cs="Arial"/>
          <w:sz w:val="24"/>
          <w:szCs w:val="24"/>
        </w:rPr>
      </w:pPr>
      <w:r>
        <w:rPr>
          <w:rFonts w:ascii="Arial" w:hAnsi="Arial" w:cs="Arial"/>
          <w:sz w:val="24"/>
          <w:szCs w:val="24"/>
        </w:rPr>
        <w:t>The following table</w:t>
      </w:r>
      <w:r w:rsidRPr="0014552A">
        <w:rPr>
          <w:rFonts w:ascii="Arial" w:hAnsi="Arial" w:cs="Arial"/>
          <w:sz w:val="24"/>
          <w:szCs w:val="24"/>
        </w:rPr>
        <w:t xml:space="preserve"> includes a summary of the Asian American and Pacific Islander data</w:t>
      </w:r>
      <w:r>
        <w:rPr>
          <w:rFonts w:ascii="Arial" w:hAnsi="Arial" w:cs="Arial"/>
          <w:sz w:val="24"/>
          <w:szCs w:val="24"/>
        </w:rPr>
        <w:t xml:space="preserve"> for the Academic Year 2010-2011 (covering the period July 1, 2010 through June 30, 2011.)  A report for the Academic Year 2011-2012 will be available December 2012.</w:t>
      </w:r>
    </w:p>
    <w:p w:rsidR="0025234A" w:rsidRPr="0014552A" w:rsidRDefault="0025234A" w:rsidP="00EB6D7D">
      <w:pPr>
        <w:spacing w:after="0" w:line="240" w:lineRule="auto"/>
        <w:rPr>
          <w:rFonts w:ascii="Arial" w:hAnsi="Arial" w:cs="Arial"/>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3510"/>
      </w:tblGrid>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STATE</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Total Number of Positions</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CALIFORNIA</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527</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292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 STATE UNIVERSITY SACRAMENTO</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50</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right="-738"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 STATE UNIVERSITY, SAN MARCOS</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54</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CALIFORNIA SCHOOL OF PODIATRIC MEDICINE AT SAMUEL MERRITT UNIVERSITY</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102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California State University - Long Beach</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CALIFORNIA STATE UNIVERSITY, FRESNO</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MERRITT COLL</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SAN JOSE STATE UNIVERSITY</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11</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SANTA MONICA COMM COLL</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70</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 and HISPANIC</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235</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CAL STATE UNIVERSITY FRESNO</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235</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HAWAII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15</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15</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HILO COMMUNITY COLL</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6</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UNIVERSITY OF HAWAII-HILO</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9</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ILLINOIS</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145</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UNIVERSITY OF CHICAGO</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 and MAJOR AFFILIATE</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133</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UNIVERSITY OF ILLINOIS-URBANA</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133</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MASSACHUSETTS</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144</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lastRenderedPageBreak/>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144</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UNIVERSITY OF MASSACHUSETTS-BOSTON</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144</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NEW YORK</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3</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3</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STATE UNIVERSITY OF NEW YORK AT STONY BROOK</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3</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TEXAS</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RICHLAND COMM COLL</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2</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WASHINGTON</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79</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100" w:firstLine="241"/>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AANAPISI</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79</w:t>
            </w:r>
          </w:p>
        </w:tc>
      </w:tr>
      <w:tr w:rsidR="00EB6D7D" w:rsidRPr="0014552A" w:rsidTr="00EB6D7D">
        <w:trPr>
          <w:trHeight w:val="300"/>
        </w:trPr>
        <w:tc>
          <w:tcPr>
            <w:tcW w:w="5685" w:type="dxa"/>
            <w:shd w:val="clear" w:color="auto" w:fill="auto"/>
            <w:noWrap/>
            <w:vAlign w:val="bottom"/>
            <w:hideMark/>
          </w:tcPr>
          <w:p w:rsidR="00EB6D7D" w:rsidRPr="0014552A" w:rsidRDefault="00EB6D7D" w:rsidP="00EB6D7D">
            <w:pPr>
              <w:spacing w:after="0" w:line="240" w:lineRule="auto"/>
              <w:ind w:firstLineChars="200" w:firstLine="480"/>
              <w:rPr>
                <w:rFonts w:ascii="Arial" w:eastAsia="Times New Roman" w:hAnsi="Arial" w:cs="Arial"/>
                <w:color w:val="000000"/>
                <w:sz w:val="24"/>
                <w:szCs w:val="24"/>
              </w:rPr>
            </w:pPr>
            <w:r w:rsidRPr="0014552A">
              <w:rPr>
                <w:rFonts w:ascii="Arial" w:eastAsia="Times New Roman" w:hAnsi="Arial" w:cs="Arial"/>
                <w:color w:val="000000"/>
                <w:sz w:val="24"/>
                <w:szCs w:val="24"/>
              </w:rPr>
              <w:t>SEATTLE COMM COLL</w:t>
            </w:r>
          </w:p>
        </w:tc>
        <w:tc>
          <w:tcPr>
            <w:tcW w:w="3510" w:type="dxa"/>
            <w:shd w:val="clear" w:color="auto" w:fill="auto"/>
            <w:noWrap/>
            <w:vAlign w:val="bottom"/>
            <w:hideMark/>
          </w:tcPr>
          <w:p w:rsidR="00EB6D7D" w:rsidRPr="0014552A" w:rsidRDefault="00EB6D7D" w:rsidP="00EB6D7D">
            <w:pPr>
              <w:spacing w:after="0" w:line="240" w:lineRule="auto"/>
              <w:jc w:val="center"/>
              <w:rPr>
                <w:rFonts w:ascii="Arial" w:eastAsia="Times New Roman" w:hAnsi="Arial" w:cs="Arial"/>
                <w:color w:val="000000"/>
                <w:sz w:val="24"/>
                <w:szCs w:val="24"/>
              </w:rPr>
            </w:pPr>
            <w:r w:rsidRPr="0014552A">
              <w:rPr>
                <w:rFonts w:ascii="Arial" w:eastAsia="Times New Roman" w:hAnsi="Arial" w:cs="Arial"/>
                <w:color w:val="000000"/>
                <w:sz w:val="24"/>
                <w:szCs w:val="24"/>
              </w:rPr>
              <w:t>79</w:t>
            </w:r>
          </w:p>
        </w:tc>
      </w:tr>
      <w:tr w:rsidR="00EB6D7D" w:rsidRPr="0014552A" w:rsidTr="00EB6D7D">
        <w:trPr>
          <w:trHeight w:val="300"/>
        </w:trPr>
        <w:tc>
          <w:tcPr>
            <w:tcW w:w="5685" w:type="dxa"/>
            <w:shd w:val="clear" w:color="DBE5F1" w:fill="DBE5F1"/>
            <w:noWrap/>
            <w:vAlign w:val="bottom"/>
            <w:hideMark/>
          </w:tcPr>
          <w:p w:rsidR="00EB6D7D" w:rsidRPr="0014552A" w:rsidRDefault="00EB6D7D" w:rsidP="00EB6D7D">
            <w:pPr>
              <w:spacing w:after="0" w:line="240" w:lineRule="auto"/>
              <w:jc w:val="right"/>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Grand Total</w:t>
            </w:r>
          </w:p>
        </w:tc>
        <w:tc>
          <w:tcPr>
            <w:tcW w:w="3510" w:type="dxa"/>
            <w:shd w:val="clear" w:color="DBE5F1" w:fill="DBE5F1"/>
            <w:noWrap/>
            <w:vAlign w:val="bottom"/>
            <w:hideMark/>
          </w:tcPr>
          <w:p w:rsidR="00EB6D7D" w:rsidRPr="0014552A" w:rsidRDefault="00EB6D7D" w:rsidP="00EB6D7D">
            <w:pPr>
              <w:spacing w:after="0" w:line="240" w:lineRule="auto"/>
              <w:jc w:val="center"/>
              <w:rPr>
                <w:rFonts w:ascii="Arial" w:eastAsia="Times New Roman" w:hAnsi="Arial" w:cs="Arial"/>
                <w:b/>
                <w:bCs/>
                <w:color w:val="000000"/>
                <w:sz w:val="24"/>
                <w:szCs w:val="24"/>
              </w:rPr>
            </w:pPr>
            <w:r w:rsidRPr="0014552A">
              <w:rPr>
                <w:rFonts w:ascii="Arial" w:eastAsia="Times New Roman" w:hAnsi="Arial" w:cs="Arial"/>
                <w:b/>
                <w:bCs/>
                <w:color w:val="000000"/>
                <w:sz w:val="24"/>
                <w:szCs w:val="24"/>
              </w:rPr>
              <w:t>915</w:t>
            </w:r>
          </w:p>
        </w:tc>
      </w:tr>
    </w:tbl>
    <w:p w:rsidR="00EB6D7D" w:rsidRDefault="00EB6D7D" w:rsidP="00D432FB">
      <w:pPr>
        <w:spacing w:after="0" w:line="240" w:lineRule="auto"/>
        <w:rPr>
          <w:rFonts w:ascii="Arial" w:hAnsi="Arial" w:cs="Arial"/>
          <w:b/>
          <w:i/>
          <w:color w:val="0D0D0D"/>
          <w:sz w:val="24"/>
          <w:szCs w:val="24"/>
        </w:rPr>
      </w:pPr>
    </w:p>
    <w:p w:rsidR="0025234A" w:rsidRPr="0025234A" w:rsidRDefault="0025234A" w:rsidP="002D550E">
      <w:pPr>
        <w:spacing w:after="0" w:line="240" w:lineRule="auto"/>
        <w:rPr>
          <w:rFonts w:ascii="Arial" w:hAnsi="Arial" w:cs="Arial"/>
          <w:b/>
          <w:i/>
          <w:sz w:val="24"/>
          <w:szCs w:val="24"/>
        </w:rPr>
      </w:pPr>
      <w:r w:rsidRPr="0025234A">
        <w:rPr>
          <w:rFonts w:ascii="Arial" w:hAnsi="Arial" w:cs="Arial"/>
          <w:b/>
          <w:i/>
          <w:sz w:val="24"/>
          <w:szCs w:val="24"/>
        </w:rPr>
        <w:t>Leadership and Career Development Programs</w:t>
      </w:r>
    </w:p>
    <w:p w:rsidR="002D550E" w:rsidRDefault="002D550E" w:rsidP="002D550E">
      <w:pPr>
        <w:spacing w:after="0" w:line="240" w:lineRule="auto"/>
        <w:rPr>
          <w:rFonts w:ascii="Arial" w:hAnsi="Arial" w:cs="Arial"/>
          <w:sz w:val="24"/>
          <w:szCs w:val="24"/>
        </w:rPr>
      </w:pPr>
      <w:r w:rsidRPr="00BA665A">
        <w:rPr>
          <w:rFonts w:ascii="Arial" w:hAnsi="Arial" w:cs="Arial"/>
          <w:sz w:val="24"/>
          <w:szCs w:val="24"/>
        </w:rPr>
        <w:t>The table</w:t>
      </w:r>
      <w:r w:rsidR="007C2029">
        <w:rPr>
          <w:rFonts w:ascii="Arial" w:hAnsi="Arial" w:cs="Arial"/>
          <w:sz w:val="24"/>
          <w:szCs w:val="24"/>
        </w:rPr>
        <w:t>,</w:t>
      </w:r>
      <w:r w:rsidRPr="00BA665A">
        <w:rPr>
          <w:rFonts w:ascii="Arial" w:hAnsi="Arial" w:cs="Arial"/>
          <w:sz w:val="24"/>
          <w:szCs w:val="24"/>
        </w:rPr>
        <w:t xml:space="preserve"> </w:t>
      </w:r>
      <w:r>
        <w:rPr>
          <w:rFonts w:ascii="Arial" w:hAnsi="Arial" w:cs="Arial"/>
          <w:sz w:val="24"/>
          <w:szCs w:val="24"/>
        </w:rPr>
        <w:t>which follows</w:t>
      </w:r>
      <w:r w:rsidRPr="00BA665A">
        <w:rPr>
          <w:rFonts w:ascii="Arial" w:hAnsi="Arial" w:cs="Arial"/>
          <w:sz w:val="24"/>
          <w:szCs w:val="24"/>
        </w:rPr>
        <w:t xml:space="preserve"> shows the number and percentage of Native Hawaiian/Pacific Islander and Asian-American </w:t>
      </w:r>
      <w:r>
        <w:rPr>
          <w:rFonts w:ascii="Arial" w:hAnsi="Arial" w:cs="Arial"/>
          <w:sz w:val="24"/>
          <w:szCs w:val="24"/>
        </w:rPr>
        <w:t xml:space="preserve">employees </w:t>
      </w:r>
      <w:r w:rsidRPr="00BA665A">
        <w:rPr>
          <w:rFonts w:ascii="Arial" w:hAnsi="Arial" w:cs="Arial"/>
          <w:sz w:val="24"/>
          <w:szCs w:val="24"/>
        </w:rPr>
        <w:t>(based on self reported data</w:t>
      </w:r>
      <w:r>
        <w:rPr>
          <w:rFonts w:ascii="Arial" w:hAnsi="Arial" w:cs="Arial"/>
          <w:sz w:val="24"/>
          <w:szCs w:val="24"/>
        </w:rPr>
        <w:t xml:space="preserve">) who </w:t>
      </w:r>
      <w:r w:rsidRPr="00BA665A">
        <w:rPr>
          <w:rFonts w:ascii="Arial" w:hAnsi="Arial" w:cs="Arial"/>
          <w:sz w:val="24"/>
          <w:szCs w:val="24"/>
        </w:rPr>
        <w:t xml:space="preserve">participated in the following national employee development programs </w:t>
      </w:r>
      <w:r>
        <w:rPr>
          <w:rFonts w:ascii="Arial" w:hAnsi="Arial" w:cs="Arial"/>
          <w:sz w:val="24"/>
          <w:szCs w:val="24"/>
        </w:rPr>
        <w:t xml:space="preserve">for VHA </w:t>
      </w:r>
      <w:r w:rsidRPr="00BA665A">
        <w:rPr>
          <w:rFonts w:ascii="Arial" w:hAnsi="Arial" w:cs="Arial"/>
          <w:sz w:val="24"/>
          <w:szCs w:val="24"/>
        </w:rPr>
        <w:t>under the Healthcare Talent Management Program Office</w:t>
      </w:r>
      <w:r>
        <w:rPr>
          <w:rFonts w:ascii="Arial" w:hAnsi="Arial" w:cs="Arial"/>
          <w:sz w:val="24"/>
          <w:szCs w:val="24"/>
        </w:rPr>
        <w:t>’s</w:t>
      </w:r>
      <w:r w:rsidRPr="00BA665A">
        <w:rPr>
          <w:rFonts w:ascii="Arial" w:hAnsi="Arial" w:cs="Arial"/>
          <w:sz w:val="24"/>
          <w:szCs w:val="24"/>
        </w:rPr>
        <w:t xml:space="preserve"> purview in FY2012:  </w:t>
      </w:r>
      <w:r>
        <w:rPr>
          <w:rFonts w:ascii="Arial" w:hAnsi="Arial" w:cs="Arial"/>
          <w:sz w:val="24"/>
          <w:szCs w:val="24"/>
        </w:rPr>
        <w:t xml:space="preserve"> </w:t>
      </w:r>
      <w:r w:rsidRPr="00BA665A">
        <w:rPr>
          <w:rFonts w:ascii="Arial" w:hAnsi="Arial" w:cs="Arial"/>
          <w:sz w:val="24"/>
          <w:szCs w:val="24"/>
        </w:rPr>
        <w:t xml:space="preserve"> </w:t>
      </w:r>
    </w:p>
    <w:p w:rsidR="002D550E" w:rsidRDefault="002D550E" w:rsidP="002D550E">
      <w:pPr>
        <w:spacing w:after="0" w:line="240" w:lineRule="auto"/>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999"/>
        <w:gridCol w:w="1366"/>
        <w:gridCol w:w="999"/>
        <w:gridCol w:w="1366"/>
        <w:gridCol w:w="999"/>
        <w:gridCol w:w="1366"/>
        <w:gridCol w:w="999"/>
        <w:gridCol w:w="1366"/>
      </w:tblGrid>
      <w:tr w:rsidR="002D550E" w:rsidRPr="0001700C" w:rsidTr="002D550E">
        <w:tc>
          <w:tcPr>
            <w:tcW w:w="920" w:type="dxa"/>
          </w:tcPr>
          <w:p w:rsidR="002D550E" w:rsidRPr="0001700C" w:rsidRDefault="002D550E" w:rsidP="002D550E">
            <w:pPr>
              <w:spacing w:after="0" w:line="240" w:lineRule="auto"/>
              <w:rPr>
                <w:rFonts w:ascii="Arial" w:hAnsi="Arial" w:cs="Arial"/>
              </w:rPr>
            </w:pPr>
          </w:p>
        </w:tc>
        <w:tc>
          <w:tcPr>
            <w:tcW w:w="4454" w:type="dxa"/>
            <w:gridSpan w:val="4"/>
          </w:tcPr>
          <w:p w:rsidR="002D550E" w:rsidRPr="0001700C" w:rsidRDefault="002D550E" w:rsidP="002D550E">
            <w:pPr>
              <w:spacing w:after="0" w:line="240" w:lineRule="auto"/>
              <w:jc w:val="center"/>
              <w:rPr>
                <w:rFonts w:ascii="Arial" w:hAnsi="Arial" w:cs="Arial"/>
              </w:rPr>
            </w:pPr>
            <w:r w:rsidRPr="0001700C">
              <w:rPr>
                <w:rFonts w:ascii="Arial" w:hAnsi="Arial" w:cs="Arial"/>
              </w:rPr>
              <w:t>Native Hawaiian/Pacific Islander</w:t>
            </w:r>
          </w:p>
        </w:tc>
        <w:tc>
          <w:tcPr>
            <w:tcW w:w="4616" w:type="dxa"/>
            <w:gridSpan w:val="4"/>
          </w:tcPr>
          <w:p w:rsidR="002D550E" w:rsidRPr="0001700C" w:rsidRDefault="002D550E" w:rsidP="002D550E">
            <w:pPr>
              <w:spacing w:after="0" w:line="240" w:lineRule="auto"/>
              <w:jc w:val="center"/>
              <w:rPr>
                <w:rFonts w:ascii="Arial" w:hAnsi="Arial" w:cs="Arial"/>
              </w:rPr>
            </w:pPr>
            <w:r w:rsidRPr="0001700C">
              <w:rPr>
                <w:rFonts w:ascii="Arial" w:hAnsi="Arial" w:cs="Arial"/>
              </w:rPr>
              <w:t>Asian-American</w:t>
            </w:r>
          </w:p>
        </w:tc>
      </w:tr>
      <w:tr w:rsidR="002D550E" w:rsidRPr="0001700C" w:rsidTr="002D550E">
        <w:tc>
          <w:tcPr>
            <w:tcW w:w="920" w:type="dxa"/>
          </w:tcPr>
          <w:p w:rsidR="002D550E" w:rsidRPr="0001700C" w:rsidRDefault="002D550E" w:rsidP="002D550E">
            <w:pPr>
              <w:spacing w:after="0" w:line="240" w:lineRule="auto"/>
              <w:rPr>
                <w:rFonts w:ascii="Arial" w:hAnsi="Arial" w:cs="Arial"/>
              </w:rPr>
            </w:pPr>
          </w:p>
        </w:tc>
        <w:tc>
          <w:tcPr>
            <w:tcW w:w="2227" w:type="dxa"/>
            <w:gridSpan w:val="2"/>
          </w:tcPr>
          <w:p w:rsidR="002D550E" w:rsidRPr="0001700C" w:rsidRDefault="002D550E" w:rsidP="002D550E">
            <w:pPr>
              <w:spacing w:after="0" w:line="240" w:lineRule="auto"/>
              <w:jc w:val="center"/>
              <w:rPr>
                <w:rFonts w:ascii="Arial" w:hAnsi="Arial" w:cs="Arial"/>
              </w:rPr>
            </w:pPr>
            <w:r w:rsidRPr="0001700C">
              <w:rPr>
                <w:rFonts w:ascii="Arial" w:hAnsi="Arial" w:cs="Arial"/>
              </w:rPr>
              <w:t>Male</w:t>
            </w:r>
          </w:p>
        </w:tc>
        <w:tc>
          <w:tcPr>
            <w:tcW w:w="2227" w:type="dxa"/>
            <w:gridSpan w:val="2"/>
          </w:tcPr>
          <w:p w:rsidR="002D550E" w:rsidRPr="0001700C" w:rsidRDefault="002D550E" w:rsidP="002D550E">
            <w:pPr>
              <w:spacing w:after="0" w:line="240" w:lineRule="auto"/>
              <w:jc w:val="center"/>
              <w:rPr>
                <w:rFonts w:ascii="Arial" w:hAnsi="Arial" w:cs="Arial"/>
              </w:rPr>
            </w:pPr>
            <w:r w:rsidRPr="0001700C">
              <w:rPr>
                <w:rFonts w:ascii="Arial" w:hAnsi="Arial" w:cs="Arial"/>
              </w:rPr>
              <w:t>Female</w:t>
            </w:r>
          </w:p>
        </w:tc>
        <w:tc>
          <w:tcPr>
            <w:tcW w:w="2227" w:type="dxa"/>
            <w:gridSpan w:val="2"/>
          </w:tcPr>
          <w:p w:rsidR="002D550E" w:rsidRPr="0001700C" w:rsidRDefault="002D550E" w:rsidP="002D550E">
            <w:pPr>
              <w:spacing w:after="0" w:line="240" w:lineRule="auto"/>
              <w:jc w:val="center"/>
              <w:rPr>
                <w:rFonts w:ascii="Arial" w:hAnsi="Arial" w:cs="Arial"/>
              </w:rPr>
            </w:pPr>
            <w:r w:rsidRPr="0001700C">
              <w:rPr>
                <w:rFonts w:ascii="Arial" w:hAnsi="Arial" w:cs="Arial"/>
              </w:rPr>
              <w:t>Male</w:t>
            </w:r>
          </w:p>
        </w:tc>
        <w:tc>
          <w:tcPr>
            <w:tcW w:w="2389" w:type="dxa"/>
            <w:gridSpan w:val="2"/>
          </w:tcPr>
          <w:p w:rsidR="002D550E" w:rsidRPr="0001700C" w:rsidRDefault="002D550E" w:rsidP="002D550E">
            <w:pPr>
              <w:spacing w:after="0" w:line="240" w:lineRule="auto"/>
              <w:jc w:val="center"/>
              <w:rPr>
                <w:rFonts w:ascii="Arial" w:hAnsi="Arial" w:cs="Arial"/>
              </w:rPr>
            </w:pPr>
            <w:r w:rsidRPr="0001700C">
              <w:rPr>
                <w:rFonts w:ascii="Arial" w:hAnsi="Arial" w:cs="Arial"/>
              </w:rPr>
              <w:t>Female</w:t>
            </w:r>
          </w:p>
        </w:tc>
      </w:tr>
      <w:tr w:rsidR="002D550E" w:rsidRPr="0001700C" w:rsidTr="002D550E">
        <w:tc>
          <w:tcPr>
            <w:tcW w:w="920" w:type="dxa"/>
          </w:tcPr>
          <w:p w:rsidR="002D550E" w:rsidRPr="0001700C" w:rsidRDefault="002D550E" w:rsidP="002D550E">
            <w:pPr>
              <w:spacing w:after="0" w:line="240" w:lineRule="auto"/>
              <w:rPr>
                <w:rFonts w:ascii="Arial" w:hAnsi="Arial" w:cs="Arial"/>
              </w:rPr>
            </w:pP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Number</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 of Participants</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Number</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 of Participants</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Number</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 of Participants</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Number</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 of Participants</w:t>
            </w:r>
          </w:p>
        </w:tc>
      </w:tr>
      <w:tr w:rsidR="002D550E" w:rsidRPr="0001700C" w:rsidTr="002D550E">
        <w:trPr>
          <w:trHeight w:val="537"/>
        </w:trPr>
        <w:tc>
          <w:tcPr>
            <w:tcW w:w="920"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HCLDP</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1.72%</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4</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6.90%</w:t>
            </w:r>
          </w:p>
        </w:tc>
      </w:tr>
      <w:tr w:rsidR="002D550E" w:rsidRPr="0001700C" w:rsidTr="002D550E">
        <w:trPr>
          <w:trHeight w:val="537"/>
        </w:trPr>
        <w:tc>
          <w:tcPr>
            <w:tcW w:w="920"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GHATP</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2.78%</w:t>
            </w:r>
          </w:p>
        </w:tc>
      </w:tr>
      <w:tr w:rsidR="002D550E" w:rsidRPr="0001700C" w:rsidTr="002D550E">
        <w:trPr>
          <w:trHeight w:val="537"/>
        </w:trPr>
        <w:tc>
          <w:tcPr>
            <w:tcW w:w="920"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 xml:space="preserve">TCF </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.36%</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.36%</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16</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5.82%</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5</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1.82%</w:t>
            </w:r>
          </w:p>
        </w:tc>
      </w:tr>
      <w:tr w:rsidR="002D550E" w:rsidRPr="0001700C" w:rsidTr="002D550E">
        <w:trPr>
          <w:trHeight w:val="537"/>
        </w:trPr>
        <w:tc>
          <w:tcPr>
            <w:tcW w:w="920"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Facility LEAD</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0.10%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5</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.49%</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13</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1.27%</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24</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2.34%</w:t>
            </w:r>
          </w:p>
        </w:tc>
      </w:tr>
      <w:tr w:rsidR="002D550E" w:rsidRPr="0001700C" w:rsidTr="002D550E">
        <w:trPr>
          <w:trHeight w:val="537"/>
        </w:trPr>
        <w:tc>
          <w:tcPr>
            <w:tcW w:w="920"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VISN LEAD</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0.00%</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12</w:t>
            </w:r>
          </w:p>
        </w:tc>
        <w:tc>
          <w:tcPr>
            <w:tcW w:w="1284"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2.92%</w:t>
            </w:r>
          </w:p>
        </w:tc>
        <w:tc>
          <w:tcPr>
            <w:tcW w:w="943"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10</w:t>
            </w:r>
          </w:p>
        </w:tc>
        <w:tc>
          <w:tcPr>
            <w:tcW w:w="1446" w:type="dxa"/>
            <w:vAlign w:val="bottom"/>
          </w:tcPr>
          <w:p w:rsidR="002D550E" w:rsidRPr="0001700C" w:rsidRDefault="002D550E" w:rsidP="002D550E">
            <w:pPr>
              <w:spacing w:after="0" w:line="240" w:lineRule="auto"/>
              <w:jc w:val="center"/>
              <w:rPr>
                <w:rFonts w:ascii="Arial" w:hAnsi="Arial" w:cs="Arial"/>
              </w:rPr>
            </w:pPr>
            <w:r w:rsidRPr="0001700C">
              <w:rPr>
                <w:rFonts w:ascii="Arial" w:hAnsi="Arial" w:cs="Arial"/>
              </w:rPr>
              <w:t>2.43%</w:t>
            </w:r>
          </w:p>
        </w:tc>
      </w:tr>
    </w:tbl>
    <w:p w:rsidR="002D550E" w:rsidRDefault="002D550E" w:rsidP="002D550E">
      <w:pPr>
        <w:spacing w:after="0" w:line="240" w:lineRule="auto"/>
        <w:rPr>
          <w:rFonts w:ascii="Arial" w:hAnsi="Arial" w:cs="Arial"/>
          <w:sz w:val="24"/>
          <w:szCs w:val="24"/>
        </w:rPr>
      </w:pPr>
    </w:p>
    <w:p w:rsidR="002D550E" w:rsidRDefault="002D550E" w:rsidP="002D550E">
      <w:pPr>
        <w:spacing w:after="0" w:line="240" w:lineRule="auto"/>
        <w:rPr>
          <w:rFonts w:ascii="Arial" w:hAnsi="Arial" w:cs="Arial"/>
          <w:sz w:val="24"/>
          <w:szCs w:val="24"/>
        </w:rPr>
      </w:pPr>
      <w:r>
        <w:rPr>
          <w:rFonts w:ascii="Arial" w:hAnsi="Arial" w:cs="Arial"/>
          <w:sz w:val="24"/>
          <w:szCs w:val="24"/>
        </w:rPr>
        <w:t>Descriptions of the programs listed follow:</w:t>
      </w:r>
    </w:p>
    <w:p w:rsidR="002D550E" w:rsidRPr="00BA665A" w:rsidRDefault="002D550E" w:rsidP="00634B88">
      <w:pPr>
        <w:pStyle w:val="ListParagraph"/>
        <w:numPr>
          <w:ilvl w:val="1"/>
          <w:numId w:val="1"/>
        </w:numPr>
        <w:spacing w:after="0" w:line="240" w:lineRule="auto"/>
        <w:ind w:left="540"/>
        <w:contextualSpacing/>
        <w:rPr>
          <w:rFonts w:ascii="Arial" w:hAnsi="Arial" w:cs="Arial"/>
          <w:sz w:val="24"/>
          <w:szCs w:val="24"/>
        </w:rPr>
      </w:pPr>
      <w:r w:rsidRPr="00BA665A">
        <w:rPr>
          <w:rFonts w:ascii="Arial" w:hAnsi="Arial" w:cs="Arial"/>
          <w:sz w:val="24"/>
          <w:szCs w:val="24"/>
          <w:u w:val="single"/>
        </w:rPr>
        <w:t>Health Care Leadership Development Program (HCLDP)</w:t>
      </w:r>
      <w:r>
        <w:rPr>
          <w:rFonts w:ascii="Arial" w:hAnsi="Arial" w:cs="Arial"/>
          <w:sz w:val="24"/>
          <w:szCs w:val="24"/>
        </w:rPr>
        <w:t xml:space="preserve"> </w:t>
      </w:r>
      <w:r w:rsidRPr="00BA665A">
        <w:rPr>
          <w:rFonts w:ascii="Arial" w:hAnsi="Arial" w:cs="Arial"/>
          <w:sz w:val="24"/>
          <w:szCs w:val="24"/>
        </w:rPr>
        <w:t xml:space="preserve">Open to GS 13-15 and equivalent Title 38 employees.  Competitive selection.  Single class of 60 </w:t>
      </w:r>
      <w:r>
        <w:rPr>
          <w:rFonts w:ascii="Arial" w:hAnsi="Arial" w:cs="Arial"/>
          <w:sz w:val="24"/>
          <w:szCs w:val="24"/>
        </w:rPr>
        <w:t>participants per year.</w:t>
      </w:r>
    </w:p>
    <w:p w:rsidR="001B375F" w:rsidRPr="001B375F" w:rsidRDefault="001B375F" w:rsidP="001B375F">
      <w:pPr>
        <w:pStyle w:val="ListParagraph"/>
        <w:spacing w:after="0" w:line="240" w:lineRule="auto"/>
        <w:ind w:left="540"/>
        <w:contextualSpacing/>
        <w:rPr>
          <w:rFonts w:ascii="Arial" w:hAnsi="Arial" w:cs="Arial"/>
          <w:sz w:val="24"/>
          <w:szCs w:val="24"/>
        </w:rPr>
      </w:pPr>
    </w:p>
    <w:p w:rsidR="002D550E" w:rsidRPr="00BA665A" w:rsidRDefault="002D550E" w:rsidP="00634B88">
      <w:pPr>
        <w:pStyle w:val="ListParagraph"/>
        <w:numPr>
          <w:ilvl w:val="1"/>
          <w:numId w:val="1"/>
        </w:numPr>
        <w:spacing w:after="0" w:line="240" w:lineRule="auto"/>
        <w:ind w:left="540"/>
        <w:contextualSpacing/>
        <w:rPr>
          <w:rFonts w:ascii="Arial" w:hAnsi="Arial" w:cs="Arial"/>
          <w:sz w:val="24"/>
          <w:szCs w:val="24"/>
        </w:rPr>
      </w:pPr>
      <w:r w:rsidRPr="00BA665A">
        <w:rPr>
          <w:rFonts w:ascii="Arial" w:hAnsi="Arial" w:cs="Arial"/>
          <w:sz w:val="24"/>
          <w:szCs w:val="24"/>
          <w:u w:val="single"/>
        </w:rPr>
        <w:t>Graduate Health Administration Training Program (GHATP)</w:t>
      </w:r>
      <w:r>
        <w:rPr>
          <w:rFonts w:ascii="Arial" w:hAnsi="Arial" w:cs="Arial"/>
          <w:sz w:val="24"/>
          <w:szCs w:val="24"/>
        </w:rPr>
        <w:t xml:space="preserve"> </w:t>
      </w:r>
      <w:r w:rsidRPr="00BA665A">
        <w:rPr>
          <w:rFonts w:ascii="Arial" w:hAnsi="Arial" w:cs="Arial"/>
          <w:sz w:val="24"/>
          <w:szCs w:val="24"/>
        </w:rPr>
        <w:t>1-year program.  Competitive selection.  Several sub-programs [current students, recent graduates, high potential current employees].  Advertising/Selection/Hiring conducted local</w:t>
      </w:r>
      <w:r>
        <w:rPr>
          <w:rFonts w:ascii="Arial" w:hAnsi="Arial" w:cs="Arial"/>
          <w:sz w:val="24"/>
          <w:szCs w:val="24"/>
        </w:rPr>
        <w:t>ly.  About 60 participants selected per year</w:t>
      </w:r>
      <w:r w:rsidRPr="00BA665A">
        <w:rPr>
          <w:rFonts w:ascii="Arial" w:hAnsi="Arial" w:cs="Arial"/>
          <w:sz w:val="24"/>
          <w:szCs w:val="24"/>
        </w:rPr>
        <w:t xml:space="preserve">. </w:t>
      </w:r>
    </w:p>
    <w:p w:rsidR="002D550E" w:rsidRPr="00B413F7" w:rsidRDefault="002D550E" w:rsidP="00634B88">
      <w:pPr>
        <w:pStyle w:val="ListParagraph"/>
        <w:numPr>
          <w:ilvl w:val="1"/>
          <w:numId w:val="1"/>
        </w:numPr>
        <w:spacing w:after="0" w:line="240" w:lineRule="auto"/>
        <w:ind w:left="540"/>
        <w:contextualSpacing/>
        <w:rPr>
          <w:rFonts w:ascii="Arial" w:hAnsi="Arial" w:cs="Arial"/>
          <w:sz w:val="24"/>
          <w:szCs w:val="24"/>
        </w:rPr>
      </w:pPr>
      <w:r w:rsidRPr="00BA665A">
        <w:rPr>
          <w:rFonts w:ascii="Arial" w:hAnsi="Arial" w:cs="Arial"/>
          <w:sz w:val="24"/>
          <w:szCs w:val="24"/>
          <w:u w:val="single"/>
        </w:rPr>
        <w:lastRenderedPageBreak/>
        <w:t>Technical Career Field Program (TCF)</w:t>
      </w:r>
      <w:r>
        <w:rPr>
          <w:rFonts w:ascii="Arial" w:hAnsi="Arial" w:cs="Arial"/>
          <w:sz w:val="24"/>
          <w:szCs w:val="24"/>
        </w:rPr>
        <w:t xml:space="preserve"> </w:t>
      </w:r>
      <w:r w:rsidRPr="00BA665A">
        <w:rPr>
          <w:rFonts w:ascii="Arial" w:hAnsi="Arial" w:cs="Arial"/>
          <w:sz w:val="24"/>
          <w:szCs w:val="24"/>
        </w:rPr>
        <w:t xml:space="preserve">2-year training program.  Non-clinical occupations.  Open to internal and external candidates.  </w:t>
      </w:r>
      <w:r w:rsidR="00566876">
        <w:rPr>
          <w:rFonts w:ascii="Arial" w:hAnsi="Arial" w:cs="Arial"/>
          <w:sz w:val="24"/>
          <w:szCs w:val="24"/>
        </w:rPr>
        <w:t>A</w:t>
      </w:r>
      <w:r w:rsidRPr="00BA665A">
        <w:rPr>
          <w:rFonts w:ascii="Arial" w:hAnsi="Arial" w:cs="Arial"/>
          <w:sz w:val="24"/>
          <w:szCs w:val="24"/>
        </w:rPr>
        <w:t xml:space="preserve">dvertising/Selection/Hiring conducted locally.  About 280 participants selected </w:t>
      </w:r>
      <w:r>
        <w:rPr>
          <w:rFonts w:ascii="Arial" w:hAnsi="Arial" w:cs="Arial"/>
          <w:sz w:val="24"/>
          <w:szCs w:val="24"/>
        </w:rPr>
        <w:t xml:space="preserve">each year.  </w:t>
      </w:r>
      <w:r w:rsidRPr="00B413F7">
        <w:rPr>
          <w:rFonts w:ascii="Arial" w:hAnsi="Arial" w:cs="Arial"/>
          <w:sz w:val="24"/>
          <w:szCs w:val="24"/>
        </w:rPr>
        <w:t>TCF hiring for the 2012 class did not begin until May 2012.  TCF data is based on hiring into the 2011 class.</w:t>
      </w:r>
    </w:p>
    <w:p w:rsidR="002D550E" w:rsidRPr="0001700C" w:rsidRDefault="002D550E" w:rsidP="002D550E">
      <w:pPr>
        <w:pStyle w:val="ListParagraph"/>
        <w:ind w:left="540"/>
        <w:contextualSpacing/>
        <w:rPr>
          <w:rFonts w:ascii="Arial" w:hAnsi="Arial" w:cs="Arial"/>
          <w:sz w:val="24"/>
          <w:szCs w:val="24"/>
        </w:rPr>
      </w:pPr>
    </w:p>
    <w:p w:rsidR="001B224A" w:rsidRDefault="002D550E" w:rsidP="00634B88">
      <w:pPr>
        <w:pStyle w:val="ListParagraph"/>
        <w:numPr>
          <w:ilvl w:val="1"/>
          <w:numId w:val="1"/>
        </w:numPr>
        <w:spacing w:after="0" w:line="240" w:lineRule="auto"/>
        <w:ind w:left="540"/>
        <w:contextualSpacing/>
        <w:rPr>
          <w:rFonts w:ascii="Arial" w:hAnsi="Arial" w:cs="Arial"/>
          <w:sz w:val="24"/>
          <w:szCs w:val="24"/>
        </w:rPr>
      </w:pPr>
      <w:r w:rsidRPr="00BA665A">
        <w:rPr>
          <w:rFonts w:ascii="Arial" w:hAnsi="Arial" w:cs="Arial"/>
          <w:sz w:val="24"/>
          <w:szCs w:val="24"/>
          <w:u w:val="single"/>
        </w:rPr>
        <w:t>Leadership, Effectiveness, Accountability and Development (LEAD)</w:t>
      </w:r>
      <w:r>
        <w:rPr>
          <w:rFonts w:ascii="Arial" w:hAnsi="Arial" w:cs="Arial"/>
          <w:sz w:val="24"/>
          <w:szCs w:val="24"/>
        </w:rPr>
        <w:t xml:space="preserve"> </w:t>
      </w:r>
      <w:r w:rsidRPr="00BA665A">
        <w:rPr>
          <w:rFonts w:ascii="Arial" w:hAnsi="Arial" w:cs="Arial"/>
          <w:sz w:val="24"/>
          <w:szCs w:val="24"/>
        </w:rPr>
        <w:t xml:space="preserve">Two levels in 2012 – Facility LEAD [typically GS 5-9 and equivalents] and VISN LEAD [typically GS 9-13 and equivalents].  </w:t>
      </w:r>
      <w:r>
        <w:rPr>
          <w:rFonts w:ascii="Arial" w:hAnsi="Arial" w:cs="Arial"/>
          <w:sz w:val="24"/>
          <w:szCs w:val="24"/>
        </w:rPr>
        <w:t>Designed and conducted locally.</w:t>
      </w:r>
    </w:p>
    <w:p w:rsidR="001D37DE" w:rsidRDefault="001D37DE" w:rsidP="005844AF">
      <w:pPr>
        <w:spacing w:after="0" w:line="240" w:lineRule="auto"/>
        <w:rPr>
          <w:rFonts w:ascii="Arial" w:hAnsi="Arial" w:cs="Arial"/>
          <w:sz w:val="24"/>
          <w:szCs w:val="24"/>
        </w:rPr>
      </w:pPr>
    </w:p>
    <w:p w:rsidR="00B00DFF" w:rsidRDefault="00B00DFF" w:rsidP="005844AF">
      <w:pPr>
        <w:spacing w:after="0" w:line="240" w:lineRule="auto"/>
        <w:rPr>
          <w:rFonts w:ascii="Arial" w:hAnsi="Arial" w:cs="Arial"/>
          <w:sz w:val="24"/>
          <w:szCs w:val="24"/>
        </w:rPr>
      </w:pPr>
      <w:r w:rsidRPr="005844AF">
        <w:rPr>
          <w:rFonts w:ascii="Arial" w:hAnsi="Arial" w:cs="Arial"/>
          <w:sz w:val="24"/>
          <w:szCs w:val="24"/>
        </w:rPr>
        <w:t xml:space="preserve">NCA has also implemented various employee developmental programs to provide opportunities to develop new skill sets to prepare them for leadership positions. One of these programs, the Cemetery Directors Intern course, has been a very successful tool for providing underrepresented groups opportunities to advance into leadership positions within the administration. Upon successful completion of the course, participants are assigned to cemeteries as the cemetery director, assistant director or assistant to the director. The diversity of the Cemetery Director Intern classes demonstrates NCA’s commitment to diversifying the workforce in leadership positions. The FY12/13 class </w:t>
      </w:r>
      <w:r w:rsidR="00566876">
        <w:rPr>
          <w:rFonts w:ascii="Arial" w:hAnsi="Arial" w:cs="Arial"/>
          <w:sz w:val="24"/>
          <w:szCs w:val="24"/>
        </w:rPr>
        <w:t>includes one Asian American woman, one African American woman, one White woma</w:t>
      </w:r>
      <w:r w:rsidRPr="005844AF">
        <w:rPr>
          <w:rFonts w:ascii="Arial" w:hAnsi="Arial" w:cs="Arial"/>
          <w:sz w:val="24"/>
          <w:szCs w:val="24"/>
        </w:rPr>
        <w:t>n,</w:t>
      </w:r>
      <w:r w:rsidR="00566876">
        <w:rPr>
          <w:rFonts w:ascii="Arial" w:hAnsi="Arial" w:cs="Arial"/>
          <w:sz w:val="24"/>
          <w:szCs w:val="24"/>
        </w:rPr>
        <w:t xml:space="preserve"> two African American males, and five White m</w:t>
      </w:r>
      <w:r w:rsidRPr="005844AF">
        <w:rPr>
          <w:rFonts w:ascii="Arial" w:hAnsi="Arial" w:cs="Arial"/>
          <w:sz w:val="24"/>
          <w:szCs w:val="24"/>
        </w:rPr>
        <w:t>ales.  The FY12 graduating class in</w:t>
      </w:r>
      <w:r w:rsidR="00566876">
        <w:rPr>
          <w:rFonts w:ascii="Arial" w:hAnsi="Arial" w:cs="Arial"/>
          <w:sz w:val="24"/>
          <w:szCs w:val="24"/>
        </w:rPr>
        <w:t>cluded one Pacific Islander woman, one African American woma</w:t>
      </w:r>
      <w:r w:rsidRPr="005844AF">
        <w:rPr>
          <w:rFonts w:ascii="Arial" w:hAnsi="Arial" w:cs="Arial"/>
          <w:sz w:val="24"/>
          <w:szCs w:val="24"/>
        </w:rPr>
        <w:t>n</w:t>
      </w:r>
      <w:r w:rsidR="00566876">
        <w:rPr>
          <w:rFonts w:ascii="Arial" w:hAnsi="Arial" w:cs="Arial"/>
          <w:sz w:val="24"/>
          <w:szCs w:val="24"/>
        </w:rPr>
        <w:t>,</w:t>
      </w:r>
      <w:r w:rsidRPr="005844AF">
        <w:rPr>
          <w:rFonts w:ascii="Arial" w:hAnsi="Arial" w:cs="Arial"/>
          <w:sz w:val="24"/>
          <w:szCs w:val="24"/>
        </w:rPr>
        <w:t xml:space="preserve"> </w:t>
      </w:r>
      <w:r w:rsidR="00566876">
        <w:rPr>
          <w:rFonts w:ascii="Arial" w:hAnsi="Arial" w:cs="Arial"/>
          <w:sz w:val="24"/>
          <w:szCs w:val="24"/>
        </w:rPr>
        <w:t>two African American m</w:t>
      </w:r>
      <w:r w:rsidRPr="005844AF">
        <w:rPr>
          <w:rFonts w:ascii="Arial" w:hAnsi="Arial" w:cs="Arial"/>
          <w:sz w:val="24"/>
          <w:szCs w:val="24"/>
        </w:rPr>
        <w:t>en</w:t>
      </w:r>
      <w:r w:rsidR="00566876">
        <w:rPr>
          <w:rFonts w:ascii="Arial" w:hAnsi="Arial" w:cs="Arial"/>
          <w:sz w:val="24"/>
          <w:szCs w:val="24"/>
        </w:rPr>
        <w:t>, and three White m</w:t>
      </w:r>
      <w:r w:rsidRPr="005844AF">
        <w:rPr>
          <w:rFonts w:ascii="Arial" w:hAnsi="Arial" w:cs="Arial"/>
          <w:sz w:val="24"/>
          <w:szCs w:val="24"/>
        </w:rPr>
        <w:t xml:space="preserve">ales. </w:t>
      </w:r>
    </w:p>
    <w:p w:rsidR="008D6C80" w:rsidRDefault="008D6C80" w:rsidP="005844AF">
      <w:pPr>
        <w:spacing w:after="0" w:line="240" w:lineRule="auto"/>
        <w:rPr>
          <w:rFonts w:ascii="Arial" w:hAnsi="Arial" w:cs="Arial"/>
          <w:sz w:val="24"/>
          <w:szCs w:val="24"/>
        </w:rPr>
      </w:pPr>
    </w:p>
    <w:p w:rsidR="008D6C80" w:rsidRDefault="00966D1F" w:rsidP="005844AF">
      <w:pPr>
        <w:spacing w:after="0" w:line="240" w:lineRule="auto"/>
        <w:rPr>
          <w:rFonts w:ascii="Arial" w:hAnsi="Arial" w:cs="Arial"/>
          <w:sz w:val="24"/>
          <w:szCs w:val="24"/>
        </w:rPr>
      </w:pPr>
      <w:r>
        <w:rPr>
          <w:rFonts w:ascii="Arial" w:hAnsi="Arial" w:cs="Arial"/>
          <w:sz w:val="24"/>
          <w:szCs w:val="24"/>
        </w:rPr>
        <w:t>VBA</w:t>
      </w:r>
      <w:r w:rsidR="008D6C80">
        <w:rPr>
          <w:rFonts w:ascii="Arial" w:hAnsi="Arial" w:cs="Arial"/>
          <w:sz w:val="24"/>
          <w:szCs w:val="24"/>
        </w:rPr>
        <w:t xml:space="preserve"> also implemented the below employee developmental programs.</w:t>
      </w:r>
    </w:p>
    <w:p w:rsidR="00966D1F" w:rsidRDefault="00966D1F" w:rsidP="005844AF">
      <w:pPr>
        <w:spacing w:after="0" w:line="240" w:lineRule="auto"/>
        <w:rPr>
          <w:rFonts w:ascii="Arial" w:hAnsi="Arial" w:cs="Arial"/>
          <w:sz w:val="24"/>
          <w:szCs w:val="24"/>
        </w:rPr>
      </w:pP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Division Leadership Management Training (DLMT) - AAPI Members - 2</w:t>
      </w: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Introduction to Leadership (ITL) - AAPI Members - 7</w:t>
      </w: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Enhancement and Development - AAPI Members- 1</w:t>
      </w: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Presidential Management Fellows (PMF) - AAPI Members - 1</w:t>
      </w:r>
    </w:p>
    <w:p w:rsidR="008D6C80"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Leadership Development Program (LDP)- AAPI Members - N/A</w:t>
      </w: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 xml:space="preserve"> Assistant Director Development Program (ADDP) - AAPI Members - N/A</w:t>
      </w:r>
    </w:p>
    <w:p w:rsidR="008D6C80" w:rsidRPr="004F20AD" w:rsidRDefault="008D6C80" w:rsidP="008D6C80">
      <w:pPr>
        <w:pStyle w:val="ListParagraph"/>
        <w:numPr>
          <w:ilvl w:val="0"/>
          <w:numId w:val="6"/>
        </w:numPr>
        <w:spacing w:after="0" w:line="240" w:lineRule="auto"/>
        <w:contextualSpacing/>
        <w:rPr>
          <w:rFonts w:ascii="Arial" w:hAnsi="Arial" w:cs="Arial"/>
          <w:sz w:val="24"/>
          <w:szCs w:val="24"/>
        </w:rPr>
      </w:pPr>
      <w:r w:rsidRPr="004F20AD">
        <w:rPr>
          <w:rFonts w:ascii="Arial" w:hAnsi="Arial" w:cs="Arial"/>
          <w:sz w:val="24"/>
          <w:szCs w:val="24"/>
        </w:rPr>
        <w:t>Leadership Coaching Program (LCP) - AAPI Members - 1</w:t>
      </w:r>
    </w:p>
    <w:p w:rsidR="00DB6259" w:rsidRDefault="00DB6259">
      <w:pPr>
        <w:pStyle w:val="ListParagraph"/>
        <w:spacing w:after="0" w:line="240" w:lineRule="auto"/>
        <w:ind w:left="540"/>
        <w:contextualSpacing/>
        <w:rPr>
          <w:rFonts w:ascii="Arial" w:hAnsi="Arial" w:cs="Arial"/>
          <w:sz w:val="24"/>
          <w:szCs w:val="24"/>
        </w:rPr>
      </w:pPr>
    </w:p>
    <w:p w:rsidR="00D432FB" w:rsidRDefault="00D432FB" w:rsidP="00D432FB">
      <w:pPr>
        <w:spacing w:after="0" w:line="240" w:lineRule="auto"/>
        <w:rPr>
          <w:rFonts w:ascii="Arial" w:hAnsi="Arial" w:cs="Arial"/>
          <w:b/>
          <w:i/>
          <w:color w:val="0D0D0D"/>
          <w:sz w:val="24"/>
          <w:szCs w:val="24"/>
        </w:rPr>
      </w:pPr>
      <w:r w:rsidRPr="00D838D4">
        <w:rPr>
          <w:rFonts w:ascii="Arial" w:hAnsi="Arial" w:cs="Arial"/>
          <w:b/>
          <w:i/>
          <w:color w:val="0D0D0D"/>
          <w:sz w:val="24"/>
          <w:szCs w:val="24"/>
        </w:rPr>
        <w:t>Goal</w:t>
      </w:r>
      <w:r w:rsidR="005844AF">
        <w:rPr>
          <w:rFonts w:ascii="Arial" w:hAnsi="Arial" w:cs="Arial"/>
          <w:b/>
          <w:i/>
          <w:color w:val="0D0D0D"/>
          <w:sz w:val="24"/>
          <w:szCs w:val="24"/>
        </w:rPr>
        <w:tab/>
      </w:r>
      <w:r w:rsidR="005844AF">
        <w:rPr>
          <w:rFonts w:ascii="Arial" w:hAnsi="Arial" w:cs="Arial"/>
          <w:b/>
          <w:i/>
          <w:color w:val="0D0D0D"/>
          <w:sz w:val="24"/>
          <w:szCs w:val="24"/>
        </w:rPr>
        <w:tab/>
      </w:r>
      <w:r w:rsidRPr="00D838D4">
        <w:rPr>
          <w:rFonts w:ascii="Arial" w:hAnsi="Arial" w:cs="Arial"/>
          <w:b/>
          <w:i/>
          <w:color w:val="0D0D0D"/>
          <w:sz w:val="24"/>
          <w:szCs w:val="24"/>
        </w:rPr>
        <w:t>Improve federal civil rights protections for the AAPI community.</w:t>
      </w:r>
    </w:p>
    <w:p w:rsidR="00D64E48" w:rsidRPr="00D64E48" w:rsidRDefault="00D64E48" w:rsidP="00D64E48">
      <w:pPr>
        <w:spacing w:after="0" w:line="240" w:lineRule="auto"/>
        <w:rPr>
          <w:rFonts w:ascii="Arial" w:hAnsi="Arial" w:cs="Arial"/>
          <w:color w:val="0D0D0D"/>
          <w:sz w:val="24"/>
          <w:szCs w:val="24"/>
        </w:rPr>
      </w:pPr>
    </w:p>
    <w:p w:rsidR="00DF2C34" w:rsidRPr="007A3E75" w:rsidRDefault="00DF2C34" w:rsidP="00DF2C34">
      <w:pPr>
        <w:spacing w:after="240" w:line="240" w:lineRule="auto"/>
        <w:rPr>
          <w:rFonts w:ascii="Arial" w:eastAsia="Times New Roman" w:hAnsi="Arial" w:cs="Arial"/>
          <w:color w:val="000000"/>
          <w:sz w:val="24"/>
          <w:szCs w:val="24"/>
        </w:rPr>
      </w:pPr>
      <w:r w:rsidRPr="00DF2C34">
        <w:rPr>
          <w:rFonts w:ascii="Arial" w:eastAsia="Times New Roman" w:hAnsi="Arial" w:cs="Arial"/>
          <w:color w:val="000000"/>
          <w:sz w:val="24"/>
          <w:szCs w:val="24"/>
        </w:rPr>
        <w:t>The Depa</w:t>
      </w:r>
      <w:r w:rsidR="00A15E70">
        <w:rPr>
          <w:rFonts w:ascii="Arial" w:eastAsia="Times New Roman" w:hAnsi="Arial" w:cs="Arial"/>
          <w:color w:val="000000"/>
          <w:sz w:val="24"/>
          <w:szCs w:val="24"/>
        </w:rPr>
        <w:t xml:space="preserve">rtment of Veterans Affairs </w:t>
      </w:r>
      <w:r w:rsidRPr="00DF2C34">
        <w:rPr>
          <w:rFonts w:ascii="Arial" w:eastAsia="Times New Roman" w:hAnsi="Arial" w:cs="Arial"/>
          <w:color w:val="000000"/>
          <w:sz w:val="24"/>
          <w:szCs w:val="24"/>
        </w:rPr>
        <w:t xml:space="preserve">is committed to ensuring equal employment opportunity (EEO), promoting diversity and inclusion, and constructively resolving workplace conflict in order to maintain a high performing workforce in service to our Nation’s Veterans. To that end, the Department will vigorously enforce all applicable Federal EEO laws, regulations, executive orders, and management directives to ensure equal opportunity in the workplace for all VA employees. VA is strongly committed to reminding managers and supervisors of their obligations to maintain an environment free from discrimination, reprisal and retaliation actions. </w:t>
      </w:r>
    </w:p>
    <w:p w:rsidR="00DF2C34" w:rsidRDefault="00DF2C34" w:rsidP="00DF2C34">
      <w:pPr>
        <w:spacing w:after="0" w:line="240" w:lineRule="auto"/>
        <w:rPr>
          <w:rFonts w:ascii="Arial" w:hAnsi="Arial" w:cs="Arial"/>
          <w:sz w:val="24"/>
          <w:szCs w:val="24"/>
        </w:rPr>
      </w:pPr>
      <w:r w:rsidRPr="00DF2C34">
        <w:rPr>
          <w:rFonts w:ascii="Arial" w:eastAsia="Times New Roman" w:hAnsi="Arial" w:cs="Arial"/>
          <w:color w:val="000000"/>
          <w:sz w:val="24"/>
          <w:szCs w:val="24"/>
        </w:rPr>
        <w:t xml:space="preserve">VA will not tolerate discrimination or harassment on the basis of race, color, religion, national origin, sex, pregnancy, gender identity, parental status, marital status, sexual </w:t>
      </w:r>
      <w:r w:rsidRPr="00DF2C34">
        <w:rPr>
          <w:rFonts w:ascii="Arial" w:eastAsia="Times New Roman" w:hAnsi="Arial" w:cs="Arial"/>
          <w:color w:val="000000"/>
          <w:sz w:val="24"/>
          <w:szCs w:val="24"/>
        </w:rPr>
        <w:lastRenderedPageBreak/>
        <w:t xml:space="preserve">orientation, age, disability, genetic information, political affiliation, or retaliation for opposing discriminatory practices or participating in the discrimination complaint process.  </w:t>
      </w:r>
      <w:r w:rsidRPr="007A3E75">
        <w:rPr>
          <w:rFonts w:ascii="Arial" w:hAnsi="Arial" w:cs="Arial"/>
          <w:sz w:val="24"/>
          <w:szCs w:val="24"/>
        </w:rPr>
        <w:t>This equal opportunity policy applies to and is an integral part of every aspect of personnel policies and practices as they relate to the employment, development, advancement, and treatment of VA employees.</w:t>
      </w:r>
    </w:p>
    <w:p w:rsidR="007A3E75" w:rsidRDefault="007A3E75" w:rsidP="009D2937">
      <w:pPr>
        <w:spacing w:after="0" w:line="240" w:lineRule="auto"/>
        <w:rPr>
          <w:rFonts w:ascii="Arial" w:hAnsi="Arial" w:cs="Arial"/>
          <w:sz w:val="24"/>
          <w:szCs w:val="24"/>
        </w:rPr>
      </w:pPr>
    </w:p>
    <w:p w:rsidR="00150156" w:rsidRDefault="007E19B2" w:rsidP="009D2937">
      <w:pPr>
        <w:spacing w:after="0" w:line="240" w:lineRule="auto"/>
        <w:rPr>
          <w:rFonts w:ascii="Arial" w:hAnsi="Arial" w:cs="Arial"/>
          <w:sz w:val="24"/>
          <w:szCs w:val="24"/>
        </w:rPr>
      </w:pPr>
      <w:r w:rsidRPr="00E37BFB">
        <w:rPr>
          <w:rFonts w:ascii="Arial" w:hAnsi="Arial" w:cs="Arial"/>
          <w:sz w:val="24"/>
          <w:szCs w:val="24"/>
        </w:rPr>
        <w:t>The Department continually conducts barrier analysis to identify any systemic barriers to EEO for all gr</w:t>
      </w:r>
      <w:r w:rsidR="009D2937" w:rsidRPr="00E37BFB">
        <w:rPr>
          <w:rFonts w:ascii="Arial" w:hAnsi="Arial" w:cs="Arial"/>
          <w:sz w:val="24"/>
          <w:szCs w:val="24"/>
        </w:rPr>
        <w:t>oups, including AAPI employees.</w:t>
      </w:r>
      <w:r w:rsidR="00565C27" w:rsidRPr="00E37BFB">
        <w:rPr>
          <w:rFonts w:ascii="Arial" w:hAnsi="Arial" w:cs="Arial"/>
          <w:sz w:val="24"/>
          <w:szCs w:val="24"/>
        </w:rPr>
        <w:t xml:space="preserve"> During FY 2013, we will continue to provide targeted recruitment </w:t>
      </w:r>
      <w:r w:rsidR="008170C7" w:rsidRPr="00E37BFB">
        <w:rPr>
          <w:rFonts w:ascii="Arial" w:hAnsi="Arial" w:cs="Arial"/>
          <w:sz w:val="24"/>
          <w:szCs w:val="24"/>
        </w:rPr>
        <w:t xml:space="preserve">outreach </w:t>
      </w:r>
      <w:r w:rsidR="00565C27" w:rsidRPr="00E37BFB">
        <w:rPr>
          <w:rFonts w:ascii="Arial" w:hAnsi="Arial" w:cs="Arial"/>
          <w:sz w:val="24"/>
          <w:szCs w:val="24"/>
        </w:rPr>
        <w:t>and retention efforts for groups with less than expected participation rate</w:t>
      </w:r>
      <w:r w:rsidR="008170C7">
        <w:rPr>
          <w:rFonts w:ascii="Arial" w:hAnsi="Arial" w:cs="Arial"/>
          <w:sz w:val="24"/>
          <w:szCs w:val="24"/>
        </w:rPr>
        <w:t>s</w:t>
      </w:r>
      <w:r w:rsidR="00565C27" w:rsidRPr="00E37BFB">
        <w:rPr>
          <w:rFonts w:ascii="Arial" w:hAnsi="Arial" w:cs="Arial"/>
          <w:sz w:val="24"/>
          <w:szCs w:val="24"/>
        </w:rPr>
        <w:t>, to</w:t>
      </w:r>
      <w:r w:rsidR="008170C7">
        <w:rPr>
          <w:rFonts w:ascii="Arial" w:hAnsi="Arial" w:cs="Arial"/>
          <w:sz w:val="24"/>
          <w:szCs w:val="24"/>
        </w:rPr>
        <w:t xml:space="preserve"> include AAPIs</w:t>
      </w:r>
      <w:r w:rsidR="001D37DE">
        <w:rPr>
          <w:rFonts w:ascii="Arial" w:hAnsi="Arial" w:cs="Arial"/>
          <w:sz w:val="24"/>
          <w:szCs w:val="24"/>
        </w:rPr>
        <w:t>.  To address low AAPI SES participation rates</w:t>
      </w:r>
      <w:r w:rsidR="008170C7">
        <w:rPr>
          <w:rFonts w:ascii="Arial" w:hAnsi="Arial" w:cs="Arial"/>
          <w:sz w:val="24"/>
          <w:szCs w:val="24"/>
        </w:rPr>
        <w:t>,</w:t>
      </w:r>
      <w:r w:rsidR="001D37DE">
        <w:rPr>
          <w:rFonts w:ascii="Arial" w:hAnsi="Arial" w:cs="Arial"/>
          <w:sz w:val="24"/>
          <w:szCs w:val="24"/>
        </w:rPr>
        <w:t xml:space="preserve"> VA will continue recruitment outreach efforts to improve representation of AAPIs in our SES/equivalent ranks. </w:t>
      </w:r>
      <w:r w:rsidR="00565C27">
        <w:rPr>
          <w:rFonts w:ascii="Arial" w:hAnsi="Arial" w:cs="Arial"/>
          <w:sz w:val="24"/>
          <w:szCs w:val="24"/>
        </w:rPr>
        <w:t xml:space="preserve"> </w:t>
      </w:r>
    </w:p>
    <w:p w:rsidR="002D1226" w:rsidRDefault="0013021B" w:rsidP="0013021B">
      <w:pPr>
        <w:tabs>
          <w:tab w:val="left" w:pos="3794"/>
        </w:tabs>
        <w:spacing w:after="0" w:line="240" w:lineRule="auto"/>
        <w:rPr>
          <w:rFonts w:ascii="Arial" w:hAnsi="Arial" w:cs="Arial"/>
          <w:sz w:val="24"/>
          <w:szCs w:val="24"/>
        </w:rPr>
      </w:pPr>
      <w:r>
        <w:rPr>
          <w:rFonts w:ascii="Arial" w:hAnsi="Arial" w:cs="Arial"/>
          <w:sz w:val="24"/>
          <w:szCs w:val="24"/>
        </w:rPr>
        <w:tab/>
      </w:r>
    </w:p>
    <w:p w:rsidR="002D1226" w:rsidRPr="00F2203F" w:rsidRDefault="002D1226" w:rsidP="002D1226">
      <w:pPr>
        <w:spacing w:after="0" w:line="240" w:lineRule="auto"/>
        <w:rPr>
          <w:rFonts w:ascii="Arial" w:hAnsi="Arial" w:cs="Arial"/>
          <w:sz w:val="24"/>
          <w:szCs w:val="24"/>
        </w:rPr>
      </w:pPr>
      <w:r>
        <w:rPr>
          <w:rFonts w:ascii="Arial" w:hAnsi="Arial" w:cs="Arial"/>
          <w:color w:val="0D0D0D"/>
          <w:sz w:val="24"/>
          <w:szCs w:val="24"/>
        </w:rPr>
        <w:t>The Office of Resolution Management (ORM) gathers and analyzes EEO complaint data by R</w:t>
      </w:r>
      <w:r w:rsidR="008170C7">
        <w:rPr>
          <w:rFonts w:ascii="Arial" w:hAnsi="Arial" w:cs="Arial"/>
          <w:color w:val="0D0D0D"/>
          <w:sz w:val="24"/>
          <w:szCs w:val="24"/>
        </w:rPr>
        <w:t>ace, Ethnicity, and Gender (R</w:t>
      </w:r>
      <w:r>
        <w:rPr>
          <w:rFonts w:ascii="Arial" w:hAnsi="Arial" w:cs="Arial"/>
          <w:color w:val="0D0D0D"/>
          <w:sz w:val="24"/>
          <w:szCs w:val="24"/>
        </w:rPr>
        <w:t>EG</w:t>
      </w:r>
      <w:r w:rsidR="008170C7">
        <w:rPr>
          <w:rFonts w:ascii="Arial" w:hAnsi="Arial" w:cs="Arial"/>
          <w:color w:val="0D0D0D"/>
          <w:sz w:val="24"/>
          <w:szCs w:val="24"/>
        </w:rPr>
        <w:t>)</w:t>
      </w:r>
      <w:r>
        <w:rPr>
          <w:rFonts w:ascii="Arial" w:hAnsi="Arial" w:cs="Arial"/>
          <w:color w:val="0D0D0D"/>
          <w:sz w:val="24"/>
          <w:szCs w:val="24"/>
        </w:rPr>
        <w:t xml:space="preserve">, including AAPI and other protected </w:t>
      </w:r>
      <w:r w:rsidR="008170C7">
        <w:rPr>
          <w:rFonts w:ascii="Arial" w:hAnsi="Arial" w:cs="Arial"/>
          <w:color w:val="0D0D0D"/>
          <w:sz w:val="24"/>
          <w:szCs w:val="24"/>
        </w:rPr>
        <w:t>groups</w:t>
      </w:r>
      <w:r w:rsidR="001D37DE">
        <w:rPr>
          <w:rFonts w:ascii="Arial" w:hAnsi="Arial" w:cs="Arial"/>
          <w:color w:val="0D0D0D"/>
          <w:sz w:val="24"/>
          <w:szCs w:val="24"/>
        </w:rPr>
        <w:t>, to</w:t>
      </w:r>
      <w:r>
        <w:rPr>
          <w:rFonts w:ascii="Arial" w:hAnsi="Arial" w:cs="Arial"/>
          <w:color w:val="0D0D0D"/>
          <w:sz w:val="24"/>
          <w:szCs w:val="24"/>
        </w:rPr>
        <w:t xml:space="preserve"> ensure </w:t>
      </w:r>
      <w:r w:rsidR="00B3607B">
        <w:rPr>
          <w:rFonts w:ascii="Arial" w:hAnsi="Arial" w:cs="Arial"/>
          <w:color w:val="0D0D0D"/>
          <w:sz w:val="24"/>
          <w:szCs w:val="24"/>
        </w:rPr>
        <w:t>VA identifies</w:t>
      </w:r>
      <w:r w:rsidR="008170C7">
        <w:rPr>
          <w:rFonts w:ascii="Arial" w:hAnsi="Arial" w:cs="Arial"/>
          <w:color w:val="0D0D0D"/>
          <w:sz w:val="24"/>
          <w:szCs w:val="24"/>
        </w:rPr>
        <w:t xml:space="preserve"> and takes corrective actions to </w:t>
      </w:r>
      <w:r>
        <w:rPr>
          <w:rFonts w:ascii="Arial" w:hAnsi="Arial" w:cs="Arial"/>
          <w:color w:val="0D0D0D"/>
          <w:sz w:val="24"/>
          <w:szCs w:val="24"/>
        </w:rPr>
        <w:t xml:space="preserve">address any perceived </w:t>
      </w:r>
      <w:r w:rsidR="008170C7">
        <w:rPr>
          <w:rFonts w:ascii="Arial" w:hAnsi="Arial" w:cs="Arial"/>
          <w:color w:val="0D0D0D"/>
          <w:sz w:val="24"/>
          <w:szCs w:val="24"/>
        </w:rPr>
        <w:t xml:space="preserve">or real </w:t>
      </w:r>
      <w:r>
        <w:rPr>
          <w:rFonts w:ascii="Arial" w:hAnsi="Arial" w:cs="Arial"/>
          <w:color w:val="0D0D0D"/>
          <w:sz w:val="24"/>
          <w:szCs w:val="24"/>
        </w:rPr>
        <w:t xml:space="preserve">inequities within the Department.  In addition, when discrimination is found, corrective actions are implemented </w:t>
      </w:r>
      <w:r w:rsidR="00C46243">
        <w:rPr>
          <w:rFonts w:ascii="Arial" w:hAnsi="Arial" w:cs="Arial"/>
          <w:color w:val="0D0D0D"/>
          <w:sz w:val="24"/>
          <w:szCs w:val="24"/>
        </w:rPr>
        <w:t>to discipline those found to have discrimina</w:t>
      </w:r>
      <w:r w:rsidR="008170C7">
        <w:rPr>
          <w:rFonts w:ascii="Arial" w:hAnsi="Arial" w:cs="Arial"/>
          <w:color w:val="0D0D0D"/>
          <w:sz w:val="24"/>
          <w:szCs w:val="24"/>
        </w:rPr>
        <w:t>ted, which serves as a prevent</w:t>
      </w:r>
      <w:r w:rsidR="00C46243">
        <w:rPr>
          <w:rFonts w:ascii="Arial" w:hAnsi="Arial" w:cs="Arial"/>
          <w:color w:val="0D0D0D"/>
          <w:sz w:val="24"/>
          <w:szCs w:val="24"/>
        </w:rPr>
        <w:t xml:space="preserve">ive measure for any future actions.  </w:t>
      </w:r>
    </w:p>
    <w:p w:rsidR="00C51C27" w:rsidRDefault="00C51C27" w:rsidP="00687A3B">
      <w:pPr>
        <w:spacing w:after="0" w:line="240" w:lineRule="auto"/>
        <w:rPr>
          <w:rFonts w:ascii="Arial" w:hAnsi="Arial" w:cs="Arial"/>
          <w:b/>
          <w:i/>
          <w:color w:val="0D0D0D"/>
          <w:sz w:val="24"/>
          <w:szCs w:val="24"/>
        </w:rPr>
      </w:pPr>
    </w:p>
    <w:p w:rsidR="00D432FB" w:rsidRDefault="00D432FB" w:rsidP="00D432FB">
      <w:pPr>
        <w:spacing w:after="0" w:line="240" w:lineRule="auto"/>
        <w:ind w:left="1440" w:hanging="1440"/>
        <w:rPr>
          <w:rFonts w:ascii="Arial" w:hAnsi="Arial" w:cs="Arial"/>
          <w:b/>
          <w:i/>
          <w:color w:val="0D0D0D"/>
          <w:sz w:val="24"/>
          <w:szCs w:val="24"/>
        </w:rPr>
      </w:pPr>
      <w:r w:rsidRPr="00D838D4">
        <w:rPr>
          <w:rFonts w:ascii="Arial" w:hAnsi="Arial" w:cs="Arial"/>
          <w:b/>
          <w:i/>
          <w:color w:val="0D0D0D"/>
          <w:sz w:val="24"/>
          <w:szCs w:val="24"/>
        </w:rPr>
        <w:t xml:space="preserve">Goal </w:t>
      </w:r>
      <w:r w:rsidRPr="00D838D4">
        <w:rPr>
          <w:rFonts w:ascii="Arial" w:hAnsi="Arial" w:cs="Arial"/>
          <w:b/>
          <w:i/>
          <w:color w:val="0D0D0D"/>
          <w:sz w:val="24"/>
          <w:szCs w:val="24"/>
        </w:rPr>
        <w:tab/>
        <w:t>Improve the data col</w:t>
      </w:r>
      <w:r>
        <w:rPr>
          <w:rFonts w:ascii="Arial" w:hAnsi="Arial" w:cs="Arial"/>
          <w:b/>
          <w:i/>
          <w:color w:val="0D0D0D"/>
          <w:sz w:val="24"/>
          <w:szCs w:val="24"/>
        </w:rPr>
        <w:t>lected on AAPIs in each program -- Data Disaggregation.</w:t>
      </w:r>
    </w:p>
    <w:p w:rsidR="00D64E48" w:rsidRDefault="00D64E48" w:rsidP="00D432FB">
      <w:pPr>
        <w:spacing w:after="0" w:line="240" w:lineRule="auto"/>
        <w:ind w:left="1440" w:hanging="1440"/>
        <w:rPr>
          <w:rFonts w:ascii="Arial" w:hAnsi="Arial" w:cs="Arial"/>
          <w:b/>
          <w:i/>
          <w:color w:val="0D0D0D"/>
          <w:sz w:val="24"/>
          <w:szCs w:val="24"/>
        </w:rPr>
      </w:pPr>
    </w:p>
    <w:p w:rsidR="003A5BD1" w:rsidRDefault="003A5BD1" w:rsidP="003A5BD1">
      <w:pPr>
        <w:spacing w:after="0" w:line="240" w:lineRule="auto"/>
        <w:rPr>
          <w:rFonts w:ascii="Arial" w:hAnsi="Arial" w:cs="Arial"/>
          <w:color w:val="0D0D0D"/>
          <w:sz w:val="24"/>
          <w:szCs w:val="24"/>
        </w:rPr>
      </w:pPr>
      <w:r>
        <w:rPr>
          <w:rFonts w:ascii="Arial" w:hAnsi="Arial" w:cs="Arial"/>
          <w:color w:val="0D0D0D"/>
          <w:sz w:val="24"/>
          <w:szCs w:val="24"/>
        </w:rPr>
        <w:t xml:space="preserve">VA currently collects REG data on its employees, compliant with Office of Budget Management (OMB) Directive 15.  This information is available via the VHA Support Service Center (VSSC) database to all VA components.  This information is used in determining workforce representation based on </w:t>
      </w:r>
      <w:r w:rsidR="008170C7">
        <w:rPr>
          <w:rFonts w:ascii="Arial" w:hAnsi="Arial" w:cs="Arial"/>
          <w:color w:val="0D0D0D"/>
          <w:sz w:val="24"/>
          <w:szCs w:val="24"/>
        </w:rPr>
        <w:t>REG.</w:t>
      </w:r>
      <w:r>
        <w:rPr>
          <w:rFonts w:ascii="Arial" w:hAnsi="Arial" w:cs="Arial"/>
          <w:color w:val="0D0D0D"/>
          <w:sz w:val="24"/>
          <w:szCs w:val="24"/>
        </w:rPr>
        <w:t xml:space="preserve">  </w:t>
      </w:r>
    </w:p>
    <w:p w:rsidR="003A5BD1" w:rsidRDefault="003A5BD1" w:rsidP="00D432FB">
      <w:pPr>
        <w:spacing w:after="0" w:line="240" w:lineRule="auto"/>
        <w:ind w:left="1440" w:hanging="1440"/>
        <w:rPr>
          <w:rFonts w:ascii="Arial" w:hAnsi="Arial" w:cs="Arial"/>
          <w:b/>
          <w:i/>
          <w:color w:val="0D0D0D"/>
          <w:sz w:val="24"/>
          <w:szCs w:val="24"/>
        </w:rPr>
      </w:pPr>
    </w:p>
    <w:p w:rsidR="00DB6259" w:rsidRDefault="00C46243">
      <w:pPr>
        <w:spacing w:after="0" w:line="240" w:lineRule="auto"/>
        <w:rPr>
          <w:rFonts w:ascii="Arial" w:hAnsi="Arial" w:cs="Arial"/>
          <w:color w:val="0D0D0D"/>
          <w:sz w:val="24"/>
          <w:szCs w:val="24"/>
        </w:rPr>
      </w:pPr>
      <w:r>
        <w:rPr>
          <w:rFonts w:ascii="Arial" w:hAnsi="Arial" w:cs="Arial"/>
          <w:color w:val="0D0D0D"/>
          <w:sz w:val="24"/>
          <w:szCs w:val="24"/>
        </w:rPr>
        <w:t>VA, in coordination with OPM, is in the process of implementing an applicant tracking system which wil</w:t>
      </w:r>
      <w:r w:rsidR="008170C7">
        <w:rPr>
          <w:rFonts w:ascii="Arial" w:hAnsi="Arial" w:cs="Arial"/>
          <w:color w:val="0D0D0D"/>
          <w:sz w:val="24"/>
          <w:szCs w:val="24"/>
        </w:rPr>
        <w:t xml:space="preserve">l allow VA to </w:t>
      </w:r>
      <w:r w:rsidR="00B3607B">
        <w:rPr>
          <w:rFonts w:ascii="Arial" w:hAnsi="Arial" w:cs="Arial"/>
          <w:color w:val="0D0D0D"/>
          <w:sz w:val="24"/>
          <w:szCs w:val="24"/>
        </w:rPr>
        <w:t>assess</w:t>
      </w:r>
      <w:r w:rsidR="008170C7">
        <w:rPr>
          <w:rFonts w:ascii="Arial" w:hAnsi="Arial" w:cs="Arial"/>
          <w:color w:val="0D0D0D"/>
          <w:sz w:val="24"/>
          <w:szCs w:val="24"/>
        </w:rPr>
        <w:t xml:space="preserve"> AAPI</w:t>
      </w:r>
      <w:r w:rsidR="00B3607B">
        <w:rPr>
          <w:rFonts w:ascii="Arial" w:hAnsi="Arial" w:cs="Arial"/>
          <w:color w:val="0D0D0D"/>
          <w:sz w:val="24"/>
          <w:szCs w:val="24"/>
        </w:rPr>
        <w:t>s application trends.</w:t>
      </w:r>
      <w:r>
        <w:rPr>
          <w:rFonts w:ascii="Arial" w:hAnsi="Arial" w:cs="Arial"/>
          <w:color w:val="0D0D0D"/>
          <w:sz w:val="24"/>
          <w:szCs w:val="24"/>
        </w:rPr>
        <w:t xml:space="preserve">  This will provide VA with the capability to conduct further trigger and barrier analysis on </w:t>
      </w:r>
      <w:r w:rsidR="008170C7">
        <w:rPr>
          <w:rFonts w:ascii="Arial" w:hAnsi="Arial" w:cs="Arial"/>
          <w:color w:val="0D0D0D"/>
          <w:sz w:val="24"/>
          <w:szCs w:val="24"/>
        </w:rPr>
        <w:t>our recruitment efforts.</w:t>
      </w:r>
      <w:r>
        <w:rPr>
          <w:rFonts w:ascii="Arial" w:hAnsi="Arial" w:cs="Arial"/>
          <w:color w:val="0D0D0D"/>
          <w:sz w:val="24"/>
          <w:szCs w:val="24"/>
        </w:rPr>
        <w:t xml:space="preserve"> </w:t>
      </w:r>
    </w:p>
    <w:p w:rsidR="00A15B08" w:rsidRPr="00606E6F" w:rsidRDefault="00A15B08" w:rsidP="00961439">
      <w:pPr>
        <w:pStyle w:val="ListParagraph"/>
        <w:spacing w:after="0" w:line="240" w:lineRule="auto"/>
        <w:ind w:left="0"/>
        <w:rPr>
          <w:rFonts w:ascii="Arial" w:hAnsi="Arial" w:cs="Arial"/>
          <w:sz w:val="24"/>
          <w:szCs w:val="24"/>
        </w:rPr>
      </w:pPr>
    </w:p>
    <w:p w:rsidR="002D550E" w:rsidRPr="00606E6F" w:rsidRDefault="00B3607B" w:rsidP="00602551">
      <w:pPr>
        <w:pStyle w:val="ListParagraph"/>
        <w:spacing w:after="0" w:line="240" w:lineRule="auto"/>
        <w:ind w:left="0"/>
        <w:rPr>
          <w:rFonts w:ascii="Arial" w:hAnsi="Arial" w:cs="Arial"/>
          <w:sz w:val="24"/>
          <w:szCs w:val="24"/>
        </w:rPr>
      </w:pPr>
      <w:r w:rsidRPr="00606E6F">
        <w:rPr>
          <w:rFonts w:ascii="Arial" w:hAnsi="Arial" w:cs="Arial"/>
          <w:sz w:val="24"/>
          <w:szCs w:val="24"/>
        </w:rPr>
        <w:t xml:space="preserve">VHA collects Race, Ethnicity, and Gender (REG) data for the Veterans it serves.  Veterans are asked REG information when they apply for health care on the Veteran’s Application for Health Benefits, VA FORM 10-10EZ, at point of service, and/or check-in at stations with kiosks.  There are approximately 300, 000 AAPI Veterans of the total population of 22 million Veterans.  Approximately 87,446 Veterans who enrolled for health benefits reported they are AAPI. </w:t>
      </w:r>
    </w:p>
    <w:p w:rsidR="00924B06" w:rsidRDefault="00924B06">
      <w:pPr>
        <w:spacing w:after="0" w:line="240" w:lineRule="auto"/>
        <w:rPr>
          <w:rFonts w:ascii="Arial" w:hAnsi="Arial" w:cs="Arial"/>
          <w:sz w:val="24"/>
          <w:szCs w:val="24"/>
        </w:rPr>
      </w:pPr>
      <w:r>
        <w:rPr>
          <w:rFonts w:ascii="Arial" w:hAnsi="Arial" w:cs="Arial"/>
          <w:sz w:val="24"/>
          <w:szCs w:val="24"/>
        </w:rPr>
        <w:br w:type="page"/>
      </w:r>
    </w:p>
    <w:p w:rsidR="00D432FB" w:rsidRPr="00C76A98" w:rsidRDefault="00C51C27" w:rsidP="00C76A98">
      <w:pPr>
        <w:spacing w:after="0"/>
        <w:rPr>
          <w:rFonts w:ascii="Arial" w:hAnsi="Arial" w:cs="Arial"/>
          <w:b/>
          <w:sz w:val="24"/>
          <w:szCs w:val="24"/>
        </w:rPr>
      </w:pPr>
      <w:r w:rsidRPr="00A15B08">
        <w:rPr>
          <w:rFonts w:ascii="Arial" w:hAnsi="Arial" w:cs="Arial"/>
          <w:sz w:val="24"/>
          <w:szCs w:val="24"/>
        </w:rPr>
        <w:lastRenderedPageBreak/>
        <w:t xml:space="preserve"> </w:t>
      </w:r>
      <w:r w:rsidR="00D432FB" w:rsidRPr="00D838D4">
        <w:rPr>
          <w:rFonts w:ascii="Arial" w:eastAsia="Times New Roman" w:hAnsi="Arial" w:cs="Arial"/>
          <w:b/>
          <w:bCs/>
          <w:smallCaps/>
          <w:color w:val="0D0D0D"/>
          <w:sz w:val="24"/>
          <w:szCs w:val="24"/>
          <w:highlight w:val="lightGray"/>
        </w:rPr>
        <w:t>Agency-Specific Goals for the Asian American and Pacific Islander Community</w:t>
      </w:r>
    </w:p>
    <w:p w:rsidR="00D432FB" w:rsidRPr="00D838D4" w:rsidRDefault="00D432FB" w:rsidP="00D432FB">
      <w:pPr>
        <w:spacing w:after="0" w:line="240" w:lineRule="auto"/>
        <w:ind w:left="720" w:hanging="720"/>
        <w:jc w:val="both"/>
        <w:rPr>
          <w:rFonts w:ascii="Arial" w:hAnsi="Arial" w:cs="Arial"/>
          <w:b/>
          <w:i/>
          <w:color w:val="0D0D0D"/>
          <w:sz w:val="24"/>
          <w:szCs w:val="24"/>
        </w:rPr>
      </w:pPr>
    </w:p>
    <w:p w:rsidR="00D432FB" w:rsidRPr="00D838D4" w:rsidRDefault="00D432FB" w:rsidP="00D432FB">
      <w:pPr>
        <w:spacing w:after="0" w:line="240" w:lineRule="auto"/>
        <w:ind w:left="1440" w:hanging="1440"/>
        <w:rPr>
          <w:rFonts w:ascii="Arial" w:hAnsi="Arial" w:cs="Arial"/>
          <w:b/>
          <w:i/>
          <w:color w:val="0D0D0D"/>
          <w:sz w:val="24"/>
          <w:szCs w:val="24"/>
        </w:rPr>
      </w:pPr>
      <w:r w:rsidRPr="00D838D4">
        <w:rPr>
          <w:rFonts w:ascii="Arial" w:hAnsi="Arial" w:cs="Arial"/>
          <w:b/>
          <w:i/>
          <w:color w:val="0D0D0D"/>
          <w:sz w:val="24"/>
          <w:szCs w:val="24"/>
        </w:rPr>
        <w:t xml:space="preserve">Goal </w:t>
      </w:r>
      <w:r w:rsidRPr="00D838D4">
        <w:rPr>
          <w:rFonts w:ascii="Arial" w:hAnsi="Arial" w:cs="Arial"/>
          <w:b/>
          <w:i/>
          <w:color w:val="0D0D0D"/>
          <w:sz w:val="24"/>
          <w:szCs w:val="24"/>
        </w:rPr>
        <w:tab/>
        <w:t xml:space="preserve">Increase awareness and access to health services for AAPI </w:t>
      </w:r>
      <w:r>
        <w:rPr>
          <w:rFonts w:ascii="Arial" w:hAnsi="Arial" w:cs="Arial"/>
          <w:b/>
          <w:i/>
          <w:color w:val="0D0D0D"/>
          <w:sz w:val="24"/>
          <w:szCs w:val="24"/>
        </w:rPr>
        <w:t>Veteran</w:t>
      </w:r>
      <w:r w:rsidRPr="00D838D4">
        <w:rPr>
          <w:rFonts w:ascii="Arial" w:hAnsi="Arial" w:cs="Arial"/>
          <w:b/>
          <w:i/>
          <w:color w:val="0D0D0D"/>
          <w:sz w:val="24"/>
          <w:szCs w:val="24"/>
        </w:rPr>
        <w:t>s in rural areas.</w:t>
      </w:r>
    </w:p>
    <w:p w:rsidR="00602551" w:rsidRDefault="00602551" w:rsidP="00D432FB">
      <w:pPr>
        <w:spacing w:after="0" w:line="240" w:lineRule="auto"/>
        <w:rPr>
          <w:rFonts w:ascii="Arial" w:hAnsi="Arial" w:cs="Arial"/>
          <w:color w:val="0D0D0D"/>
          <w:sz w:val="24"/>
          <w:szCs w:val="24"/>
        </w:rPr>
      </w:pPr>
    </w:p>
    <w:p w:rsidR="00012895" w:rsidRPr="00602551" w:rsidRDefault="00C46243" w:rsidP="00602551">
      <w:pPr>
        <w:spacing w:after="0" w:line="240" w:lineRule="auto"/>
        <w:rPr>
          <w:rFonts w:ascii="Arial" w:hAnsi="Arial" w:cs="Arial"/>
          <w:sz w:val="24"/>
        </w:rPr>
      </w:pPr>
      <w:r>
        <w:rPr>
          <w:rFonts w:ascii="Arial" w:hAnsi="Arial" w:cs="Arial"/>
          <w:sz w:val="24"/>
          <w:szCs w:val="24"/>
        </w:rPr>
        <w:t>B</w:t>
      </w:r>
      <w:r w:rsidR="00012895" w:rsidRPr="00602551">
        <w:rPr>
          <w:rFonts w:ascii="Arial" w:hAnsi="Arial" w:cs="Arial"/>
          <w:sz w:val="24"/>
          <w:szCs w:val="24"/>
        </w:rPr>
        <w:t xml:space="preserve">etween Fiscal Year (FY) 2008 and FY2012, </w:t>
      </w:r>
      <w:r>
        <w:rPr>
          <w:rFonts w:ascii="Arial" w:hAnsi="Arial" w:cs="Arial"/>
          <w:sz w:val="24"/>
          <w:szCs w:val="24"/>
        </w:rPr>
        <w:t xml:space="preserve">VHA’s </w:t>
      </w:r>
      <w:r w:rsidR="00012895" w:rsidRPr="00602551">
        <w:rPr>
          <w:rFonts w:ascii="Arial" w:hAnsi="Arial" w:cs="Arial"/>
          <w:sz w:val="24"/>
          <w:szCs w:val="24"/>
        </w:rPr>
        <w:t xml:space="preserve">Office of Rural Health (ORH) provided the Pacific Islands in the Sierra Pacific Network (Veterans Integrated Service Network 21) $22,657,484 to support projects serving Veterans who reside in rural, highly rural, and remote areas of the Pacific.  In FY2013, ORH will </w:t>
      </w:r>
      <w:r w:rsidR="006E1090">
        <w:rPr>
          <w:rFonts w:ascii="Arial" w:hAnsi="Arial" w:cs="Arial"/>
          <w:sz w:val="24"/>
          <w:szCs w:val="24"/>
        </w:rPr>
        <w:t xml:space="preserve">provide an </w:t>
      </w:r>
      <w:r w:rsidR="00012895" w:rsidRPr="00602551">
        <w:rPr>
          <w:rFonts w:ascii="Arial" w:hAnsi="Arial" w:cs="Arial"/>
          <w:sz w:val="24"/>
          <w:szCs w:val="24"/>
        </w:rPr>
        <w:t>additional $7,398,388 for new rural health projects and sustainment efforts.  These projects are detailed below, and include travel support from neighboring and Western Insular islands</w:t>
      </w:r>
      <w:r w:rsidR="00B3607B">
        <w:rPr>
          <w:rFonts w:ascii="Arial" w:hAnsi="Arial" w:cs="Arial"/>
          <w:sz w:val="24"/>
          <w:szCs w:val="24"/>
        </w:rPr>
        <w:t xml:space="preserve">.  The projects are </w:t>
      </w:r>
      <w:r w:rsidR="00012895" w:rsidRPr="00602551">
        <w:rPr>
          <w:rFonts w:ascii="Arial" w:hAnsi="Arial" w:cs="Arial"/>
          <w:sz w:val="24"/>
          <w:szCs w:val="24"/>
        </w:rPr>
        <w:t>creat</w:t>
      </w:r>
      <w:r w:rsidR="00B3607B">
        <w:rPr>
          <w:rFonts w:ascii="Arial" w:hAnsi="Arial" w:cs="Arial"/>
          <w:sz w:val="24"/>
          <w:szCs w:val="24"/>
        </w:rPr>
        <w:t>ing</w:t>
      </w:r>
      <w:r w:rsidR="00012895" w:rsidRPr="00602551">
        <w:rPr>
          <w:rFonts w:ascii="Arial" w:hAnsi="Arial" w:cs="Arial"/>
          <w:sz w:val="24"/>
          <w:szCs w:val="24"/>
        </w:rPr>
        <w:t xml:space="preserve"> a rural health infrastructure; expanding access to primary and specialty care; expanding community based outpatient clinic (CBOC) services and Outreach clinics; </w:t>
      </w:r>
      <w:r w:rsidR="001B375F">
        <w:rPr>
          <w:rFonts w:ascii="Arial" w:hAnsi="Arial" w:cs="Arial"/>
          <w:sz w:val="24"/>
          <w:szCs w:val="24"/>
        </w:rPr>
        <w:t xml:space="preserve">providing </w:t>
      </w:r>
      <w:r w:rsidR="00012895" w:rsidRPr="00602551">
        <w:rPr>
          <w:rFonts w:ascii="Arial" w:hAnsi="Arial" w:cs="Arial"/>
          <w:sz w:val="24"/>
          <w:szCs w:val="24"/>
        </w:rPr>
        <w:t>telehealth modalities of video and home telehealth; expanding geriatrics and non-institutional care; increasing Veteran outreach; enhancing education; and promoting cultural sensitivity.</w:t>
      </w:r>
    </w:p>
    <w:p w:rsidR="00012895" w:rsidRPr="008B703C" w:rsidRDefault="00B3607B" w:rsidP="00012895">
      <w:pPr>
        <w:spacing w:after="0" w:line="240" w:lineRule="auto"/>
        <w:ind w:left="2160"/>
        <w:rPr>
          <w:rFonts w:cs="Calibri"/>
        </w:rPr>
      </w:pPr>
      <w:r>
        <w:rPr>
          <w:rFonts w:cs="Calibri"/>
        </w:rPr>
        <w:t>-</w:t>
      </w:r>
    </w:p>
    <w:tbl>
      <w:tblPr>
        <w:tblW w:w="8814" w:type="dxa"/>
        <w:tblCellMar>
          <w:left w:w="0" w:type="dxa"/>
          <w:right w:w="0" w:type="dxa"/>
        </w:tblCellMar>
        <w:tblLook w:val="04A0"/>
      </w:tblPr>
      <w:tblGrid>
        <w:gridCol w:w="7480"/>
        <w:gridCol w:w="1418"/>
        <w:gridCol w:w="16"/>
      </w:tblGrid>
      <w:tr w:rsidR="00012895" w:rsidTr="00012895">
        <w:trPr>
          <w:trHeight w:val="315"/>
        </w:trPr>
        <w:tc>
          <w:tcPr>
            <w:tcW w:w="7480" w:type="dxa"/>
            <w:tcBorders>
              <w:top w:val="single" w:sz="8" w:space="0" w:color="auto"/>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012895" w:rsidRPr="00CB3E32" w:rsidRDefault="00012895" w:rsidP="00012895">
            <w:pPr>
              <w:spacing w:after="0" w:line="240" w:lineRule="auto"/>
              <w:jc w:val="center"/>
              <w:rPr>
                <w:rFonts w:ascii="Arial" w:hAnsi="Arial" w:cs="Arial"/>
                <w:b/>
                <w:bCs/>
                <w:color w:val="000000"/>
                <w:sz w:val="24"/>
                <w:szCs w:val="24"/>
              </w:rPr>
            </w:pPr>
            <w:r w:rsidRPr="00CB3E32">
              <w:rPr>
                <w:rFonts w:ascii="Arial" w:hAnsi="Arial" w:cs="Arial"/>
                <w:b/>
                <w:bCs/>
                <w:color w:val="000000"/>
                <w:sz w:val="24"/>
                <w:szCs w:val="24"/>
              </w:rPr>
              <w:t>FY13 PROJECTS</w:t>
            </w:r>
          </w:p>
        </w:tc>
        <w:tc>
          <w:tcPr>
            <w:tcW w:w="1318" w:type="dxa"/>
            <w:tcBorders>
              <w:top w:val="single" w:sz="8" w:space="0" w:color="auto"/>
              <w:left w:val="nil"/>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012895" w:rsidRDefault="00012895" w:rsidP="00012895">
            <w:pPr>
              <w:spacing w:after="0" w:line="240" w:lineRule="auto"/>
              <w:jc w:val="center"/>
              <w:rPr>
                <w:rFonts w:cs="Calibri"/>
                <w:color w:val="000000"/>
              </w:rPr>
            </w:pPr>
            <w:r>
              <w:rPr>
                <w:rFonts w:cs="Calibri"/>
                <w:color w:val="000000"/>
              </w:rPr>
              <w:t>TOTAL</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Anticoagulation Clinical Pharmacist Services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$222,510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Treatment for Veterans and Family Members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$106,766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VAPIHCS Rural Health Coordinator</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$140,550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6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Extension of Kona CBOC PC and MH Services to North and South Areas of the Big Island</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$197,800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13"/>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Extension of Kauai CBOC Mental Health Services to North/West Kauai</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$207,187</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Expand Access of Geriatric Evaluation and Consultation to Veterans Residing on Rural Pacific Islands</w:t>
            </w:r>
          </w:p>
        </w:tc>
        <w:tc>
          <w:tcPr>
            <w:tcW w:w="13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$267,952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0" w:type="auto"/>
            <w:vMerge/>
            <w:tcBorders>
              <w:top w:val="nil"/>
              <w:left w:val="single" w:sz="8" w:space="0" w:color="auto"/>
              <w:bottom w:val="single" w:sz="8" w:space="0" w:color="auto"/>
              <w:right w:val="single" w:sz="8" w:space="0" w:color="auto"/>
            </w:tcBorders>
            <w:vAlign w:val="center"/>
            <w:hideMark/>
          </w:tcPr>
          <w:p w:rsidR="00012895" w:rsidRPr="00CB3E32" w:rsidRDefault="00012895" w:rsidP="00012895">
            <w:pPr>
              <w:spacing w:after="0" w:line="240" w:lineRule="auto"/>
              <w:rPr>
                <w:rFonts w:ascii="Arial" w:hAnsi="Arial" w:cs="Arial"/>
                <w:bCs/>
                <w:color w:val="000000"/>
                <w:sz w:val="24"/>
                <w:szCs w:val="24"/>
              </w:rPr>
            </w:pPr>
          </w:p>
        </w:tc>
        <w:tc>
          <w:tcPr>
            <w:tcW w:w="0" w:type="auto"/>
            <w:vMerge/>
            <w:tcBorders>
              <w:top w:val="nil"/>
              <w:left w:val="nil"/>
              <w:bottom w:val="single" w:sz="8" w:space="0" w:color="auto"/>
              <w:right w:val="single" w:sz="8" w:space="0" w:color="auto"/>
            </w:tcBorders>
            <w:vAlign w:val="center"/>
            <w:hideMark/>
          </w:tcPr>
          <w:p w:rsidR="00012895" w:rsidRPr="00CB3E32" w:rsidRDefault="00012895" w:rsidP="00012895">
            <w:pPr>
              <w:spacing w:after="0" w:line="240" w:lineRule="auto"/>
              <w:rPr>
                <w:rFonts w:ascii="Arial" w:hAnsi="Arial" w:cs="Arial"/>
                <w:bCs/>
                <w:color w:val="000000"/>
                <w:sz w:val="24"/>
                <w:szCs w:val="24"/>
              </w:rPr>
            </w:pP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Combined Call Center With Pacific Islands CBOCs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$292,384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6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Home-Based Tele-Mental Health (HBTMH) for Pacific Region Rural Veterans Requiring PTSD Follow-up</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$282,382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Transportation for Hawaiian Neighbor Island Veterans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$2,200,000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HBPC Expansion to Guam</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$601,453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Pacific Western Insular Area Veteran Travel</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$2,497,000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Enhancing Patient Health Education at Rural Sites</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$32,000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00"/>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rPr>
                <w:rFonts w:ascii="Arial" w:hAnsi="Arial" w:cs="Arial"/>
                <w:bCs/>
                <w:color w:val="000000"/>
                <w:sz w:val="24"/>
                <w:szCs w:val="24"/>
              </w:rPr>
            </w:pPr>
            <w:r w:rsidRPr="00CB3E32">
              <w:rPr>
                <w:rFonts w:ascii="Arial" w:hAnsi="Arial" w:cs="Arial"/>
                <w:bCs/>
                <w:color w:val="000000"/>
                <w:sz w:val="24"/>
                <w:szCs w:val="24"/>
              </w:rPr>
              <w:t>Spinal Cord Injury &amp; Disorders Rural Outreach Program</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Cs/>
                <w:color w:val="000000"/>
                <w:sz w:val="24"/>
                <w:szCs w:val="24"/>
              </w:rPr>
            </w:pPr>
            <w:r w:rsidRPr="00CB3E32">
              <w:rPr>
                <w:rFonts w:ascii="Arial" w:hAnsi="Arial" w:cs="Arial"/>
                <w:bCs/>
                <w:color w:val="000000"/>
                <w:sz w:val="24"/>
                <w:szCs w:val="24"/>
              </w:rPr>
              <w:t xml:space="preserve">$350,404 </w:t>
            </w:r>
          </w:p>
        </w:tc>
        <w:tc>
          <w:tcPr>
            <w:tcW w:w="16" w:type="dxa"/>
            <w:vAlign w:val="center"/>
            <w:hideMark/>
          </w:tcPr>
          <w:p w:rsidR="00012895" w:rsidRDefault="00012895" w:rsidP="00012895">
            <w:pPr>
              <w:spacing w:after="0" w:line="240" w:lineRule="auto"/>
              <w:rPr>
                <w:rFonts w:eastAsia="Times New Roman"/>
              </w:rPr>
            </w:pPr>
          </w:p>
        </w:tc>
      </w:tr>
      <w:tr w:rsidR="00012895" w:rsidTr="00012895">
        <w:trPr>
          <w:trHeight w:val="315"/>
        </w:trPr>
        <w:tc>
          <w:tcPr>
            <w:tcW w:w="7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
                <w:bCs/>
                <w:i/>
                <w:iCs/>
                <w:color w:val="000000"/>
                <w:sz w:val="24"/>
                <w:szCs w:val="24"/>
              </w:rPr>
            </w:pPr>
            <w:r w:rsidRPr="00CB3E32">
              <w:rPr>
                <w:rFonts w:ascii="Arial" w:hAnsi="Arial" w:cs="Arial"/>
                <w:b/>
                <w:bCs/>
                <w:i/>
                <w:iCs/>
                <w:color w:val="000000"/>
                <w:sz w:val="24"/>
                <w:szCs w:val="24"/>
              </w:rPr>
              <w:t xml:space="preserve">Fiscal Year 2013 ORH Funding (VAPIHCS)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012895" w:rsidRPr="00CB3E32" w:rsidRDefault="00012895" w:rsidP="00012895">
            <w:pPr>
              <w:spacing w:after="0" w:line="240" w:lineRule="auto"/>
              <w:jc w:val="right"/>
              <w:rPr>
                <w:rFonts w:ascii="Arial" w:hAnsi="Arial" w:cs="Arial"/>
                <w:b/>
                <w:bCs/>
                <w:color w:val="000000"/>
                <w:sz w:val="24"/>
                <w:szCs w:val="24"/>
              </w:rPr>
            </w:pPr>
            <w:r w:rsidRPr="00CB3E32">
              <w:rPr>
                <w:rFonts w:ascii="Arial" w:hAnsi="Arial" w:cs="Arial"/>
                <w:b/>
                <w:bCs/>
                <w:color w:val="000000"/>
                <w:sz w:val="24"/>
                <w:szCs w:val="24"/>
              </w:rPr>
              <w:t xml:space="preserve">$7,398,388 </w:t>
            </w:r>
          </w:p>
        </w:tc>
        <w:tc>
          <w:tcPr>
            <w:tcW w:w="16" w:type="dxa"/>
            <w:vAlign w:val="center"/>
            <w:hideMark/>
          </w:tcPr>
          <w:p w:rsidR="00012895" w:rsidRDefault="00012895" w:rsidP="00012895">
            <w:pPr>
              <w:spacing w:after="0" w:line="240" w:lineRule="auto"/>
              <w:rPr>
                <w:rFonts w:eastAsia="Times New Roman"/>
              </w:rPr>
            </w:pPr>
          </w:p>
        </w:tc>
      </w:tr>
    </w:tbl>
    <w:p w:rsidR="00602551" w:rsidRDefault="00602551" w:rsidP="00D432FB">
      <w:pPr>
        <w:spacing w:after="0" w:line="240" w:lineRule="auto"/>
        <w:rPr>
          <w:rFonts w:ascii="Arial" w:hAnsi="Arial" w:cs="Arial"/>
          <w:b/>
          <w:i/>
          <w:color w:val="0D0D0D"/>
          <w:sz w:val="24"/>
          <w:szCs w:val="24"/>
        </w:rPr>
      </w:pPr>
    </w:p>
    <w:p w:rsidR="00D432FB" w:rsidRDefault="00D432FB" w:rsidP="00D432FB">
      <w:pPr>
        <w:spacing w:after="0" w:line="240" w:lineRule="auto"/>
        <w:rPr>
          <w:rFonts w:ascii="Arial" w:hAnsi="Arial" w:cs="Arial"/>
          <w:b/>
          <w:i/>
          <w:color w:val="0D0D0D"/>
          <w:sz w:val="24"/>
          <w:szCs w:val="24"/>
        </w:rPr>
      </w:pPr>
      <w:r w:rsidRPr="00D838D4">
        <w:rPr>
          <w:rFonts w:ascii="Arial" w:hAnsi="Arial" w:cs="Arial"/>
          <w:b/>
          <w:i/>
          <w:color w:val="0D0D0D"/>
          <w:sz w:val="24"/>
          <w:szCs w:val="24"/>
        </w:rPr>
        <w:t>Goal</w:t>
      </w:r>
      <w:r w:rsidR="005844AF">
        <w:rPr>
          <w:rFonts w:ascii="Arial" w:hAnsi="Arial" w:cs="Arial"/>
          <w:b/>
          <w:i/>
          <w:color w:val="0D0D0D"/>
          <w:sz w:val="24"/>
          <w:szCs w:val="24"/>
        </w:rPr>
        <w:tab/>
      </w:r>
      <w:r w:rsidRPr="00D838D4">
        <w:rPr>
          <w:rFonts w:ascii="Arial" w:hAnsi="Arial" w:cs="Arial"/>
          <w:b/>
          <w:i/>
          <w:color w:val="0D0D0D"/>
          <w:sz w:val="24"/>
          <w:szCs w:val="24"/>
        </w:rPr>
        <w:tab/>
        <w:t>Institutionalize VA’s implementation of this initiative.</w:t>
      </w:r>
    </w:p>
    <w:p w:rsidR="005D0F47" w:rsidRDefault="005D0F47" w:rsidP="00D432FB">
      <w:pPr>
        <w:spacing w:after="0" w:line="240" w:lineRule="auto"/>
        <w:rPr>
          <w:rFonts w:ascii="Arial" w:hAnsi="Arial" w:cs="Arial"/>
          <w:b/>
          <w:i/>
          <w:color w:val="0D0D0D"/>
          <w:sz w:val="24"/>
          <w:szCs w:val="24"/>
        </w:rPr>
      </w:pPr>
    </w:p>
    <w:p w:rsidR="005D0F47" w:rsidRDefault="005D0F47" w:rsidP="005D0F47">
      <w:pPr>
        <w:spacing w:after="0" w:line="240" w:lineRule="auto"/>
        <w:rPr>
          <w:rFonts w:ascii="Arial" w:hAnsi="Arial" w:cs="Arial"/>
          <w:sz w:val="24"/>
          <w:szCs w:val="24"/>
        </w:rPr>
      </w:pPr>
      <w:r w:rsidRPr="005D0F47">
        <w:rPr>
          <w:rFonts w:ascii="Arial" w:hAnsi="Arial" w:cs="Arial"/>
          <w:bCs/>
          <w:sz w:val="24"/>
          <w:szCs w:val="24"/>
        </w:rPr>
        <w:t>In FY 2012,</w:t>
      </w:r>
      <w:r w:rsidR="00606E6F">
        <w:rPr>
          <w:rFonts w:ascii="Arial" w:hAnsi="Arial" w:cs="Arial"/>
          <w:bCs/>
          <w:sz w:val="24"/>
          <w:szCs w:val="24"/>
        </w:rPr>
        <w:t xml:space="preserve"> </w:t>
      </w:r>
      <w:r w:rsidRPr="005D0F47">
        <w:rPr>
          <w:rFonts w:ascii="Arial" w:hAnsi="Arial" w:cs="Arial"/>
          <w:sz w:val="24"/>
          <w:szCs w:val="24"/>
        </w:rPr>
        <w:t>ODI partnered with the Center for Minority Veterans</w:t>
      </w:r>
      <w:r w:rsidR="00C46243">
        <w:rPr>
          <w:rFonts w:ascii="Arial" w:hAnsi="Arial" w:cs="Arial"/>
          <w:sz w:val="24"/>
          <w:szCs w:val="24"/>
        </w:rPr>
        <w:t xml:space="preserve"> </w:t>
      </w:r>
      <w:r w:rsidR="001B375F">
        <w:rPr>
          <w:rFonts w:ascii="Arial" w:hAnsi="Arial" w:cs="Arial"/>
          <w:sz w:val="24"/>
          <w:szCs w:val="24"/>
        </w:rPr>
        <w:t xml:space="preserve">to </w:t>
      </w:r>
      <w:r w:rsidR="00C46243">
        <w:rPr>
          <w:rFonts w:ascii="Arial" w:hAnsi="Arial" w:cs="Arial"/>
          <w:sz w:val="24"/>
          <w:szCs w:val="24"/>
        </w:rPr>
        <w:t>present</w:t>
      </w:r>
      <w:r w:rsidRPr="005D0F47">
        <w:rPr>
          <w:rFonts w:ascii="Arial" w:hAnsi="Arial" w:cs="Arial"/>
          <w:sz w:val="24"/>
          <w:szCs w:val="24"/>
        </w:rPr>
        <w:t xml:space="preserve"> a round table on AAPI Veteran</w:t>
      </w:r>
      <w:r w:rsidR="00C46243">
        <w:rPr>
          <w:rFonts w:ascii="Arial" w:hAnsi="Arial" w:cs="Arial"/>
          <w:sz w:val="24"/>
          <w:szCs w:val="24"/>
        </w:rPr>
        <w:t>s</w:t>
      </w:r>
      <w:r w:rsidR="001B375F">
        <w:rPr>
          <w:rFonts w:ascii="Arial" w:hAnsi="Arial" w:cs="Arial"/>
          <w:sz w:val="24"/>
          <w:szCs w:val="24"/>
        </w:rPr>
        <w:t xml:space="preserve">’ issues. The round table </w:t>
      </w:r>
      <w:r w:rsidRPr="005D0F47">
        <w:rPr>
          <w:rFonts w:ascii="Arial" w:hAnsi="Arial" w:cs="Arial"/>
          <w:sz w:val="24"/>
          <w:szCs w:val="24"/>
        </w:rPr>
        <w:t xml:space="preserve"> </w:t>
      </w:r>
      <w:r w:rsidR="001B375F">
        <w:rPr>
          <w:rFonts w:ascii="Arial" w:hAnsi="Arial" w:cs="Arial"/>
          <w:sz w:val="24"/>
          <w:szCs w:val="24"/>
        </w:rPr>
        <w:t xml:space="preserve">was </w:t>
      </w:r>
      <w:r w:rsidRPr="005D0F47">
        <w:rPr>
          <w:rFonts w:ascii="Arial" w:hAnsi="Arial" w:cs="Arial"/>
          <w:sz w:val="24"/>
          <w:szCs w:val="24"/>
        </w:rPr>
        <w:t>hosted by the Secretary of VA on January 31, 2012,</w:t>
      </w:r>
      <w:r w:rsidR="001B375F">
        <w:rPr>
          <w:rFonts w:ascii="Arial" w:hAnsi="Arial" w:cs="Arial"/>
          <w:sz w:val="24"/>
          <w:szCs w:val="24"/>
        </w:rPr>
        <w:t xml:space="preserve"> in response to</w:t>
      </w:r>
      <w:r w:rsidR="00400B6A">
        <w:rPr>
          <w:rFonts w:ascii="Arial" w:hAnsi="Arial" w:cs="Arial"/>
          <w:sz w:val="24"/>
          <w:szCs w:val="24"/>
        </w:rPr>
        <w:t xml:space="preserve"> a </w:t>
      </w:r>
      <w:r w:rsidRPr="005D0F47">
        <w:rPr>
          <w:rFonts w:ascii="Arial" w:hAnsi="Arial" w:cs="Arial"/>
          <w:sz w:val="24"/>
          <w:szCs w:val="24"/>
        </w:rPr>
        <w:t xml:space="preserve">request </w:t>
      </w:r>
      <w:r w:rsidR="00400B6A">
        <w:rPr>
          <w:rFonts w:ascii="Arial" w:hAnsi="Arial" w:cs="Arial"/>
          <w:sz w:val="24"/>
          <w:szCs w:val="24"/>
        </w:rPr>
        <w:t xml:space="preserve">by </w:t>
      </w:r>
      <w:r w:rsidRPr="005D0F47">
        <w:rPr>
          <w:rFonts w:ascii="Arial" w:hAnsi="Arial" w:cs="Arial"/>
          <w:sz w:val="24"/>
          <w:szCs w:val="24"/>
        </w:rPr>
        <w:t xml:space="preserve">the WHIAAPI. The event took place in VA’s Omar Bradley Conference room and was attended by over 50 AAPI stakeholder/community leaders and senior VA leaders. Participants included the </w:t>
      </w:r>
      <w:r w:rsidRPr="005D0F47">
        <w:rPr>
          <w:rFonts w:ascii="Arial" w:hAnsi="Arial" w:cs="Arial"/>
          <w:sz w:val="24"/>
          <w:szCs w:val="24"/>
        </w:rPr>
        <w:lastRenderedPageBreak/>
        <w:t xml:space="preserve">Honorable Chris Lu, Assistant to the President and Cabinet Secretary for United States President Barack Obama; Dr. Robert Petzel, Under Secretary for Health; Mr. Steve Muro, Under Secretary for Memorial Affairs; Mr. Michael Carderelli, Principal Deputy </w:t>
      </w:r>
      <w:proofErr w:type="gramStart"/>
      <w:r w:rsidRPr="005D0F47">
        <w:rPr>
          <w:rFonts w:ascii="Arial" w:hAnsi="Arial" w:cs="Arial"/>
          <w:sz w:val="24"/>
          <w:szCs w:val="24"/>
        </w:rPr>
        <w:t>Under</w:t>
      </w:r>
      <w:proofErr w:type="gramEnd"/>
      <w:r w:rsidRPr="005D0F47">
        <w:rPr>
          <w:rFonts w:ascii="Arial" w:hAnsi="Arial" w:cs="Arial"/>
          <w:sz w:val="24"/>
          <w:szCs w:val="24"/>
        </w:rPr>
        <w:t xml:space="preserve"> Secretary for Benefits; Mr. </w:t>
      </w:r>
      <w:r w:rsidR="00606E6F">
        <w:rPr>
          <w:rFonts w:ascii="Arial" w:hAnsi="Arial" w:cs="Arial"/>
          <w:sz w:val="24"/>
          <w:szCs w:val="24"/>
        </w:rPr>
        <w:t>Will Gunn, VA’s General Counsel;</w:t>
      </w:r>
      <w:r w:rsidRPr="005D0F47">
        <w:rPr>
          <w:rFonts w:ascii="Arial" w:hAnsi="Arial" w:cs="Arial"/>
          <w:sz w:val="24"/>
          <w:szCs w:val="24"/>
        </w:rPr>
        <w:t xml:space="preserve"> and other senior executive staff from VA Staff Offices. The discussion focused on four primary a</w:t>
      </w:r>
      <w:r w:rsidR="00606E6F">
        <w:rPr>
          <w:rFonts w:ascii="Arial" w:hAnsi="Arial" w:cs="Arial"/>
          <w:sz w:val="24"/>
          <w:szCs w:val="24"/>
        </w:rPr>
        <w:t>reas: 1) access to VA healthcare, 2) access to VA benefits, 3) d</w:t>
      </w:r>
      <w:r w:rsidRPr="005D0F47">
        <w:rPr>
          <w:rFonts w:ascii="Arial" w:hAnsi="Arial" w:cs="Arial"/>
          <w:sz w:val="24"/>
          <w:szCs w:val="24"/>
        </w:rPr>
        <w:t>ata collection, and 4) VA outreach.  The Secretary committed to on-going discussions with this community on the issues raised.</w:t>
      </w:r>
    </w:p>
    <w:p w:rsidR="00924B06" w:rsidRDefault="00924B06" w:rsidP="00CF4462">
      <w:pPr>
        <w:pStyle w:val="ListParagraph"/>
        <w:spacing w:after="0" w:line="240" w:lineRule="auto"/>
        <w:ind w:left="0"/>
        <w:rPr>
          <w:rFonts w:ascii="Arial" w:hAnsi="Arial" w:cs="Arial"/>
          <w:sz w:val="24"/>
          <w:szCs w:val="24"/>
        </w:rPr>
      </w:pPr>
    </w:p>
    <w:p w:rsidR="00CF4462" w:rsidRPr="00D7572F" w:rsidRDefault="00CF4462" w:rsidP="00CF4462">
      <w:pPr>
        <w:pStyle w:val="ListParagraph"/>
        <w:spacing w:after="0" w:line="240" w:lineRule="auto"/>
        <w:ind w:left="0"/>
        <w:rPr>
          <w:rFonts w:ascii="Arial" w:hAnsi="Arial" w:cs="Arial"/>
          <w:sz w:val="24"/>
          <w:szCs w:val="24"/>
        </w:rPr>
      </w:pPr>
      <w:r w:rsidRPr="00D7572F">
        <w:rPr>
          <w:rFonts w:ascii="Arial" w:hAnsi="Arial" w:cs="Arial"/>
          <w:sz w:val="24"/>
          <w:szCs w:val="24"/>
        </w:rPr>
        <w:t xml:space="preserve">The </w:t>
      </w:r>
      <w:r w:rsidR="00226725">
        <w:rPr>
          <w:rFonts w:ascii="Arial" w:hAnsi="Arial" w:cs="Arial"/>
          <w:sz w:val="24"/>
          <w:szCs w:val="24"/>
        </w:rPr>
        <w:t>Under Secretary of Memorial Affairs (</w:t>
      </w:r>
      <w:r w:rsidRPr="00D7572F">
        <w:rPr>
          <w:rFonts w:ascii="Arial" w:hAnsi="Arial" w:cs="Arial"/>
          <w:sz w:val="24"/>
          <w:szCs w:val="24"/>
        </w:rPr>
        <w:t>USMA</w:t>
      </w:r>
      <w:r w:rsidR="00226725">
        <w:rPr>
          <w:rFonts w:ascii="Arial" w:hAnsi="Arial" w:cs="Arial"/>
          <w:sz w:val="24"/>
          <w:szCs w:val="24"/>
        </w:rPr>
        <w:t>)</w:t>
      </w:r>
      <w:r w:rsidRPr="00D7572F">
        <w:rPr>
          <w:rFonts w:ascii="Arial" w:hAnsi="Arial" w:cs="Arial"/>
          <w:sz w:val="24"/>
          <w:szCs w:val="24"/>
        </w:rPr>
        <w:t xml:space="preserve"> also served as a VIP guest at a wreath laying ceremony commemorating the 68th anniversary of the Liberation of Guam and the Battle for the Northern Marianas Islands, held July 17, 2012 at the Tomb of the Unknowns at Arlington National Cemetery.   </w:t>
      </w:r>
    </w:p>
    <w:p w:rsidR="005D0F47" w:rsidRDefault="005D0F47" w:rsidP="005D0F47">
      <w:pPr>
        <w:pStyle w:val="ListParagraph"/>
        <w:spacing w:after="0" w:line="240" w:lineRule="auto"/>
        <w:ind w:left="360"/>
        <w:rPr>
          <w:rFonts w:ascii="Arial" w:hAnsi="Arial" w:cs="Arial"/>
          <w:color w:val="0D0D0D"/>
          <w:sz w:val="24"/>
          <w:szCs w:val="24"/>
        </w:rPr>
      </w:pPr>
    </w:p>
    <w:p w:rsidR="005D0F47" w:rsidRPr="005D0F47" w:rsidRDefault="005D0F47" w:rsidP="005D0F47">
      <w:pPr>
        <w:spacing w:after="0" w:line="240" w:lineRule="auto"/>
        <w:rPr>
          <w:rFonts w:ascii="Arial" w:hAnsi="Arial" w:cs="Arial"/>
          <w:color w:val="0D0D0D"/>
          <w:sz w:val="24"/>
          <w:szCs w:val="24"/>
        </w:rPr>
      </w:pPr>
      <w:r w:rsidRPr="005D0F47">
        <w:rPr>
          <w:rFonts w:ascii="Arial" w:hAnsi="Arial" w:cs="Arial"/>
          <w:color w:val="0D0D0D"/>
          <w:sz w:val="24"/>
          <w:szCs w:val="24"/>
        </w:rPr>
        <w:t xml:space="preserve">In FY 2012, </w:t>
      </w:r>
      <w:r w:rsidR="00400B6A">
        <w:rPr>
          <w:rFonts w:ascii="Arial" w:hAnsi="Arial" w:cs="Arial"/>
          <w:color w:val="0D0D0D"/>
          <w:sz w:val="24"/>
          <w:szCs w:val="24"/>
        </w:rPr>
        <w:t>ODI</w:t>
      </w:r>
      <w:r w:rsidRPr="005D0F47">
        <w:rPr>
          <w:rFonts w:ascii="Arial" w:hAnsi="Arial" w:cs="Arial"/>
          <w:color w:val="0D0D0D"/>
          <w:sz w:val="24"/>
          <w:szCs w:val="24"/>
        </w:rPr>
        <w:t xml:space="preserve"> assigned a </w:t>
      </w:r>
      <w:r w:rsidR="00400B6A">
        <w:rPr>
          <w:rFonts w:ascii="Arial" w:hAnsi="Arial" w:cs="Arial"/>
          <w:color w:val="0D0D0D"/>
          <w:sz w:val="24"/>
          <w:szCs w:val="24"/>
        </w:rPr>
        <w:t xml:space="preserve">new </w:t>
      </w:r>
      <w:r w:rsidRPr="005D0F47">
        <w:rPr>
          <w:rFonts w:ascii="Arial" w:hAnsi="Arial" w:cs="Arial"/>
          <w:color w:val="0D0D0D"/>
          <w:sz w:val="24"/>
          <w:szCs w:val="24"/>
        </w:rPr>
        <w:t xml:space="preserve">Special Emphasis Program </w:t>
      </w:r>
      <w:r w:rsidR="00400B6A">
        <w:rPr>
          <w:rFonts w:ascii="Arial" w:hAnsi="Arial" w:cs="Arial"/>
          <w:color w:val="0D0D0D"/>
          <w:sz w:val="24"/>
          <w:szCs w:val="24"/>
        </w:rPr>
        <w:t xml:space="preserve">Manager </w:t>
      </w:r>
      <w:r w:rsidR="001B375F">
        <w:rPr>
          <w:rFonts w:ascii="Arial" w:hAnsi="Arial" w:cs="Arial"/>
          <w:color w:val="0D0D0D"/>
          <w:sz w:val="24"/>
          <w:szCs w:val="24"/>
        </w:rPr>
        <w:t xml:space="preserve">(SEPM) </w:t>
      </w:r>
      <w:r w:rsidRPr="005D0F47">
        <w:rPr>
          <w:rFonts w:ascii="Arial" w:hAnsi="Arial" w:cs="Arial"/>
          <w:color w:val="0D0D0D"/>
          <w:sz w:val="24"/>
          <w:szCs w:val="24"/>
        </w:rPr>
        <w:t xml:space="preserve">to serve </w:t>
      </w:r>
      <w:r w:rsidR="00366A0A">
        <w:rPr>
          <w:rFonts w:ascii="Arial" w:hAnsi="Arial" w:cs="Arial"/>
          <w:color w:val="0D0D0D"/>
          <w:sz w:val="24"/>
          <w:szCs w:val="24"/>
        </w:rPr>
        <w:t xml:space="preserve">full time </w:t>
      </w:r>
      <w:r w:rsidRPr="005D0F47">
        <w:rPr>
          <w:rFonts w:ascii="Arial" w:hAnsi="Arial" w:cs="Arial"/>
          <w:color w:val="0D0D0D"/>
          <w:sz w:val="24"/>
          <w:szCs w:val="24"/>
        </w:rPr>
        <w:t>as the VA National AAPI Employment Program Manager</w:t>
      </w:r>
      <w:r w:rsidR="001B375F">
        <w:rPr>
          <w:rFonts w:ascii="Arial" w:hAnsi="Arial" w:cs="Arial"/>
          <w:color w:val="0D0D0D"/>
          <w:sz w:val="24"/>
          <w:szCs w:val="24"/>
        </w:rPr>
        <w:t xml:space="preserve">. In this capacity, the SEPM will conduct quarterly calls and monitor VA’s activities to ensure WHIAAPI and EEO goals and objectives are met. </w:t>
      </w:r>
    </w:p>
    <w:p w:rsidR="005D0F47" w:rsidRDefault="005D0F47" w:rsidP="005D0F47">
      <w:pPr>
        <w:spacing w:after="0" w:line="240" w:lineRule="auto"/>
        <w:rPr>
          <w:rFonts w:ascii="Arial" w:hAnsi="Arial" w:cs="Arial"/>
          <w:color w:val="0D0D0D"/>
          <w:sz w:val="24"/>
          <w:szCs w:val="24"/>
        </w:rPr>
      </w:pPr>
    </w:p>
    <w:p w:rsidR="006E1090" w:rsidRDefault="00012895" w:rsidP="00602551">
      <w:pPr>
        <w:spacing w:after="0" w:line="240" w:lineRule="auto"/>
        <w:rPr>
          <w:rFonts w:ascii="Arial" w:hAnsi="Arial" w:cs="Arial"/>
          <w:sz w:val="24"/>
        </w:rPr>
      </w:pPr>
      <w:r w:rsidRPr="00F433ED">
        <w:rPr>
          <w:rFonts w:ascii="Arial" w:hAnsi="Arial" w:cs="Arial"/>
          <w:sz w:val="24"/>
        </w:rPr>
        <w:t xml:space="preserve">VHA ODI </w:t>
      </w:r>
      <w:r w:rsidR="001B375F">
        <w:rPr>
          <w:rFonts w:ascii="Arial" w:hAnsi="Arial" w:cs="Arial"/>
          <w:sz w:val="24"/>
        </w:rPr>
        <w:t>has begu</w:t>
      </w:r>
      <w:r w:rsidR="005844AF">
        <w:rPr>
          <w:rFonts w:ascii="Arial" w:hAnsi="Arial" w:cs="Arial"/>
          <w:sz w:val="24"/>
        </w:rPr>
        <w:t xml:space="preserve">n </w:t>
      </w:r>
      <w:r w:rsidR="001B375F">
        <w:rPr>
          <w:rFonts w:ascii="Arial" w:hAnsi="Arial" w:cs="Arial"/>
          <w:sz w:val="24"/>
        </w:rPr>
        <w:t xml:space="preserve">efforts to </w:t>
      </w:r>
      <w:r w:rsidRPr="00F433ED">
        <w:rPr>
          <w:rFonts w:ascii="Arial" w:hAnsi="Arial" w:cs="Arial"/>
          <w:sz w:val="24"/>
        </w:rPr>
        <w:t>establish</w:t>
      </w:r>
      <w:r w:rsidR="001B375F">
        <w:rPr>
          <w:rFonts w:ascii="Arial" w:hAnsi="Arial" w:cs="Arial"/>
          <w:sz w:val="24"/>
        </w:rPr>
        <w:t xml:space="preserve"> </w:t>
      </w:r>
      <w:r w:rsidRPr="00F433ED">
        <w:rPr>
          <w:rFonts w:ascii="Arial" w:hAnsi="Arial" w:cs="Arial"/>
          <w:sz w:val="24"/>
        </w:rPr>
        <w:t>a</w:t>
      </w:r>
      <w:r w:rsidR="00400B6A">
        <w:rPr>
          <w:rFonts w:ascii="Arial" w:hAnsi="Arial" w:cs="Arial"/>
          <w:sz w:val="24"/>
        </w:rPr>
        <w:t>n</w:t>
      </w:r>
      <w:r w:rsidRPr="00F433ED">
        <w:rPr>
          <w:rFonts w:ascii="Arial" w:hAnsi="Arial" w:cs="Arial"/>
          <w:sz w:val="24"/>
        </w:rPr>
        <w:t xml:space="preserve"> </w:t>
      </w:r>
      <w:r w:rsidR="00400B6A">
        <w:rPr>
          <w:rFonts w:ascii="Arial" w:hAnsi="Arial" w:cs="Arial"/>
          <w:sz w:val="24"/>
        </w:rPr>
        <w:t xml:space="preserve">AAPI </w:t>
      </w:r>
      <w:r w:rsidRPr="00F433ED">
        <w:rPr>
          <w:rFonts w:ascii="Arial" w:hAnsi="Arial" w:cs="Arial"/>
          <w:sz w:val="24"/>
        </w:rPr>
        <w:t>workgroup</w:t>
      </w:r>
      <w:r w:rsidR="00226725">
        <w:rPr>
          <w:rFonts w:ascii="Arial" w:hAnsi="Arial" w:cs="Arial"/>
          <w:sz w:val="24"/>
        </w:rPr>
        <w:t>,</w:t>
      </w:r>
      <w:r w:rsidR="005844AF">
        <w:rPr>
          <w:rFonts w:ascii="Arial" w:hAnsi="Arial" w:cs="Arial"/>
          <w:sz w:val="24"/>
        </w:rPr>
        <w:t xml:space="preserve"> </w:t>
      </w:r>
      <w:r w:rsidR="00226725">
        <w:rPr>
          <w:rFonts w:ascii="Arial" w:hAnsi="Arial" w:cs="Arial"/>
          <w:sz w:val="24"/>
        </w:rPr>
        <w:t xml:space="preserve">which will be implemented in </w:t>
      </w:r>
      <w:r w:rsidR="005844AF">
        <w:rPr>
          <w:rFonts w:ascii="Arial" w:hAnsi="Arial" w:cs="Arial"/>
          <w:sz w:val="24"/>
        </w:rPr>
        <w:t>FY 2013</w:t>
      </w:r>
      <w:r w:rsidR="00400B6A">
        <w:rPr>
          <w:rFonts w:ascii="Arial" w:hAnsi="Arial" w:cs="Arial"/>
          <w:sz w:val="24"/>
        </w:rPr>
        <w:t xml:space="preserve">, </w:t>
      </w:r>
      <w:r w:rsidR="00226725">
        <w:rPr>
          <w:rFonts w:ascii="Arial" w:hAnsi="Arial" w:cs="Arial"/>
          <w:sz w:val="24"/>
        </w:rPr>
        <w:t xml:space="preserve">and </w:t>
      </w:r>
      <w:r w:rsidR="00400B6A">
        <w:rPr>
          <w:rFonts w:ascii="Arial" w:hAnsi="Arial" w:cs="Arial"/>
          <w:sz w:val="24"/>
        </w:rPr>
        <w:t>will meet</w:t>
      </w:r>
      <w:r w:rsidRPr="00F433ED">
        <w:rPr>
          <w:rFonts w:ascii="Arial" w:hAnsi="Arial" w:cs="Arial"/>
          <w:sz w:val="24"/>
        </w:rPr>
        <w:t xml:space="preserve"> at least quarterly to discuss AAPI concerns and initiatives.</w:t>
      </w:r>
    </w:p>
    <w:p w:rsidR="009C07DE" w:rsidRDefault="006E1090" w:rsidP="00C76A98">
      <w:pPr>
        <w:pStyle w:val="ListParagraph"/>
        <w:spacing w:after="0" w:line="240" w:lineRule="auto"/>
        <w:ind w:left="0"/>
        <w:rPr>
          <w:rFonts w:ascii="Arial" w:hAnsi="Arial" w:cs="Arial"/>
          <w:sz w:val="24"/>
          <w:szCs w:val="24"/>
        </w:rPr>
      </w:pPr>
      <w:r>
        <w:rPr>
          <w:rFonts w:ascii="Arial" w:hAnsi="Arial" w:cs="Arial"/>
          <w:sz w:val="24"/>
          <w:szCs w:val="24"/>
        </w:rPr>
        <w:t xml:space="preserve">NCA, during the </w:t>
      </w:r>
      <w:r w:rsidR="00C51C27" w:rsidRPr="003675F7">
        <w:rPr>
          <w:rFonts w:ascii="Arial" w:hAnsi="Arial" w:cs="Arial"/>
          <w:sz w:val="24"/>
          <w:szCs w:val="24"/>
        </w:rPr>
        <w:t>1</w:t>
      </w:r>
      <w:r w:rsidR="00C51C27" w:rsidRPr="003675F7">
        <w:rPr>
          <w:rFonts w:ascii="Arial" w:hAnsi="Arial" w:cs="Arial"/>
          <w:sz w:val="24"/>
          <w:szCs w:val="24"/>
          <w:vertAlign w:val="superscript"/>
        </w:rPr>
        <w:t>st</w:t>
      </w:r>
      <w:r w:rsidR="00C51C27" w:rsidRPr="003675F7">
        <w:rPr>
          <w:rFonts w:ascii="Arial" w:hAnsi="Arial" w:cs="Arial"/>
          <w:sz w:val="24"/>
          <w:szCs w:val="24"/>
        </w:rPr>
        <w:t xml:space="preserve"> Quarter of FY12</w:t>
      </w:r>
      <w:r>
        <w:rPr>
          <w:rFonts w:ascii="Arial" w:hAnsi="Arial" w:cs="Arial"/>
          <w:sz w:val="24"/>
          <w:szCs w:val="24"/>
        </w:rPr>
        <w:t xml:space="preserve"> </w:t>
      </w:r>
      <w:r w:rsidR="00C51C27" w:rsidRPr="003675F7">
        <w:rPr>
          <w:rFonts w:ascii="Arial" w:hAnsi="Arial" w:cs="Arial"/>
          <w:sz w:val="24"/>
          <w:szCs w:val="24"/>
        </w:rPr>
        <w:t>(October 2012)</w:t>
      </w:r>
      <w:r>
        <w:rPr>
          <w:rFonts w:ascii="Arial" w:hAnsi="Arial" w:cs="Arial"/>
          <w:sz w:val="24"/>
          <w:szCs w:val="24"/>
        </w:rPr>
        <w:t xml:space="preserve">, will </w:t>
      </w:r>
      <w:r w:rsidR="00C51C27" w:rsidRPr="003675F7">
        <w:rPr>
          <w:rFonts w:ascii="Arial" w:hAnsi="Arial" w:cs="Arial"/>
          <w:sz w:val="24"/>
          <w:szCs w:val="24"/>
        </w:rPr>
        <w:t>implement</w:t>
      </w:r>
      <w:r>
        <w:rPr>
          <w:rFonts w:ascii="Arial" w:hAnsi="Arial" w:cs="Arial"/>
          <w:sz w:val="24"/>
          <w:szCs w:val="24"/>
        </w:rPr>
        <w:t xml:space="preserve"> i</w:t>
      </w:r>
      <w:r w:rsidR="00C51C27" w:rsidRPr="003675F7">
        <w:rPr>
          <w:rFonts w:ascii="Arial" w:hAnsi="Arial" w:cs="Arial"/>
          <w:sz w:val="24"/>
          <w:szCs w:val="24"/>
        </w:rPr>
        <w:t>ts own Executive Diversity C</w:t>
      </w:r>
      <w:r w:rsidR="00C51C27" w:rsidRPr="00BC05FA">
        <w:rPr>
          <w:rFonts w:ascii="Arial" w:hAnsi="Arial" w:cs="Arial"/>
          <w:sz w:val="24"/>
          <w:szCs w:val="24"/>
        </w:rPr>
        <w:t>ouncil and a Sub-Committee, the Special Emphasis Program Advisory Committee (SEPAC)</w:t>
      </w:r>
      <w:r w:rsidR="003675F7">
        <w:rPr>
          <w:rFonts w:ascii="Arial" w:hAnsi="Arial" w:cs="Arial"/>
          <w:sz w:val="24"/>
          <w:szCs w:val="24"/>
        </w:rPr>
        <w:t>,</w:t>
      </w:r>
      <w:r w:rsidR="00C51C27" w:rsidRPr="00BC05FA">
        <w:rPr>
          <w:rFonts w:ascii="Arial" w:hAnsi="Arial" w:cs="Arial"/>
          <w:sz w:val="24"/>
          <w:szCs w:val="24"/>
        </w:rPr>
        <w:t xml:space="preserve"> to develop and implement a recruitment plan and Special Emphasis Programs as a solution to less than expected participation rates of identified groups</w:t>
      </w:r>
      <w:r w:rsidR="005942F7">
        <w:rPr>
          <w:rFonts w:ascii="Arial" w:hAnsi="Arial" w:cs="Arial"/>
          <w:sz w:val="24"/>
          <w:szCs w:val="24"/>
        </w:rPr>
        <w:t>,</w:t>
      </w:r>
      <w:r w:rsidR="00C51C27" w:rsidRPr="00BC05FA">
        <w:rPr>
          <w:rFonts w:ascii="Arial" w:hAnsi="Arial" w:cs="Arial"/>
          <w:sz w:val="24"/>
          <w:szCs w:val="24"/>
        </w:rPr>
        <w:t xml:space="preserve"> including </w:t>
      </w:r>
      <w:r>
        <w:rPr>
          <w:rFonts w:ascii="Arial" w:hAnsi="Arial" w:cs="Arial"/>
          <w:sz w:val="24"/>
          <w:szCs w:val="24"/>
        </w:rPr>
        <w:t xml:space="preserve">the </w:t>
      </w:r>
      <w:r w:rsidR="00C51C27" w:rsidRPr="00BC05FA">
        <w:rPr>
          <w:rFonts w:ascii="Arial" w:hAnsi="Arial" w:cs="Arial"/>
          <w:sz w:val="24"/>
          <w:szCs w:val="24"/>
        </w:rPr>
        <w:t>AAPI</w:t>
      </w:r>
      <w:r>
        <w:rPr>
          <w:rFonts w:ascii="Arial" w:hAnsi="Arial" w:cs="Arial"/>
          <w:sz w:val="24"/>
          <w:szCs w:val="24"/>
        </w:rPr>
        <w:t xml:space="preserve"> community. </w:t>
      </w:r>
    </w:p>
    <w:p w:rsidR="00366A0A" w:rsidRDefault="00366A0A" w:rsidP="00C76A98">
      <w:pPr>
        <w:pStyle w:val="ListParagraph"/>
        <w:spacing w:after="0" w:line="240" w:lineRule="auto"/>
        <w:ind w:left="0"/>
        <w:rPr>
          <w:rFonts w:ascii="Arial" w:hAnsi="Arial" w:cs="Arial"/>
          <w:sz w:val="24"/>
          <w:szCs w:val="24"/>
        </w:rPr>
      </w:pPr>
    </w:p>
    <w:p w:rsidR="00366A0A" w:rsidRPr="00C46011" w:rsidRDefault="00226725" w:rsidP="00C76A98">
      <w:pPr>
        <w:pStyle w:val="ListParagraph"/>
        <w:spacing w:after="0" w:line="240" w:lineRule="auto"/>
        <w:ind w:left="0"/>
        <w:rPr>
          <w:rFonts w:ascii="Arial" w:hAnsi="Arial" w:cs="Arial"/>
          <w:sz w:val="24"/>
          <w:szCs w:val="24"/>
        </w:rPr>
      </w:pPr>
      <w:r>
        <w:rPr>
          <w:rFonts w:ascii="Arial" w:hAnsi="Arial" w:cs="Arial"/>
          <w:sz w:val="24"/>
          <w:szCs w:val="24"/>
        </w:rPr>
        <w:t>VA a</w:t>
      </w:r>
      <w:r w:rsidR="00366A0A">
        <w:rPr>
          <w:rFonts w:ascii="Arial" w:hAnsi="Arial" w:cs="Arial"/>
          <w:sz w:val="24"/>
          <w:szCs w:val="24"/>
        </w:rPr>
        <w:t>ctively participated in WHIAAPI I</w:t>
      </w:r>
      <w:r w:rsidR="00924B06">
        <w:rPr>
          <w:rFonts w:ascii="Arial" w:hAnsi="Arial" w:cs="Arial"/>
          <w:sz w:val="24"/>
          <w:szCs w:val="24"/>
        </w:rPr>
        <w:t xml:space="preserve">nteragency </w:t>
      </w:r>
      <w:r w:rsidR="00366A0A">
        <w:rPr>
          <w:rFonts w:ascii="Arial" w:hAnsi="Arial" w:cs="Arial"/>
          <w:sz w:val="24"/>
          <w:szCs w:val="24"/>
        </w:rPr>
        <w:t>W</w:t>
      </w:r>
      <w:r w:rsidR="00924B06">
        <w:rPr>
          <w:rFonts w:ascii="Arial" w:hAnsi="Arial" w:cs="Arial"/>
          <w:sz w:val="24"/>
          <w:szCs w:val="24"/>
        </w:rPr>
        <w:t xml:space="preserve">orking </w:t>
      </w:r>
      <w:r w:rsidR="00366A0A">
        <w:rPr>
          <w:rFonts w:ascii="Arial" w:hAnsi="Arial" w:cs="Arial"/>
          <w:sz w:val="24"/>
          <w:szCs w:val="24"/>
        </w:rPr>
        <w:t>G</w:t>
      </w:r>
      <w:r w:rsidR="00924B06">
        <w:rPr>
          <w:rFonts w:ascii="Arial" w:hAnsi="Arial" w:cs="Arial"/>
          <w:sz w:val="24"/>
          <w:szCs w:val="24"/>
        </w:rPr>
        <w:t>roup</w:t>
      </w:r>
      <w:r w:rsidR="00366A0A">
        <w:rPr>
          <w:rFonts w:ascii="Arial" w:hAnsi="Arial" w:cs="Arial"/>
          <w:sz w:val="24"/>
          <w:szCs w:val="24"/>
        </w:rPr>
        <w:t xml:space="preserve"> </w:t>
      </w:r>
      <w:r>
        <w:rPr>
          <w:rFonts w:ascii="Arial" w:hAnsi="Arial" w:cs="Arial"/>
          <w:sz w:val="24"/>
          <w:szCs w:val="24"/>
        </w:rPr>
        <w:t xml:space="preserve">meetings </w:t>
      </w:r>
      <w:r w:rsidR="00366A0A">
        <w:rPr>
          <w:rFonts w:ascii="Arial" w:hAnsi="Arial" w:cs="Arial"/>
          <w:sz w:val="24"/>
          <w:szCs w:val="24"/>
        </w:rPr>
        <w:t xml:space="preserve">and other WHIAAPI events throughout the year, ensuring VA is </w:t>
      </w:r>
      <w:r w:rsidR="001B375F">
        <w:rPr>
          <w:rFonts w:ascii="Arial" w:hAnsi="Arial" w:cs="Arial"/>
          <w:sz w:val="24"/>
          <w:szCs w:val="24"/>
        </w:rPr>
        <w:t>making headway in ensuring AAPI</w:t>
      </w:r>
      <w:r w:rsidR="00366A0A">
        <w:rPr>
          <w:rFonts w:ascii="Arial" w:hAnsi="Arial" w:cs="Arial"/>
          <w:sz w:val="24"/>
          <w:szCs w:val="24"/>
        </w:rPr>
        <w:t>s are well represented throughout the Department</w:t>
      </w:r>
      <w:r w:rsidR="001B375F">
        <w:rPr>
          <w:rFonts w:ascii="Arial" w:hAnsi="Arial" w:cs="Arial"/>
          <w:sz w:val="24"/>
          <w:szCs w:val="24"/>
        </w:rPr>
        <w:t>,</w:t>
      </w:r>
      <w:r w:rsidR="00366A0A">
        <w:rPr>
          <w:rFonts w:ascii="Arial" w:hAnsi="Arial" w:cs="Arial"/>
          <w:sz w:val="24"/>
          <w:szCs w:val="24"/>
        </w:rPr>
        <w:t xml:space="preserve"> at all levels. </w:t>
      </w:r>
    </w:p>
    <w:sectPr w:rsidR="00366A0A" w:rsidRPr="00C46011" w:rsidSect="004278D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DE" w:rsidRDefault="00C704DE" w:rsidP="004278DF">
      <w:pPr>
        <w:spacing w:after="0" w:line="240" w:lineRule="auto"/>
      </w:pPr>
      <w:r>
        <w:separator/>
      </w:r>
    </w:p>
  </w:endnote>
  <w:endnote w:type="continuationSeparator" w:id="0">
    <w:p w:rsidR="00C704DE" w:rsidRDefault="00C704DE" w:rsidP="00427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91751"/>
      <w:docPartObj>
        <w:docPartGallery w:val="Page Numbers (Bottom of Page)"/>
        <w:docPartUnique/>
      </w:docPartObj>
    </w:sdtPr>
    <w:sdtContent>
      <w:p w:rsidR="00412728" w:rsidRDefault="00F81D06">
        <w:pPr>
          <w:pStyle w:val="Footer"/>
          <w:jc w:val="center"/>
        </w:pPr>
        <w:fldSimple w:instr=" PAGE   \* MERGEFORMAT ">
          <w:r w:rsidR="00705E4C">
            <w:rPr>
              <w:noProof/>
            </w:rPr>
            <w:t>2</w:t>
          </w:r>
        </w:fldSimple>
      </w:p>
    </w:sdtContent>
  </w:sdt>
  <w:p w:rsidR="00412728" w:rsidRDefault="00412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DE" w:rsidRDefault="00C704DE" w:rsidP="004278DF">
      <w:pPr>
        <w:spacing w:after="0" w:line="240" w:lineRule="auto"/>
      </w:pPr>
      <w:r>
        <w:separator/>
      </w:r>
    </w:p>
  </w:footnote>
  <w:footnote w:type="continuationSeparator" w:id="0">
    <w:p w:rsidR="00C704DE" w:rsidRDefault="00C704DE" w:rsidP="00427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A2A"/>
    <w:multiLevelType w:val="hybridMultilevel"/>
    <w:tmpl w:val="C1B4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C2A6F"/>
    <w:multiLevelType w:val="hybridMultilevel"/>
    <w:tmpl w:val="2134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0038EA"/>
    <w:multiLevelType w:val="hybridMultilevel"/>
    <w:tmpl w:val="6CBC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4E6E8C"/>
    <w:multiLevelType w:val="hybridMultilevel"/>
    <w:tmpl w:val="84D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D2DAA"/>
    <w:multiLevelType w:val="hybridMultilevel"/>
    <w:tmpl w:val="3326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3479F"/>
    <w:multiLevelType w:val="hybridMultilevel"/>
    <w:tmpl w:val="97089316"/>
    <w:lvl w:ilvl="0" w:tplc="0409000F">
      <w:start w:val="1"/>
      <w:numFmt w:val="decimal"/>
      <w:lvlText w:val="%1."/>
      <w:lvlJc w:val="left"/>
      <w:pPr>
        <w:ind w:left="1110" w:hanging="360"/>
      </w:pPr>
      <w:rPr>
        <w:rFonts w:hint="default"/>
      </w:rPr>
    </w:lvl>
    <w:lvl w:ilvl="1" w:tplc="04090001">
      <w:start w:val="1"/>
      <w:numFmt w:val="bullet"/>
      <w:lvlText w:val=""/>
      <w:lvlJc w:val="left"/>
      <w:pPr>
        <w:ind w:left="1830" w:hanging="360"/>
      </w:pPr>
      <w:rPr>
        <w:rFonts w:ascii="Symbol" w:hAnsi="Symbol" w:hint="default"/>
      </w:rPr>
    </w:lvl>
    <w:lvl w:ilvl="2" w:tplc="474C7F1A">
      <w:start w:val="1"/>
      <w:numFmt w:val="decimal"/>
      <w:lvlText w:val="%3)"/>
      <w:lvlJc w:val="left"/>
      <w:pPr>
        <w:ind w:left="2730" w:hanging="360"/>
      </w:pPr>
      <w:rPr>
        <w:rFonts w:hint="default"/>
      </w:rPr>
    </w:lvl>
    <w:lvl w:ilvl="3" w:tplc="0409000F">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1"/>
  </w:num>
  <w:num w:numId="3">
    <w:abstractNumId w:val="4"/>
  </w:num>
  <w:num w:numId="4">
    <w:abstractNumId w:val="0"/>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7628"/>
    <w:rsid w:val="000052EA"/>
    <w:rsid w:val="00012895"/>
    <w:rsid w:val="00014EAF"/>
    <w:rsid w:val="000166A9"/>
    <w:rsid w:val="00021D42"/>
    <w:rsid w:val="00023118"/>
    <w:rsid w:val="00024D71"/>
    <w:rsid w:val="0003386E"/>
    <w:rsid w:val="00034A12"/>
    <w:rsid w:val="0003589E"/>
    <w:rsid w:val="00040728"/>
    <w:rsid w:val="00041D89"/>
    <w:rsid w:val="00050D42"/>
    <w:rsid w:val="00050D46"/>
    <w:rsid w:val="000544D9"/>
    <w:rsid w:val="00055D4F"/>
    <w:rsid w:val="0006072B"/>
    <w:rsid w:val="00066DC9"/>
    <w:rsid w:val="00071965"/>
    <w:rsid w:val="00076B8F"/>
    <w:rsid w:val="00082CF2"/>
    <w:rsid w:val="00084383"/>
    <w:rsid w:val="00085A64"/>
    <w:rsid w:val="00086C87"/>
    <w:rsid w:val="000914E5"/>
    <w:rsid w:val="000A1307"/>
    <w:rsid w:val="000A7B16"/>
    <w:rsid w:val="000B0210"/>
    <w:rsid w:val="000B1F8D"/>
    <w:rsid w:val="000B2A46"/>
    <w:rsid w:val="000C4C44"/>
    <w:rsid w:val="000D2D66"/>
    <w:rsid w:val="000D3CBF"/>
    <w:rsid w:val="000E0BFE"/>
    <w:rsid w:val="000E1082"/>
    <w:rsid w:val="000E452D"/>
    <w:rsid w:val="000E58FF"/>
    <w:rsid w:val="000E7474"/>
    <w:rsid w:val="000F0C28"/>
    <w:rsid w:val="000F1AB5"/>
    <w:rsid w:val="000F27CE"/>
    <w:rsid w:val="000F4303"/>
    <w:rsid w:val="000F47C6"/>
    <w:rsid w:val="000F6785"/>
    <w:rsid w:val="0010057F"/>
    <w:rsid w:val="0010404F"/>
    <w:rsid w:val="001046B4"/>
    <w:rsid w:val="00104D5B"/>
    <w:rsid w:val="00105D31"/>
    <w:rsid w:val="00107D9D"/>
    <w:rsid w:val="00114980"/>
    <w:rsid w:val="00121867"/>
    <w:rsid w:val="00121C6C"/>
    <w:rsid w:val="001223A7"/>
    <w:rsid w:val="001241EE"/>
    <w:rsid w:val="0012489B"/>
    <w:rsid w:val="00126734"/>
    <w:rsid w:val="00126F4B"/>
    <w:rsid w:val="00127531"/>
    <w:rsid w:val="0013021B"/>
    <w:rsid w:val="00133ED0"/>
    <w:rsid w:val="001372A3"/>
    <w:rsid w:val="00143040"/>
    <w:rsid w:val="00143472"/>
    <w:rsid w:val="0014446D"/>
    <w:rsid w:val="00150156"/>
    <w:rsid w:val="00151DB9"/>
    <w:rsid w:val="00156D0E"/>
    <w:rsid w:val="00157628"/>
    <w:rsid w:val="00160E23"/>
    <w:rsid w:val="00167989"/>
    <w:rsid w:val="001716EA"/>
    <w:rsid w:val="00175CEE"/>
    <w:rsid w:val="001763E0"/>
    <w:rsid w:val="00177E28"/>
    <w:rsid w:val="001808F0"/>
    <w:rsid w:val="00182A12"/>
    <w:rsid w:val="001835EB"/>
    <w:rsid w:val="00185366"/>
    <w:rsid w:val="001857D2"/>
    <w:rsid w:val="00191414"/>
    <w:rsid w:val="001938F6"/>
    <w:rsid w:val="00197A46"/>
    <w:rsid w:val="001A47A7"/>
    <w:rsid w:val="001A55E8"/>
    <w:rsid w:val="001B0B59"/>
    <w:rsid w:val="001B1731"/>
    <w:rsid w:val="001B224A"/>
    <w:rsid w:val="001B2388"/>
    <w:rsid w:val="001B375F"/>
    <w:rsid w:val="001B3EB7"/>
    <w:rsid w:val="001B6F39"/>
    <w:rsid w:val="001B7151"/>
    <w:rsid w:val="001B7E55"/>
    <w:rsid w:val="001C2A1B"/>
    <w:rsid w:val="001D37DE"/>
    <w:rsid w:val="001D4128"/>
    <w:rsid w:val="001D76A0"/>
    <w:rsid w:val="001E15E5"/>
    <w:rsid w:val="001E2458"/>
    <w:rsid w:val="001E6FC0"/>
    <w:rsid w:val="001E7BA6"/>
    <w:rsid w:val="001F11A5"/>
    <w:rsid w:val="001F145C"/>
    <w:rsid w:val="001F2E2C"/>
    <w:rsid w:val="001F467A"/>
    <w:rsid w:val="00203BE8"/>
    <w:rsid w:val="002114A6"/>
    <w:rsid w:val="00211BC3"/>
    <w:rsid w:val="00212FA0"/>
    <w:rsid w:val="00216001"/>
    <w:rsid w:val="00220B1F"/>
    <w:rsid w:val="00221DFB"/>
    <w:rsid w:val="0022280D"/>
    <w:rsid w:val="00223267"/>
    <w:rsid w:val="00226725"/>
    <w:rsid w:val="0022767C"/>
    <w:rsid w:val="00234EC3"/>
    <w:rsid w:val="00235892"/>
    <w:rsid w:val="00235B90"/>
    <w:rsid w:val="002364CE"/>
    <w:rsid w:val="002372AF"/>
    <w:rsid w:val="002429F5"/>
    <w:rsid w:val="00242F76"/>
    <w:rsid w:val="0024484B"/>
    <w:rsid w:val="002459A4"/>
    <w:rsid w:val="002459D6"/>
    <w:rsid w:val="00246E17"/>
    <w:rsid w:val="00247C16"/>
    <w:rsid w:val="00250970"/>
    <w:rsid w:val="00250F6D"/>
    <w:rsid w:val="0025234A"/>
    <w:rsid w:val="00252434"/>
    <w:rsid w:val="00253144"/>
    <w:rsid w:val="00256337"/>
    <w:rsid w:val="002564E3"/>
    <w:rsid w:val="002564EF"/>
    <w:rsid w:val="00260636"/>
    <w:rsid w:val="00261A69"/>
    <w:rsid w:val="00267C8F"/>
    <w:rsid w:val="0027490E"/>
    <w:rsid w:val="002764B5"/>
    <w:rsid w:val="00276BF1"/>
    <w:rsid w:val="00285AAA"/>
    <w:rsid w:val="00287089"/>
    <w:rsid w:val="002872AF"/>
    <w:rsid w:val="002958CF"/>
    <w:rsid w:val="002959B6"/>
    <w:rsid w:val="0029799B"/>
    <w:rsid w:val="002A000D"/>
    <w:rsid w:val="002A2290"/>
    <w:rsid w:val="002A2EFA"/>
    <w:rsid w:val="002A62A2"/>
    <w:rsid w:val="002A74AD"/>
    <w:rsid w:val="002B03DA"/>
    <w:rsid w:val="002C1058"/>
    <w:rsid w:val="002C1B31"/>
    <w:rsid w:val="002C78F0"/>
    <w:rsid w:val="002D0CD8"/>
    <w:rsid w:val="002D1226"/>
    <w:rsid w:val="002D4113"/>
    <w:rsid w:val="002D550E"/>
    <w:rsid w:val="002E0A02"/>
    <w:rsid w:val="002E494C"/>
    <w:rsid w:val="002E6088"/>
    <w:rsid w:val="002F0F51"/>
    <w:rsid w:val="002F36A3"/>
    <w:rsid w:val="002F3E93"/>
    <w:rsid w:val="002F3FC7"/>
    <w:rsid w:val="002F49E7"/>
    <w:rsid w:val="0030064B"/>
    <w:rsid w:val="0030071D"/>
    <w:rsid w:val="00304622"/>
    <w:rsid w:val="00305A40"/>
    <w:rsid w:val="0030602C"/>
    <w:rsid w:val="00307EA3"/>
    <w:rsid w:val="003205E7"/>
    <w:rsid w:val="0032295D"/>
    <w:rsid w:val="00324C3B"/>
    <w:rsid w:val="00331E77"/>
    <w:rsid w:val="0033362D"/>
    <w:rsid w:val="003420FC"/>
    <w:rsid w:val="0034285A"/>
    <w:rsid w:val="00342A93"/>
    <w:rsid w:val="003438CD"/>
    <w:rsid w:val="003568C1"/>
    <w:rsid w:val="003571B8"/>
    <w:rsid w:val="003572BA"/>
    <w:rsid w:val="00361014"/>
    <w:rsid w:val="00365294"/>
    <w:rsid w:val="003653F4"/>
    <w:rsid w:val="00366853"/>
    <w:rsid w:val="00366A0A"/>
    <w:rsid w:val="00366E7A"/>
    <w:rsid w:val="003672D7"/>
    <w:rsid w:val="003675F7"/>
    <w:rsid w:val="00367A43"/>
    <w:rsid w:val="003718D5"/>
    <w:rsid w:val="0037197A"/>
    <w:rsid w:val="00376726"/>
    <w:rsid w:val="0038112A"/>
    <w:rsid w:val="00382937"/>
    <w:rsid w:val="00387C53"/>
    <w:rsid w:val="00390BDD"/>
    <w:rsid w:val="00391006"/>
    <w:rsid w:val="003925E6"/>
    <w:rsid w:val="00396F1C"/>
    <w:rsid w:val="003A1999"/>
    <w:rsid w:val="003A587E"/>
    <w:rsid w:val="003A5BD1"/>
    <w:rsid w:val="003A6C73"/>
    <w:rsid w:val="003B386B"/>
    <w:rsid w:val="003B48C4"/>
    <w:rsid w:val="003B4C4F"/>
    <w:rsid w:val="003B743B"/>
    <w:rsid w:val="003B7571"/>
    <w:rsid w:val="003C04F5"/>
    <w:rsid w:val="003C285E"/>
    <w:rsid w:val="003C40A8"/>
    <w:rsid w:val="003C5B0C"/>
    <w:rsid w:val="003C625D"/>
    <w:rsid w:val="003C6540"/>
    <w:rsid w:val="003D46D9"/>
    <w:rsid w:val="003D7D26"/>
    <w:rsid w:val="003E10BE"/>
    <w:rsid w:val="003E2466"/>
    <w:rsid w:val="003E24F2"/>
    <w:rsid w:val="003E2BD1"/>
    <w:rsid w:val="003E375A"/>
    <w:rsid w:val="003E4578"/>
    <w:rsid w:val="003E6C52"/>
    <w:rsid w:val="003F267C"/>
    <w:rsid w:val="003F2E84"/>
    <w:rsid w:val="003F5269"/>
    <w:rsid w:val="003F55E5"/>
    <w:rsid w:val="0040069A"/>
    <w:rsid w:val="00400B6A"/>
    <w:rsid w:val="0040111C"/>
    <w:rsid w:val="00401C9E"/>
    <w:rsid w:val="00404629"/>
    <w:rsid w:val="00405684"/>
    <w:rsid w:val="00406460"/>
    <w:rsid w:val="00407A1F"/>
    <w:rsid w:val="00412728"/>
    <w:rsid w:val="00414CD3"/>
    <w:rsid w:val="00421FEA"/>
    <w:rsid w:val="004233B7"/>
    <w:rsid w:val="00424CE2"/>
    <w:rsid w:val="00426526"/>
    <w:rsid w:val="004268D4"/>
    <w:rsid w:val="004278DF"/>
    <w:rsid w:val="00437746"/>
    <w:rsid w:val="00440869"/>
    <w:rsid w:val="00441836"/>
    <w:rsid w:val="00441CAA"/>
    <w:rsid w:val="0044611A"/>
    <w:rsid w:val="004549C7"/>
    <w:rsid w:val="00456306"/>
    <w:rsid w:val="00462047"/>
    <w:rsid w:val="004629EA"/>
    <w:rsid w:val="00467D23"/>
    <w:rsid w:val="00470FB6"/>
    <w:rsid w:val="0047439B"/>
    <w:rsid w:val="00475601"/>
    <w:rsid w:val="0047686E"/>
    <w:rsid w:val="00476F9F"/>
    <w:rsid w:val="00480605"/>
    <w:rsid w:val="00484039"/>
    <w:rsid w:val="004859A8"/>
    <w:rsid w:val="00487222"/>
    <w:rsid w:val="004918B5"/>
    <w:rsid w:val="0049204A"/>
    <w:rsid w:val="00492139"/>
    <w:rsid w:val="004925BD"/>
    <w:rsid w:val="00492B25"/>
    <w:rsid w:val="004938C9"/>
    <w:rsid w:val="004958BF"/>
    <w:rsid w:val="004960BE"/>
    <w:rsid w:val="004976ED"/>
    <w:rsid w:val="004A5B4F"/>
    <w:rsid w:val="004A6255"/>
    <w:rsid w:val="004B0A52"/>
    <w:rsid w:val="004B17BA"/>
    <w:rsid w:val="004B230B"/>
    <w:rsid w:val="004B2DCC"/>
    <w:rsid w:val="004B34DD"/>
    <w:rsid w:val="004B4CB6"/>
    <w:rsid w:val="004C237C"/>
    <w:rsid w:val="004C24E6"/>
    <w:rsid w:val="004C36FE"/>
    <w:rsid w:val="004C3912"/>
    <w:rsid w:val="004C4616"/>
    <w:rsid w:val="004C72F9"/>
    <w:rsid w:val="004E0B80"/>
    <w:rsid w:val="004E1072"/>
    <w:rsid w:val="004E6A26"/>
    <w:rsid w:val="004F1368"/>
    <w:rsid w:val="004F2A99"/>
    <w:rsid w:val="004F3AE2"/>
    <w:rsid w:val="0050059B"/>
    <w:rsid w:val="005018A6"/>
    <w:rsid w:val="00501EF7"/>
    <w:rsid w:val="00502BF7"/>
    <w:rsid w:val="00504C2D"/>
    <w:rsid w:val="0050540B"/>
    <w:rsid w:val="005063C4"/>
    <w:rsid w:val="00507E24"/>
    <w:rsid w:val="00510A7B"/>
    <w:rsid w:val="005130BA"/>
    <w:rsid w:val="00513EAF"/>
    <w:rsid w:val="005142AB"/>
    <w:rsid w:val="0051692D"/>
    <w:rsid w:val="00520216"/>
    <w:rsid w:val="00520489"/>
    <w:rsid w:val="00524022"/>
    <w:rsid w:val="00524CDF"/>
    <w:rsid w:val="00524E50"/>
    <w:rsid w:val="00524FEC"/>
    <w:rsid w:val="00525AD3"/>
    <w:rsid w:val="00526A3C"/>
    <w:rsid w:val="005305FF"/>
    <w:rsid w:val="005329C2"/>
    <w:rsid w:val="00532EBC"/>
    <w:rsid w:val="005366BA"/>
    <w:rsid w:val="00536B08"/>
    <w:rsid w:val="00536BF0"/>
    <w:rsid w:val="00537A91"/>
    <w:rsid w:val="00544E9A"/>
    <w:rsid w:val="005456B7"/>
    <w:rsid w:val="00550147"/>
    <w:rsid w:val="00550F53"/>
    <w:rsid w:val="0055219B"/>
    <w:rsid w:val="00555547"/>
    <w:rsid w:val="00555C62"/>
    <w:rsid w:val="0055652C"/>
    <w:rsid w:val="00560849"/>
    <w:rsid w:val="005614CF"/>
    <w:rsid w:val="00562525"/>
    <w:rsid w:val="00563E8A"/>
    <w:rsid w:val="00565C27"/>
    <w:rsid w:val="00565F12"/>
    <w:rsid w:val="00566876"/>
    <w:rsid w:val="00571B34"/>
    <w:rsid w:val="00573A74"/>
    <w:rsid w:val="00575155"/>
    <w:rsid w:val="0057739E"/>
    <w:rsid w:val="00583348"/>
    <w:rsid w:val="005844AF"/>
    <w:rsid w:val="00585989"/>
    <w:rsid w:val="005942F7"/>
    <w:rsid w:val="00594474"/>
    <w:rsid w:val="005A0944"/>
    <w:rsid w:val="005A14C5"/>
    <w:rsid w:val="005A2211"/>
    <w:rsid w:val="005A25B1"/>
    <w:rsid w:val="005A2978"/>
    <w:rsid w:val="005A334C"/>
    <w:rsid w:val="005A64E9"/>
    <w:rsid w:val="005A6B09"/>
    <w:rsid w:val="005B15C1"/>
    <w:rsid w:val="005B3A95"/>
    <w:rsid w:val="005B3F9A"/>
    <w:rsid w:val="005B5BD7"/>
    <w:rsid w:val="005B7001"/>
    <w:rsid w:val="005C7EBB"/>
    <w:rsid w:val="005D0F47"/>
    <w:rsid w:val="005D1FA0"/>
    <w:rsid w:val="005D41F1"/>
    <w:rsid w:val="005D6AE5"/>
    <w:rsid w:val="005E1ADF"/>
    <w:rsid w:val="005E5C85"/>
    <w:rsid w:val="005E6034"/>
    <w:rsid w:val="005E64AC"/>
    <w:rsid w:val="005F083B"/>
    <w:rsid w:val="005F5FBD"/>
    <w:rsid w:val="00602551"/>
    <w:rsid w:val="0060319C"/>
    <w:rsid w:val="00603637"/>
    <w:rsid w:val="006042FF"/>
    <w:rsid w:val="00606E6F"/>
    <w:rsid w:val="00607434"/>
    <w:rsid w:val="00607840"/>
    <w:rsid w:val="006112B6"/>
    <w:rsid w:val="00611A02"/>
    <w:rsid w:val="00612F24"/>
    <w:rsid w:val="0061425A"/>
    <w:rsid w:val="006147EC"/>
    <w:rsid w:val="006204F7"/>
    <w:rsid w:val="00625F7C"/>
    <w:rsid w:val="00630C35"/>
    <w:rsid w:val="00634B88"/>
    <w:rsid w:val="00635FF2"/>
    <w:rsid w:val="00636530"/>
    <w:rsid w:val="00636F6D"/>
    <w:rsid w:val="0063730C"/>
    <w:rsid w:val="00641093"/>
    <w:rsid w:val="006449C5"/>
    <w:rsid w:val="00645921"/>
    <w:rsid w:val="006504CB"/>
    <w:rsid w:val="00651567"/>
    <w:rsid w:val="00651A8E"/>
    <w:rsid w:val="00651B5D"/>
    <w:rsid w:val="00653D47"/>
    <w:rsid w:val="006565EB"/>
    <w:rsid w:val="00657C6C"/>
    <w:rsid w:val="00662A28"/>
    <w:rsid w:val="00662D43"/>
    <w:rsid w:val="0066383D"/>
    <w:rsid w:val="00664621"/>
    <w:rsid w:val="00683563"/>
    <w:rsid w:val="00685CF9"/>
    <w:rsid w:val="00686E0E"/>
    <w:rsid w:val="00687A3B"/>
    <w:rsid w:val="006904F6"/>
    <w:rsid w:val="00691D81"/>
    <w:rsid w:val="006921D4"/>
    <w:rsid w:val="0069331C"/>
    <w:rsid w:val="00693714"/>
    <w:rsid w:val="00696400"/>
    <w:rsid w:val="006973E3"/>
    <w:rsid w:val="006A17EF"/>
    <w:rsid w:val="006A264E"/>
    <w:rsid w:val="006A31C7"/>
    <w:rsid w:val="006A5447"/>
    <w:rsid w:val="006A59FA"/>
    <w:rsid w:val="006A697F"/>
    <w:rsid w:val="006B01D1"/>
    <w:rsid w:val="006B4C6B"/>
    <w:rsid w:val="006C00CB"/>
    <w:rsid w:val="006C06D1"/>
    <w:rsid w:val="006D3098"/>
    <w:rsid w:val="006D4218"/>
    <w:rsid w:val="006D5A0D"/>
    <w:rsid w:val="006D5D60"/>
    <w:rsid w:val="006E1090"/>
    <w:rsid w:val="006E1C84"/>
    <w:rsid w:val="006E3D16"/>
    <w:rsid w:val="006E751B"/>
    <w:rsid w:val="006F1BBA"/>
    <w:rsid w:val="006F213B"/>
    <w:rsid w:val="006F49EC"/>
    <w:rsid w:val="006F5581"/>
    <w:rsid w:val="006F60AB"/>
    <w:rsid w:val="007019F9"/>
    <w:rsid w:val="007020A2"/>
    <w:rsid w:val="00702866"/>
    <w:rsid w:val="00702D18"/>
    <w:rsid w:val="007047A1"/>
    <w:rsid w:val="00704A04"/>
    <w:rsid w:val="00705C9D"/>
    <w:rsid w:val="00705E4C"/>
    <w:rsid w:val="00706154"/>
    <w:rsid w:val="00706E2F"/>
    <w:rsid w:val="007153F3"/>
    <w:rsid w:val="0071597F"/>
    <w:rsid w:val="0072031C"/>
    <w:rsid w:val="0072057A"/>
    <w:rsid w:val="007265ED"/>
    <w:rsid w:val="00732778"/>
    <w:rsid w:val="007348DA"/>
    <w:rsid w:val="00735B16"/>
    <w:rsid w:val="00735FC7"/>
    <w:rsid w:val="007366B0"/>
    <w:rsid w:val="0074167A"/>
    <w:rsid w:val="00741FFA"/>
    <w:rsid w:val="00742C2B"/>
    <w:rsid w:val="00744476"/>
    <w:rsid w:val="007445F4"/>
    <w:rsid w:val="00753D23"/>
    <w:rsid w:val="00760250"/>
    <w:rsid w:val="00760DAE"/>
    <w:rsid w:val="00762076"/>
    <w:rsid w:val="00764B4F"/>
    <w:rsid w:val="00765735"/>
    <w:rsid w:val="00765D39"/>
    <w:rsid w:val="00780AC9"/>
    <w:rsid w:val="00780CD4"/>
    <w:rsid w:val="00781304"/>
    <w:rsid w:val="007845C1"/>
    <w:rsid w:val="007A0369"/>
    <w:rsid w:val="007A0701"/>
    <w:rsid w:val="007A0819"/>
    <w:rsid w:val="007A2F2C"/>
    <w:rsid w:val="007A3E75"/>
    <w:rsid w:val="007A5221"/>
    <w:rsid w:val="007A6A35"/>
    <w:rsid w:val="007A6A3E"/>
    <w:rsid w:val="007A7C35"/>
    <w:rsid w:val="007B0F47"/>
    <w:rsid w:val="007B0F79"/>
    <w:rsid w:val="007B1373"/>
    <w:rsid w:val="007B35DF"/>
    <w:rsid w:val="007B63F7"/>
    <w:rsid w:val="007B6834"/>
    <w:rsid w:val="007B6B77"/>
    <w:rsid w:val="007C14DE"/>
    <w:rsid w:val="007C2029"/>
    <w:rsid w:val="007C33C8"/>
    <w:rsid w:val="007C7BC5"/>
    <w:rsid w:val="007D5F0B"/>
    <w:rsid w:val="007D71A9"/>
    <w:rsid w:val="007E0D7A"/>
    <w:rsid w:val="007E0E0D"/>
    <w:rsid w:val="007E19B2"/>
    <w:rsid w:val="007E464C"/>
    <w:rsid w:val="007F0829"/>
    <w:rsid w:val="007F3EEF"/>
    <w:rsid w:val="007F442F"/>
    <w:rsid w:val="007F4B09"/>
    <w:rsid w:val="007F4EF6"/>
    <w:rsid w:val="0081106B"/>
    <w:rsid w:val="00813316"/>
    <w:rsid w:val="00813FAE"/>
    <w:rsid w:val="0081489D"/>
    <w:rsid w:val="0081668B"/>
    <w:rsid w:val="0081700D"/>
    <w:rsid w:val="008170C7"/>
    <w:rsid w:val="008204CE"/>
    <w:rsid w:val="00822322"/>
    <w:rsid w:val="00825016"/>
    <w:rsid w:val="008278DC"/>
    <w:rsid w:val="00832343"/>
    <w:rsid w:val="00837D78"/>
    <w:rsid w:val="00837ED5"/>
    <w:rsid w:val="00840072"/>
    <w:rsid w:val="008407E8"/>
    <w:rsid w:val="00841BF6"/>
    <w:rsid w:val="00842892"/>
    <w:rsid w:val="008442F8"/>
    <w:rsid w:val="00844EF4"/>
    <w:rsid w:val="008452F3"/>
    <w:rsid w:val="00847C7C"/>
    <w:rsid w:val="00853C44"/>
    <w:rsid w:val="008558C2"/>
    <w:rsid w:val="00856247"/>
    <w:rsid w:val="00862104"/>
    <w:rsid w:val="00862807"/>
    <w:rsid w:val="00863387"/>
    <w:rsid w:val="008672FF"/>
    <w:rsid w:val="008836FF"/>
    <w:rsid w:val="008843B5"/>
    <w:rsid w:val="008847C7"/>
    <w:rsid w:val="00887BB0"/>
    <w:rsid w:val="008904F2"/>
    <w:rsid w:val="00892A7D"/>
    <w:rsid w:val="008A2134"/>
    <w:rsid w:val="008A66C2"/>
    <w:rsid w:val="008B1D70"/>
    <w:rsid w:val="008B2BA9"/>
    <w:rsid w:val="008B7169"/>
    <w:rsid w:val="008C365B"/>
    <w:rsid w:val="008C3C0D"/>
    <w:rsid w:val="008C3CFC"/>
    <w:rsid w:val="008D0FB9"/>
    <w:rsid w:val="008D6C80"/>
    <w:rsid w:val="008E13A8"/>
    <w:rsid w:val="008E1662"/>
    <w:rsid w:val="008E1EC6"/>
    <w:rsid w:val="008E6ABC"/>
    <w:rsid w:val="008E7E03"/>
    <w:rsid w:val="008F0FF0"/>
    <w:rsid w:val="008F3543"/>
    <w:rsid w:val="008F3671"/>
    <w:rsid w:val="008F473E"/>
    <w:rsid w:val="008F4E77"/>
    <w:rsid w:val="008F5642"/>
    <w:rsid w:val="008F5995"/>
    <w:rsid w:val="008F724C"/>
    <w:rsid w:val="009007B0"/>
    <w:rsid w:val="00901380"/>
    <w:rsid w:val="009017A9"/>
    <w:rsid w:val="00902226"/>
    <w:rsid w:val="00903B72"/>
    <w:rsid w:val="0090691E"/>
    <w:rsid w:val="009112BA"/>
    <w:rsid w:val="00911FF4"/>
    <w:rsid w:val="00912778"/>
    <w:rsid w:val="00915872"/>
    <w:rsid w:val="00915927"/>
    <w:rsid w:val="00921F12"/>
    <w:rsid w:val="00924B06"/>
    <w:rsid w:val="00931633"/>
    <w:rsid w:val="0093198C"/>
    <w:rsid w:val="00932824"/>
    <w:rsid w:val="00940DF1"/>
    <w:rsid w:val="00942279"/>
    <w:rsid w:val="0094481C"/>
    <w:rsid w:val="0094530E"/>
    <w:rsid w:val="00945989"/>
    <w:rsid w:val="009507A1"/>
    <w:rsid w:val="00951B2D"/>
    <w:rsid w:val="00954A58"/>
    <w:rsid w:val="00961439"/>
    <w:rsid w:val="0096676A"/>
    <w:rsid w:val="00966D1F"/>
    <w:rsid w:val="00967050"/>
    <w:rsid w:val="009734B6"/>
    <w:rsid w:val="00982A18"/>
    <w:rsid w:val="0098526D"/>
    <w:rsid w:val="00987DB8"/>
    <w:rsid w:val="00990708"/>
    <w:rsid w:val="009A390E"/>
    <w:rsid w:val="009A56D9"/>
    <w:rsid w:val="009A5C5B"/>
    <w:rsid w:val="009A7EE3"/>
    <w:rsid w:val="009B01C8"/>
    <w:rsid w:val="009B576D"/>
    <w:rsid w:val="009C07DE"/>
    <w:rsid w:val="009C0916"/>
    <w:rsid w:val="009C3345"/>
    <w:rsid w:val="009C45BC"/>
    <w:rsid w:val="009C4C10"/>
    <w:rsid w:val="009D097C"/>
    <w:rsid w:val="009D1887"/>
    <w:rsid w:val="009D2937"/>
    <w:rsid w:val="009D43F2"/>
    <w:rsid w:val="009D7A55"/>
    <w:rsid w:val="009E2206"/>
    <w:rsid w:val="009E27C5"/>
    <w:rsid w:val="009E3ECB"/>
    <w:rsid w:val="009E48B9"/>
    <w:rsid w:val="009E48D5"/>
    <w:rsid w:val="009E4BB7"/>
    <w:rsid w:val="009E5FF1"/>
    <w:rsid w:val="009F0E31"/>
    <w:rsid w:val="009F1EEB"/>
    <w:rsid w:val="009F3D1A"/>
    <w:rsid w:val="009F3EA2"/>
    <w:rsid w:val="009F5B75"/>
    <w:rsid w:val="009F6380"/>
    <w:rsid w:val="00A005E1"/>
    <w:rsid w:val="00A0519E"/>
    <w:rsid w:val="00A05F88"/>
    <w:rsid w:val="00A06A12"/>
    <w:rsid w:val="00A06DB2"/>
    <w:rsid w:val="00A15B08"/>
    <w:rsid w:val="00A15E70"/>
    <w:rsid w:val="00A17CCB"/>
    <w:rsid w:val="00A21B5F"/>
    <w:rsid w:val="00A24ABB"/>
    <w:rsid w:val="00A261E3"/>
    <w:rsid w:val="00A32FED"/>
    <w:rsid w:val="00A35D28"/>
    <w:rsid w:val="00A42070"/>
    <w:rsid w:val="00A43682"/>
    <w:rsid w:val="00A453B5"/>
    <w:rsid w:val="00A45514"/>
    <w:rsid w:val="00A50B90"/>
    <w:rsid w:val="00A5189A"/>
    <w:rsid w:val="00A577C1"/>
    <w:rsid w:val="00A62A64"/>
    <w:rsid w:val="00A77F4B"/>
    <w:rsid w:val="00A801C6"/>
    <w:rsid w:val="00A82E3B"/>
    <w:rsid w:val="00A834A2"/>
    <w:rsid w:val="00A85C24"/>
    <w:rsid w:val="00A87A30"/>
    <w:rsid w:val="00A91DC0"/>
    <w:rsid w:val="00A92743"/>
    <w:rsid w:val="00A93043"/>
    <w:rsid w:val="00A93160"/>
    <w:rsid w:val="00A94620"/>
    <w:rsid w:val="00A952BA"/>
    <w:rsid w:val="00A96ACE"/>
    <w:rsid w:val="00A96CEC"/>
    <w:rsid w:val="00A97ABC"/>
    <w:rsid w:val="00AA0814"/>
    <w:rsid w:val="00AA1AE3"/>
    <w:rsid w:val="00AA247B"/>
    <w:rsid w:val="00AA34B2"/>
    <w:rsid w:val="00AA4451"/>
    <w:rsid w:val="00AA69C3"/>
    <w:rsid w:val="00AA723B"/>
    <w:rsid w:val="00AB1668"/>
    <w:rsid w:val="00AB6ABF"/>
    <w:rsid w:val="00AB6D90"/>
    <w:rsid w:val="00AC40A8"/>
    <w:rsid w:val="00AC4219"/>
    <w:rsid w:val="00AC48FE"/>
    <w:rsid w:val="00AE2846"/>
    <w:rsid w:val="00AE2921"/>
    <w:rsid w:val="00AE3A17"/>
    <w:rsid w:val="00AE3C63"/>
    <w:rsid w:val="00AE6EFA"/>
    <w:rsid w:val="00AF0FFF"/>
    <w:rsid w:val="00AF1F01"/>
    <w:rsid w:val="00AF3AEC"/>
    <w:rsid w:val="00AF609F"/>
    <w:rsid w:val="00B003E0"/>
    <w:rsid w:val="00B00DFF"/>
    <w:rsid w:val="00B01DE2"/>
    <w:rsid w:val="00B0612D"/>
    <w:rsid w:val="00B11470"/>
    <w:rsid w:val="00B128A4"/>
    <w:rsid w:val="00B14A82"/>
    <w:rsid w:val="00B2222B"/>
    <w:rsid w:val="00B26403"/>
    <w:rsid w:val="00B26DFE"/>
    <w:rsid w:val="00B3000C"/>
    <w:rsid w:val="00B356A5"/>
    <w:rsid w:val="00B35D85"/>
    <w:rsid w:val="00B3607B"/>
    <w:rsid w:val="00B37B54"/>
    <w:rsid w:val="00B43730"/>
    <w:rsid w:val="00B47F7B"/>
    <w:rsid w:val="00B52016"/>
    <w:rsid w:val="00B5257F"/>
    <w:rsid w:val="00B60AE8"/>
    <w:rsid w:val="00B613E8"/>
    <w:rsid w:val="00B6297F"/>
    <w:rsid w:val="00B63CBE"/>
    <w:rsid w:val="00B65330"/>
    <w:rsid w:val="00B703B2"/>
    <w:rsid w:val="00B73B17"/>
    <w:rsid w:val="00B757E0"/>
    <w:rsid w:val="00B77DE0"/>
    <w:rsid w:val="00B80770"/>
    <w:rsid w:val="00B80DE7"/>
    <w:rsid w:val="00B825D7"/>
    <w:rsid w:val="00B83BC0"/>
    <w:rsid w:val="00BB0520"/>
    <w:rsid w:val="00BB2A22"/>
    <w:rsid w:val="00BB3B17"/>
    <w:rsid w:val="00BB5579"/>
    <w:rsid w:val="00BB5DB6"/>
    <w:rsid w:val="00BB672C"/>
    <w:rsid w:val="00BC0235"/>
    <w:rsid w:val="00BC07E4"/>
    <w:rsid w:val="00BC1D93"/>
    <w:rsid w:val="00BC3099"/>
    <w:rsid w:val="00BC4646"/>
    <w:rsid w:val="00BC6F71"/>
    <w:rsid w:val="00BC7873"/>
    <w:rsid w:val="00BD0079"/>
    <w:rsid w:val="00BD1083"/>
    <w:rsid w:val="00BD1555"/>
    <w:rsid w:val="00BD45B4"/>
    <w:rsid w:val="00BE1082"/>
    <w:rsid w:val="00BE1DDF"/>
    <w:rsid w:val="00BE5AAD"/>
    <w:rsid w:val="00BF05C1"/>
    <w:rsid w:val="00BF23FC"/>
    <w:rsid w:val="00C00A18"/>
    <w:rsid w:val="00C01597"/>
    <w:rsid w:val="00C02031"/>
    <w:rsid w:val="00C06FBA"/>
    <w:rsid w:val="00C10EB4"/>
    <w:rsid w:val="00C118D7"/>
    <w:rsid w:val="00C13ACE"/>
    <w:rsid w:val="00C15F8F"/>
    <w:rsid w:val="00C229E4"/>
    <w:rsid w:val="00C30724"/>
    <w:rsid w:val="00C3076D"/>
    <w:rsid w:val="00C356D7"/>
    <w:rsid w:val="00C408F4"/>
    <w:rsid w:val="00C40A15"/>
    <w:rsid w:val="00C40DF2"/>
    <w:rsid w:val="00C4267B"/>
    <w:rsid w:val="00C46011"/>
    <w:rsid w:val="00C46243"/>
    <w:rsid w:val="00C51C27"/>
    <w:rsid w:val="00C52092"/>
    <w:rsid w:val="00C52AF9"/>
    <w:rsid w:val="00C547E1"/>
    <w:rsid w:val="00C56CDE"/>
    <w:rsid w:val="00C63DCE"/>
    <w:rsid w:val="00C665FE"/>
    <w:rsid w:val="00C704DE"/>
    <w:rsid w:val="00C76A98"/>
    <w:rsid w:val="00C770FD"/>
    <w:rsid w:val="00C77F40"/>
    <w:rsid w:val="00C82F98"/>
    <w:rsid w:val="00C847AD"/>
    <w:rsid w:val="00C85F1F"/>
    <w:rsid w:val="00C85FEF"/>
    <w:rsid w:val="00C9041E"/>
    <w:rsid w:val="00C935B9"/>
    <w:rsid w:val="00C9483F"/>
    <w:rsid w:val="00C96D09"/>
    <w:rsid w:val="00CA2D53"/>
    <w:rsid w:val="00CA30D6"/>
    <w:rsid w:val="00CB04AE"/>
    <w:rsid w:val="00CB0685"/>
    <w:rsid w:val="00CB33C6"/>
    <w:rsid w:val="00CB392B"/>
    <w:rsid w:val="00CB4749"/>
    <w:rsid w:val="00CB57B9"/>
    <w:rsid w:val="00CB7051"/>
    <w:rsid w:val="00CB742E"/>
    <w:rsid w:val="00CC6B55"/>
    <w:rsid w:val="00CC6D62"/>
    <w:rsid w:val="00CD022A"/>
    <w:rsid w:val="00CD24F4"/>
    <w:rsid w:val="00CD5E13"/>
    <w:rsid w:val="00CE0907"/>
    <w:rsid w:val="00CE5382"/>
    <w:rsid w:val="00CE60C2"/>
    <w:rsid w:val="00CF3EBA"/>
    <w:rsid w:val="00CF4462"/>
    <w:rsid w:val="00CF4747"/>
    <w:rsid w:val="00CF7A6C"/>
    <w:rsid w:val="00D01941"/>
    <w:rsid w:val="00D043E7"/>
    <w:rsid w:val="00D11761"/>
    <w:rsid w:val="00D139A0"/>
    <w:rsid w:val="00D20E0C"/>
    <w:rsid w:val="00D219AA"/>
    <w:rsid w:val="00D22304"/>
    <w:rsid w:val="00D25816"/>
    <w:rsid w:val="00D25A20"/>
    <w:rsid w:val="00D27237"/>
    <w:rsid w:val="00D335C9"/>
    <w:rsid w:val="00D3389C"/>
    <w:rsid w:val="00D34A54"/>
    <w:rsid w:val="00D3599D"/>
    <w:rsid w:val="00D40FD7"/>
    <w:rsid w:val="00D415D9"/>
    <w:rsid w:val="00D432FB"/>
    <w:rsid w:val="00D4558B"/>
    <w:rsid w:val="00D50B26"/>
    <w:rsid w:val="00D53F58"/>
    <w:rsid w:val="00D61E18"/>
    <w:rsid w:val="00D63D7E"/>
    <w:rsid w:val="00D6404B"/>
    <w:rsid w:val="00D64E48"/>
    <w:rsid w:val="00D7572F"/>
    <w:rsid w:val="00D80795"/>
    <w:rsid w:val="00D8099D"/>
    <w:rsid w:val="00D84511"/>
    <w:rsid w:val="00D85A6E"/>
    <w:rsid w:val="00D879D1"/>
    <w:rsid w:val="00D91711"/>
    <w:rsid w:val="00D93638"/>
    <w:rsid w:val="00D938B6"/>
    <w:rsid w:val="00D95AF3"/>
    <w:rsid w:val="00DA1B8A"/>
    <w:rsid w:val="00DA2BDA"/>
    <w:rsid w:val="00DA5B99"/>
    <w:rsid w:val="00DB366A"/>
    <w:rsid w:val="00DB47DA"/>
    <w:rsid w:val="00DB6259"/>
    <w:rsid w:val="00DC3ADA"/>
    <w:rsid w:val="00DC4619"/>
    <w:rsid w:val="00DC491F"/>
    <w:rsid w:val="00DC5273"/>
    <w:rsid w:val="00DD2D99"/>
    <w:rsid w:val="00DD6DA4"/>
    <w:rsid w:val="00DE3A89"/>
    <w:rsid w:val="00DE47D4"/>
    <w:rsid w:val="00DE4BDF"/>
    <w:rsid w:val="00DE6B78"/>
    <w:rsid w:val="00DF19AC"/>
    <w:rsid w:val="00DF2C34"/>
    <w:rsid w:val="00DF6D77"/>
    <w:rsid w:val="00DF7B7E"/>
    <w:rsid w:val="00E05AC2"/>
    <w:rsid w:val="00E069F5"/>
    <w:rsid w:val="00E121AE"/>
    <w:rsid w:val="00E16648"/>
    <w:rsid w:val="00E173B8"/>
    <w:rsid w:val="00E21F9F"/>
    <w:rsid w:val="00E26049"/>
    <w:rsid w:val="00E26C9F"/>
    <w:rsid w:val="00E2760E"/>
    <w:rsid w:val="00E300BB"/>
    <w:rsid w:val="00E305CD"/>
    <w:rsid w:val="00E31465"/>
    <w:rsid w:val="00E34D25"/>
    <w:rsid w:val="00E37BFB"/>
    <w:rsid w:val="00E37DDE"/>
    <w:rsid w:val="00E42545"/>
    <w:rsid w:val="00E4568B"/>
    <w:rsid w:val="00E574FF"/>
    <w:rsid w:val="00E61050"/>
    <w:rsid w:val="00E619F6"/>
    <w:rsid w:val="00E62A57"/>
    <w:rsid w:val="00E639DC"/>
    <w:rsid w:val="00E64A15"/>
    <w:rsid w:val="00E66272"/>
    <w:rsid w:val="00E67106"/>
    <w:rsid w:val="00E734E4"/>
    <w:rsid w:val="00E800AE"/>
    <w:rsid w:val="00E85466"/>
    <w:rsid w:val="00E85A2B"/>
    <w:rsid w:val="00E93879"/>
    <w:rsid w:val="00E95885"/>
    <w:rsid w:val="00E96AF5"/>
    <w:rsid w:val="00E96EDC"/>
    <w:rsid w:val="00E97311"/>
    <w:rsid w:val="00EA207A"/>
    <w:rsid w:val="00EA5B4A"/>
    <w:rsid w:val="00EA5CBF"/>
    <w:rsid w:val="00EA7C35"/>
    <w:rsid w:val="00EB20B7"/>
    <w:rsid w:val="00EB23AE"/>
    <w:rsid w:val="00EB6D7D"/>
    <w:rsid w:val="00EC2087"/>
    <w:rsid w:val="00EC5708"/>
    <w:rsid w:val="00ED281A"/>
    <w:rsid w:val="00EE08F9"/>
    <w:rsid w:val="00EE09D4"/>
    <w:rsid w:val="00EE23D1"/>
    <w:rsid w:val="00EE288C"/>
    <w:rsid w:val="00EE3024"/>
    <w:rsid w:val="00EE5057"/>
    <w:rsid w:val="00EE6128"/>
    <w:rsid w:val="00EF24A7"/>
    <w:rsid w:val="00EF5C11"/>
    <w:rsid w:val="00EF7F26"/>
    <w:rsid w:val="00F021F8"/>
    <w:rsid w:val="00F046E3"/>
    <w:rsid w:val="00F06096"/>
    <w:rsid w:val="00F0611A"/>
    <w:rsid w:val="00F07E59"/>
    <w:rsid w:val="00F10973"/>
    <w:rsid w:val="00F12538"/>
    <w:rsid w:val="00F13656"/>
    <w:rsid w:val="00F145BA"/>
    <w:rsid w:val="00F1660B"/>
    <w:rsid w:val="00F2203F"/>
    <w:rsid w:val="00F23756"/>
    <w:rsid w:val="00F2514E"/>
    <w:rsid w:val="00F278B2"/>
    <w:rsid w:val="00F3130A"/>
    <w:rsid w:val="00F32B9C"/>
    <w:rsid w:val="00F34356"/>
    <w:rsid w:val="00F3461A"/>
    <w:rsid w:val="00F3738C"/>
    <w:rsid w:val="00F4156B"/>
    <w:rsid w:val="00F46BA4"/>
    <w:rsid w:val="00F4733D"/>
    <w:rsid w:val="00F50A68"/>
    <w:rsid w:val="00F51A3A"/>
    <w:rsid w:val="00F56357"/>
    <w:rsid w:val="00F57939"/>
    <w:rsid w:val="00F57E94"/>
    <w:rsid w:val="00F62CB7"/>
    <w:rsid w:val="00F6533F"/>
    <w:rsid w:val="00F67366"/>
    <w:rsid w:val="00F745BD"/>
    <w:rsid w:val="00F81D06"/>
    <w:rsid w:val="00F82AE4"/>
    <w:rsid w:val="00F83C17"/>
    <w:rsid w:val="00F9065C"/>
    <w:rsid w:val="00F9605B"/>
    <w:rsid w:val="00FA06AA"/>
    <w:rsid w:val="00FA07F2"/>
    <w:rsid w:val="00FA15D3"/>
    <w:rsid w:val="00FA194C"/>
    <w:rsid w:val="00FA2AF3"/>
    <w:rsid w:val="00FB4519"/>
    <w:rsid w:val="00FB73BD"/>
    <w:rsid w:val="00FC4909"/>
    <w:rsid w:val="00FC5D97"/>
    <w:rsid w:val="00FD006B"/>
    <w:rsid w:val="00FD1E26"/>
    <w:rsid w:val="00FD3A34"/>
    <w:rsid w:val="00FD5DA0"/>
    <w:rsid w:val="00FD618F"/>
    <w:rsid w:val="00FD6301"/>
    <w:rsid w:val="00FE0CB2"/>
    <w:rsid w:val="00FE405D"/>
    <w:rsid w:val="00FE4940"/>
    <w:rsid w:val="00FE5A1E"/>
    <w:rsid w:val="00FE7591"/>
    <w:rsid w:val="00FF3A77"/>
    <w:rsid w:val="00FF5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FB"/>
    <w:pPr>
      <w:ind w:left="720"/>
    </w:pPr>
  </w:style>
  <w:style w:type="character" w:styleId="Hyperlink">
    <w:name w:val="Hyperlink"/>
    <w:basedOn w:val="DefaultParagraphFont"/>
    <w:semiHidden/>
    <w:rsid w:val="00D432FB"/>
    <w:rPr>
      <w:color w:val="0000FF"/>
      <w:u w:val="single"/>
    </w:rPr>
  </w:style>
  <w:style w:type="paragraph" w:customStyle="1" w:styleId="Default">
    <w:name w:val="Default"/>
    <w:rsid w:val="00C51C27"/>
    <w:pPr>
      <w:autoSpaceDE w:val="0"/>
      <w:autoSpaceDN w:val="0"/>
      <w:adjustRightInd w:val="0"/>
    </w:pPr>
    <w:rPr>
      <w:rFonts w:cs="Calibri"/>
      <w:color w:val="000000"/>
      <w:sz w:val="24"/>
      <w:szCs w:val="24"/>
    </w:rPr>
  </w:style>
  <w:style w:type="paragraph" w:styleId="PlainText">
    <w:name w:val="Plain Text"/>
    <w:basedOn w:val="Normal"/>
    <w:link w:val="PlainTextChar"/>
    <w:uiPriority w:val="99"/>
    <w:unhideWhenUsed/>
    <w:rsid w:val="00C51C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1C27"/>
    <w:rPr>
      <w:rFonts w:ascii="Consolas" w:eastAsia="Calibri" w:hAnsi="Consolas" w:cs="Times New Roman"/>
      <w:sz w:val="21"/>
      <w:szCs w:val="21"/>
    </w:rPr>
  </w:style>
  <w:style w:type="paragraph" w:styleId="NoSpacing">
    <w:name w:val="No Spacing"/>
    <w:link w:val="NoSpacingChar"/>
    <w:uiPriority w:val="1"/>
    <w:qFormat/>
    <w:rsid w:val="00437746"/>
    <w:rPr>
      <w:rFonts w:eastAsia="Times New Roman"/>
      <w:sz w:val="22"/>
      <w:szCs w:val="22"/>
    </w:rPr>
  </w:style>
  <w:style w:type="character" w:customStyle="1" w:styleId="NoSpacingChar">
    <w:name w:val="No Spacing Char"/>
    <w:basedOn w:val="DefaultParagraphFont"/>
    <w:link w:val="NoSpacing"/>
    <w:uiPriority w:val="1"/>
    <w:rsid w:val="0043774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43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46"/>
    <w:rPr>
      <w:rFonts w:ascii="Tahoma" w:hAnsi="Tahoma" w:cs="Tahoma"/>
      <w:sz w:val="16"/>
      <w:szCs w:val="16"/>
    </w:rPr>
  </w:style>
  <w:style w:type="character" w:styleId="CommentReference">
    <w:name w:val="annotation reference"/>
    <w:basedOn w:val="DefaultParagraphFont"/>
    <w:uiPriority w:val="99"/>
    <w:semiHidden/>
    <w:unhideWhenUsed/>
    <w:rsid w:val="00565F12"/>
    <w:rPr>
      <w:sz w:val="16"/>
      <w:szCs w:val="16"/>
    </w:rPr>
  </w:style>
  <w:style w:type="paragraph" w:styleId="CommentText">
    <w:name w:val="annotation text"/>
    <w:basedOn w:val="Normal"/>
    <w:link w:val="CommentTextChar"/>
    <w:uiPriority w:val="99"/>
    <w:semiHidden/>
    <w:unhideWhenUsed/>
    <w:rsid w:val="00565F12"/>
    <w:rPr>
      <w:sz w:val="20"/>
      <w:szCs w:val="20"/>
    </w:rPr>
  </w:style>
  <w:style w:type="character" w:customStyle="1" w:styleId="CommentTextChar">
    <w:name w:val="Comment Text Char"/>
    <w:basedOn w:val="DefaultParagraphFont"/>
    <w:link w:val="CommentText"/>
    <w:uiPriority w:val="99"/>
    <w:semiHidden/>
    <w:rsid w:val="00565F12"/>
  </w:style>
  <w:style w:type="paragraph" w:styleId="CommentSubject">
    <w:name w:val="annotation subject"/>
    <w:basedOn w:val="CommentText"/>
    <w:next w:val="CommentText"/>
    <w:link w:val="CommentSubjectChar"/>
    <w:uiPriority w:val="99"/>
    <w:semiHidden/>
    <w:unhideWhenUsed/>
    <w:rsid w:val="00565F12"/>
    <w:rPr>
      <w:b/>
      <w:bCs/>
    </w:rPr>
  </w:style>
  <w:style w:type="character" w:customStyle="1" w:styleId="CommentSubjectChar">
    <w:name w:val="Comment Subject Char"/>
    <w:basedOn w:val="CommentTextChar"/>
    <w:link w:val="CommentSubject"/>
    <w:uiPriority w:val="99"/>
    <w:semiHidden/>
    <w:rsid w:val="00565F12"/>
    <w:rPr>
      <w:b/>
      <w:bCs/>
    </w:rPr>
  </w:style>
  <w:style w:type="paragraph" w:styleId="Revision">
    <w:name w:val="Revision"/>
    <w:hidden/>
    <w:uiPriority w:val="99"/>
    <w:semiHidden/>
    <w:rsid w:val="00B5257F"/>
    <w:rPr>
      <w:sz w:val="22"/>
      <w:szCs w:val="22"/>
    </w:rPr>
  </w:style>
  <w:style w:type="paragraph" w:styleId="Header">
    <w:name w:val="header"/>
    <w:basedOn w:val="Normal"/>
    <w:link w:val="HeaderChar"/>
    <w:uiPriority w:val="99"/>
    <w:semiHidden/>
    <w:unhideWhenUsed/>
    <w:rsid w:val="00427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8DF"/>
    <w:rPr>
      <w:sz w:val="22"/>
      <w:szCs w:val="22"/>
    </w:rPr>
  </w:style>
  <w:style w:type="paragraph" w:styleId="Footer">
    <w:name w:val="footer"/>
    <w:basedOn w:val="Normal"/>
    <w:link w:val="FooterChar"/>
    <w:uiPriority w:val="99"/>
    <w:unhideWhenUsed/>
    <w:rsid w:val="004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DF"/>
    <w:rPr>
      <w:sz w:val="22"/>
      <w:szCs w:val="22"/>
    </w:rPr>
  </w:style>
  <w:style w:type="character" w:styleId="Strong">
    <w:name w:val="Strong"/>
    <w:basedOn w:val="DefaultParagraphFont"/>
    <w:uiPriority w:val="22"/>
    <w:qFormat/>
    <w:rsid w:val="00DF2C34"/>
    <w:rPr>
      <w:b/>
      <w:bCs/>
    </w:rPr>
  </w:style>
</w:styles>
</file>

<file path=word/webSettings.xml><?xml version="1.0" encoding="utf-8"?>
<w:webSettings xmlns:r="http://schemas.openxmlformats.org/officeDocument/2006/relationships" xmlns:w="http://schemas.openxmlformats.org/wordprocessingml/2006/main">
  <w:divs>
    <w:div w:id="70659034">
      <w:bodyDiv w:val="1"/>
      <w:marLeft w:val="0"/>
      <w:marRight w:val="0"/>
      <w:marTop w:val="0"/>
      <w:marBottom w:val="0"/>
      <w:divBdr>
        <w:top w:val="none" w:sz="0" w:space="0" w:color="auto"/>
        <w:left w:val="none" w:sz="0" w:space="0" w:color="auto"/>
        <w:bottom w:val="none" w:sz="0" w:space="0" w:color="auto"/>
        <w:right w:val="none" w:sz="0" w:space="0" w:color="auto"/>
      </w:divBdr>
    </w:div>
    <w:div w:id="305281174">
      <w:bodyDiv w:val="1"/>
      <w:marLeft w:val="0"/>
      <w:marRight w:val="0"/>
      <w:marTop w:val="0"/>
      <w:marBottom w:val="0"/>
      <w:divBdr>
        <w:top w:val="none" w:sz="0" w:space="0" w:color="auto"/>
        <w:left w:val="none" w:sz="0" w:space="0" w:color="auto"/>
        <w:bottom w:val="none" w:sz="0" w:space="0" w:color="auto"/>
        <w:right w:val="none" w:sz="0" w:space="0" w:color="auto"/>
      </w:divBdr>
    </w:div>
    <w:div w:id="1057819168">
      <w:bodyDiv w:val="1"/>
      <w:marLeft w:val="0"/>
      <w:marRight w:val="0"/>
      <w:marTop w:val="0"/>
      <w:marBottom w:val="0"/>
      <w:divBdr>
        <w:top w:val="none" w:sz="0" w:space="0" w:color="auto"/>
        <w:left w:val="none" w:sz="0" w:space="0" w:color="auto"/>
        <w:bottom w:val="none" w:sz="0" w:space="0" w:color="auto"/>
        <w:right w:val="none" w:sz="0" w:space="0" w:color="auto"/>
      </w:divBdr>
    </w:div>
    <w:div w:id="1091272158">
      <w:bodyDiv w:val="1"/>
      <w:marLeft w:val="0"/>
      <w:marRight w:val="0"/>
      <w:marTop w:val="0"/>
      <w:marBottom w:val="0"/>
      <w:divBdr>
        <w:top w:val="none" w:sz="0" w:space="0" w:color="auto"/>
        <w:left w:val="none" w:sz="0" w:space="0" w:color="auto"/>
        <w:bottom w:val="none" w:sz="0" w:space="0" w:color="auto"/>
        <w:right w:val="none" w:sz="0" w:space="0" w:color="auto"/>
      </w:divBdr>
    </w:div>
    <w:div w:id="1208182719">
      <w:bodyDiv w:val="1"/>
      <w:marLeft w:val="0"/>
      <w:marRight w:val="0"/>
      <w:marTop w:val="0"/>
      <w:marBottom w:val="0"/>
      <w:divBdr>
        <w:top w:val="none" w:sz="0" w:space="0" w:color="auto"/>
        <w:left w:val="none" w:sz="0" w:space="0" w:color="auto"/>
        <w:bottom w:val="none" w:sz="0" w:space="0" w:color="auto"/>
        <w:right w:val="none" w:sz="0" w:space="0" w:color="auto"/>
      </w:divBdr>
    </w:div>
    <w:div w:id="1397361856">
      <w:bodyDiv w:val="1"/>
      <w:marLeft w:val="0"/>
      <w:marRight w:val="0"/>
      <w:marTop w:val="0"/>
      <w:marBottom w:val="0"/>
      <w:divBdr>
        <w:top w:val="none" w:sz="0" w:space="0" w:color="auto"/>
        <w:left w:val="none" w:sz="0" w:space="0" w:color="auto"/>
        <w:bottom w:val="none" w:sz="0" w:space="0" w:color="auto"/>
        <w:right w:val="none" w:sz="0" w:space="0" w:color="auto"/>
      </w:divBdr>
    </w:div>
    <w:div w:id="2013725364">
      <w:bodyDiv w:val="1"/>
      <w:marLeft w:val="0"/>
      <w:marRight w:val="0"/>
      <w:marTop w:val="0"/>
      <w:marBottom w:val="0"/>
      <w:divBdr>
        <w:top w:val="none" w:sz="0" w:space="0" w:color="auto"/>
        <w:left w:val="none" w:sz="0" w:space="0" w:color="auto"/>
        <w:bottom w:val="none" w:sz="0" w:space="0" w:color="auto"/>
        <w:right w:val="none" w:sz="0" w:space="0" w:color="auto"/>
      </w:divBdr>
      <w:divsChild>
        <w:div w:id="1204908927">
          <w:marLeft w:val="15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single" w:sz="2" w:space="0" w:color="CCCCCC"/>
                <w:left w:val="single" w:sz="2" w:space="0" w:color="CCCCCC"/>
                <w:bottom w:val="single" w:sz="2" w:space="0" w:color="CCCCCC"/>
                <w:right w:val="single" w:sz="2" w:space="0" w:color="CCCCCC"/>
              </w:divBdr>
              <w:divsChild>
                <w:div w:id="58945578">
                  <w:marLeft w:val="0"/>
                  <w:marRight w:val="0"/>
                  <w:marTop w:val="0"/>
                  <w:marBottom w:val="0"/>
                  <w:divBdr>
                    <w:top w:val="single" w:sz="2" w:space="8" w:color="000000"/>
                    <w:left w:val="single" w:sz="2" w:space="15" w:color="000000"/>
                    <w:bottom w:val="single" w:sz="2" w:space="0" w:color="000000"/>
                    <w:right w:val="single" w:sz="2" w:space="15"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 Desop Technolog</dc:creator>
  <cp:keywords/>
  <dc:description/>
  <cp:lastModifiedBy>EIE Desktop Technologies</cp:lastModifiedBy>
  <cp:revision>2</cp:revision>
  <cp:lastPrinted>2012-10-18T19:30:00Z</cp:lastPrinted>
  <dcterms:created xsi:type="dcterms:W3CDTF">2012-10-29T03:27:00Z</dcterms:created>
  <dcterms:modified xsi:type="dcterms:W3CDTF">2012-10-29T03:27:00Z</dcterms:modified>
</cp:coreProperties>
</file>