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9" w:rsidRPr="001913A7" w:rsidRDefault="008C0BB6" w:rsidP="001913A7">
      <w:r>
        <w:t xml:space="preserve">October </w:t>
      </w:r>
      <w:r w:rsidR="001D0DE2">
        <w:t>15,</w:t>
      </w:r>
      <w:r w:rsidR="00313F99" w:rsidRPr="001913A7">
        <w:t xml:space="preserve"> 20</w:t>
      </w:r>
      <w:r w:rsidR="00122BBF" w:rsidRPr="001913A7">
        <w:t>1</w:t>
      </w:r>
      <w:r w:rsidR="006E524D">
        <w:t>2</w:t>
      </w:r>
    </w:p>
    <w:p w:rsidR="003911C8" w:rsidRPr="001913A7" w:rsidRDefault="003911C8" w:rsidP="001913A7"/>
    <w:p w:rsidR="00313F99" w:rsidRPr="001913A7" w:rsidRDefault="00313F99" w:rsidP="001913A7">
      <w:r w:rsidRPr="001913A7">
        <w:t>TO:</w:t>
      </w:r>
      <w:r w:rsidR="00FD223D">
        <w:tab/>
        <w:t xml:space="preserve">       </w:t>
      </w:r>
      <w:r w:rsidRPr="001913A7">
        <w:t>NIH Staff</w:t>
      </w:r>
    </w:p>
    <w:p w:rsidR="00313F99" w:rsidRPr="001913A7" w:rsidRDefault="00313F99" w:rsidP="001913A7"/>
    <w:p w:rsidR="00313F99" w:rsidRPr="001913A7" w:rsidRDefault="00313F99" w:rsidP="001913A7">
      <w:r w:rsidRPr="001913A7">
        <w:t xml:space="preserve">FROM:  </w:t>
      </w:r>
      <w:r w:rsidR="003911C8" w:rsidRPr="001913A7">
        <w:t xml:space="preserve">      </w:t>
      </w:r>
      <w:r w:rsidR="001D0DE2">
        <w:t>Acting</w:t>
      </w:r>
      <w:r w:rsidR="00122BBF" w:rsidRPr="001913A7">
        <w:t xml:space="preserve"> </w:t>
      </w:r>
      <w:r w:rsidRPr="001913A7">
        <w:t>Chief, Benefits and Payroll Liaison Branch</w:t>
      </w:r>
    </w:p>
    <w:p w:rsidR="00313F99" w:rsidRPr="001913A7" w:rsidRDefault="00313F99" w:rsidP="001913A7"/>
    <w:p w:rsidR="00313F99" w:rsidRPr="001913A7" w:rsidRDefault="003911C8" w:rsidP="001913A7">
      <w:r w:rsidRPr="001913A7">
        <w:t>SUBJECT:</w:t>
      </w:r>
      <w:r w:rsidR="006E524D">
        <w:t xml:space="preserve"> </w:t>
      </w:r>
      <w:r w:rsidRPr="001913A7">
        <w:t xml:space="preserve"> </w:t>
      </w:r>
      <w:bookmarkStart w:id="0" w:name="OLE_LINK1"/>
      <w:bookmarkStart w:id="1" w:name="OLE_LINK2"/>
      <w:r w:rsidR="00FD223D">
        <w:t xml:space="preserve">  </w:t>
      </w:r>
      <w:r w:rsidR="00313F99" w:rsidRPr="001913A7">
        <w:t>Annual Leave</w:t>
      </w:r>
      <w:r w:rsidR="00122BBF" w:rsidRPr="001913A7">
        <w:t xml:space="preserve"> </w:t>
      </w:r>
      <w:bookmarkEnd w:id="0"/>
      <w:bookmarkEnd w:id="1"/>
      <w:r w:rsidR="00122BBF" w:rsidRPr="001913A7">
        <w:t>– Use It or Donate It!</w:t>
      </w:r>
    </w:p>
    <w:p w:rsidR="000C5DAD" w:rsidRPr="001913A7" w:rsidRDefault="000C5DAD" w:rsidP="001913A7"/>
    <w:p w:rsidR="00313F99" w:rsidRPr="001913A7" w:rsidRDefault="000C5DAD" w:rsidP="001913A7">
      <w:r w:rsidRPr="001913A7">
        <w:t>At this time of year, employees should review their annual leave balances, with the carryover (240 hours for non-SES members) limitation in mind.  Annual leave in excess of the carryover limitation is consider</w:t>
      </w:r>
      <w:r w:rsidR="000C6A81" w:rsidRPr="001913A7">
        <w:t>ed</w:t>
      </w:r>
      <w:r w:rsidRPr="001913A7">
        <w:t xml:space="preserve"> “use or lose” annual leave and must be used before the end of the leave year </w:t>
      </w:r>
      <w:r w:rsidRPr="00EC38DF">
        <w:t>(</w:t>
      </w:r>
      <w:r w:rsidR="00AA0C38" w:rsidRPr="00FD223D">
        <w:rPr>
          <w:b/>
        </w:rPr>
        <w:t xml:space="preserve">Saturday, </w:t>
      </w:r>
      <w:r w:rsidR="006E524D" w:rsidRPr="00FD223D">
        <w:rPr>
          <w:b/>
        </w:rPr>
        <w:t>January</w:t>
      </w:r>
      <w:r w:rsidRPr="00FD223D">
        <w:rPr>
          <w:b/>
        </w:rPr>
        <w:t xml:space="preserve"> 1</w:t>
      </w:r>
      <w:r w:rsidR="008C0BB6" w:rsidRPr="00FD223D">
        <w:rPr>
          <w:b/>
        </w:rPr>
        <w:t>2</w:t>
      </w:r>
      <w:r w:rsidRPr="00FD223D">
        <w:rPr>
          <w:b/>
        </w:rPr>
        <w:t>, 201</w:t>
      </w:r>
      <w:r w:rsidR="006E524D" w:rsidRPr="00FD223D">
        <w:rPr>
          <w:b/>
        </w:rPr>
        <w:t>3</w:t>
      </w:r>
      <w:r w:rsidRPr="00EC38DF">
        <w:t>)</w:t>
      </w:r>
      <w:r w:rsidRPr="001913A7">
        <w:t xml:space="preserve"> to avoid forfeiture.  </w:t>
      </w:r>
      <w:bookmarkStart w:id="2" w:name="_GoBack"/>
      <w:bookmarkEnd w:id="2"/>
    </w:p>
    <w:p w:rsidR="00313F99" w:rsidRPr="001913A7" w:rsidRDefault="00313F99" w:rsidP="001913A7"/>
    <w:p w:rsidR="00313F99" w:rsidRPr="001913A7" w:rsidRDefault="0006271E" w:rsidP="001913A7">
      <w:r w:rsidRPr="001913A7">
        <w:t>Supervisors are to assist employees in planning and scheduling the use of annual lea</w:t>
      </w:r>
      <w:r w:rsidR="000C5DAD" w:rsidRPr="001913A7">
        <w:t xml:space="preserve">ve during the </w:t>
      </w:r>
      <w:r w:rsidR="00EC329C" w:rsidRPr="001913A7">
        <w:t xml:space="preserve">entire leave year.  </w:t>
      </w:r>
      <w:r w:rsidRPr="001913A7">
        <w:t>If circumstances arise which prevent an employee from taking previously approved leave</w:t>
      </w:r>
      <w:r w:rsidR="00597813" w:rsidRPr="001913A7">
        <w:t xml:space="preserve"> due to </w:t>
      </w:r>
      <w:r w:rsidR="000C5DAD" w:rsidRPr="001913A7">
        <w:t>sickness,</w:t>
      </w:r>
      <w:r w:rsidR="00597813" w:rsidRPr="001913A7">
        <w:t xml:space="preserve"> </w:t>
      </w:r>
      <w:r w:rsidR="000C5DAD" w:rsidRPr="001913A7">
        <w:t>an administrative error or an exigency of public busi</w:t>
      </w:r>
      <w:r w:rsidR="00597813" w:rsidRPr="001913A7">
        <w:t xml:space="preserve">ness, the leave may be restored.  </w:t>
      </w:r>
      <w:r w:rsidR="00313F99" w:rsidRPr="001913A7">
        <w:t xml:space="preserve">In order for leave to be considered for restoration, </w:t>
      </w:r>
      <w:r w:rsidR="008F6054" w:rsidRPr="001913A7">
        <w:t>the leave</w:t>
      </w:r>
      <w:r w:rsidR="00313F99" w:rsidRPr="001913A7">
        <w:t xml:space="preserve"> must be</w:t>
      </w:r>
      <w:r w:rsidR="007D146A" w:rsidRPr="001913A7">
        <w:t xml:space="preserve">: </w:t>
      </w:r>
      <w:r w:rsidR="00537BBC" w:rsidRPr="001913A7">
        <w:t>1)</w:t>
      </w:r>
      <w:r w:rsidR="00313F99" w:rsidRPr="001913A7">
        <w:t xml:space="preserve"> requested</w:t>
      </w:r>
      <w:r w:rsidR="007D146A" w:rsidRPr="001913A7">
        <w:t xml:space="preserve"> </w:t>
      </w:r>
      <w:r w:rsidR="008F6054" w:rsidRPr="001913A7">
        <w:t xml:space="preserve">and approved </w:t>
      </w:r>
      <w:r w:rsidR="0067312B" w:rsidRPr="001913A7">
        <w:t xml:space="preserve">in ITAS </w:t>
      </w:r>
      <w:r w:rsidR="00313F99" w:rsidRPr="001913A7">
        <w:t>before the start of the third biweekly pay period prior to the end of the leave year</w:t>
      </w:r>
      <w:r w:rsidR="0067312B" w:rsidRPr="001913A7">
        <w:t>;</w:t>
      </w:r>
      <w:r w:rsidR="002E20EF" w:rsidRPr="001913A7">
        <w:t xml:space="preserve"> </w:t>
      </w:r>
      <w:r w:rsidR="0067312B" w:rsidRPr="001913A7">
        <w:t xml:space="preserve">2) </w:t>
      </w:r>
      <w:r w:rsidR="008F6054" w:rsidRPr="001913A7">
        <w:t>cancelle</w:t>
      </w:r>
      <w:r w:rsidR="0067312B" w:rsidRPr="001913A7">
        <w:t>d by the supervisor</w:t>
      </w:r>
      <w:r w:rsidR="008F6054" w:rsidRPr="001913A7">
        <w:t xml:space="preserve">; and 3) </w:t>
      </w:r>
      <w:r w:rsidR="007A5EA0" w:rsidRPr="001913A7">
        <w:t>cannot</w:t>
      </w:r>
      <w:r w:rsidR="002E20EF" w:rsidRPr="001913A7">
        <w:t xml:space="preserve"> be rescheduled prior to</w:t>
      </w:r>
      <w:r w:rsidR="0067312B" w:rsidRPr="001913A7">
        <w:t xml:space="preserve"> the end of the leave year</w:t>
      </w:r>
      <w:r w:rsidR="008F6054" w:rsidRPr="001913A7">
        <w:t xml:space="preserve">.  </w:t>
      </w:r>
      <w:r w:rsidR="00EC329C" w:rsidRPr="001913A7">
        <w:t>T</w:t>
      </w:r>
      <w:r w:rsidR="008F6054" w:rsidRPr="001913A7">
        <w:t>herefore, “u</w:t>
      </w:r>
      <w:r w:rsidR="00313F99" w:rsidRPr="001913A7">
        <w:t xml:space="preserve">se or </w:t>
      </w:r>
      <w:r w:rsidR="008F6054" w:rsidRPr="001913A7">
        <w:t>l</w:t>
      </w:r>
      <w:r w:rsidR="00313F99" w:rsidRPr="001913A7">
        <w:t xml:space="preserve">ose” </w:t>
      </w:r>
      <w:r w:rsidRPr="001913A7">
        <w:t xml:space="preserve">annual </w:t>
      </w:r>
      <w:r w:rsidR="00313F99" w:rsidRPr="001913A7">
        <w:t xml:space="preserve">leave must be scheduled no later than </w:t>
      </w:r>
      <w:r w:rsidR="00313F99" w:rsidRPr="00FD223D">
        <w:rPr>
          <w:b/>
          <w:bCs/>
        </w:rPr>
        <w:t xml:space="preserve">Saturday, </w:t>
      </w:r>
      <w:r w:rsidR="006E524D" w:rsidRPr="00FD223D">
        <w:rPr>
          <w:b/>
          <w:bCs/>
        </w:rPr>
        <w:t>December 1,</w:t>
      </w:r>
      <w:r w:rsidR="00313F99" w:rsidRPr="00FD223D">
        <w:rPr>
          <w:b/>
          <w:bCs/>
        </w:rPr>
        <w:t xml:space="preserve"> </w:t>
      </w:r>
      <w:r w:rsidR="0067312B" w:rsidRPr="00FD223D">
        <w:rPr>
          <w:b/>
          <w:bCs/>
        </w:rPr>
        <w:t>201</w:t>
      </w:r>
      <w:r w:rsidR="006E524D" w:rsidRPr="00FD223D">
        <w:rPr>
          <w:b/>
          <w:bCs/>
        </w:rPr>
        <w:t>2</w:t>
      </w:r>
      <w:r w:rsidR="00313F99" w:rsidRPr="001913A7">
        <w:t>.</w:t>
      </w:r>
    </w:p>
    <w:p w:rsidR="00313F99" w:rsidRPr="001913A7" w:rsidRDefault="00313F99" w:rsidP="001913A7"/>
    <w:p w:rsidR="003B53B3" w:rsidRPr="001913A7" w:rsidRDefault="00597813" w:rsidP="001913A7">
      <w:r w:rsidRPr="001913A7">
        <w:t xml:space="preserve">Employees </w:t>
      </w:r>
      <w:r w:rsidR="00313F99" w:rsidRPr="001913A7">
        <w:t xml:space="preserve">may also consider </w:t>
      </w:r>
      <w:r w:rsidR="008F6054" w:rsidRPr="001913A7">
        <w:t>a leave donation</w:t>
      </w:r>
      <w:r w:rsidR="00313F99" w:rsidRPr="001913A7">
        <w:t xml:space="preserve"> under the Voluntary Leave Transfer Program (VLTP)</w:t>
      </w:r>
      <w:r w:rsidR="00D3529E" w:rsidRPr="001913A7">
        <w:t xml:space="preserve"> or the Voluntary Leave Bank Program</w:t>
      </w:r>
      <w:r w:rsidR="00313F99" w:rsidRPr="001913A7">
        <w:t>.  Th</w:t>
      </w:r>
      <w:r w:rsidR="00D3529E" w:rsidRPr="001913A7">
        <w:t>e</w:t>
      </w:r>
      <w:r w:rsidR="00313F99" w:rsidRPr="001913A7">
        <w:t>s</w:t>
      </w:r>
      <w:r w:rsidR="00D3529E" w:rsidRPr="001913A7">
        <w:t>e</w:t>
      </w:r>
      <w:r w:rsidR="00313F99" w:rsidRPr="001913A7">
        <w:t xml:space="preserve"> program</w:t>
      </w:r>
      <w:r w:rsidR="00D3529E" w:rsidRPr="001913A7">
        <w:t>s allow</w:t>
      </w:r>
      <w:r w:rsidRPr="001913A7">
        <w:t xml:space="preserve"> employees </w:t>
      </w:r>
      <w:r w:rsidR="00313F99" w:rsidRPr="001913A7">
        <w:t xml:space="preserve">to donate accrued annual leave to others who are faced with a personal or family medical emergency.  </w:t>
      </w:r>
      <w:r w:rsidR="008F6054" w:rsidRPr="001913A7">
        <w:t>NIH colleagues</w:t>
      </w:r>
      <w:r w:rsidR="00313F99" w:rsidRPr="001913A7">
        <w:t xml:space="preserve"> who have been approved for </w:t>
      </w:r>
      <w:r w:rsidR="00D3529E" w:rsidRPr="001913A7">
        <w:t>either program</w:t>
      </w:r>
      <w:r w:rsidR="00313F99" w:rsidRPr="001913A7">
        <w:t xml:space="preserve"> have exhausted their own leave and have a medical emergency that prevents them from working. </w:t>
      </w:r>
      <w:r w:rsidR="00D3529E" w:rsidRPr="001913A7">
        <w:t xml:space="preserve">VLTP donations are </w:t>
      </w:r>
      <w:r w:rsidR="005608C5" w:rsidRPr="001913A7">
        <w:t xml:space="preserve">made </w:t>
      </w:r>
      <w:r w:rsidR="00D3529E" w:rsidRPr="001913A7">
        <w:t xml:space="preserve">to specific individuals, </w:t>
      </w:r>
      <w:r w:rsidRPr="001913A7">
        <w:t xml:space="preserve">while </w:t>
      </w:r>
      <w:r w:rsidR="00D3529E" w:rsidRPr="001913A7">
        <w:t xml:space="preserve">Leave Bank donations are </w:t>
      </w:r>
      <w:r w:rsidR="005608C5" w:rsidRPr="001913A7">
        <w:t xml:space="preserve">made </w:t>
      </w:r>
      <w:r w:rsidR="00D3529E" w:rsidRPr="001913A7">
        <w:t>to a “</w:t>
      </w:r>
      <w:r w:rsidR="005608C5" w:rsidRPr="001913A7">
        <w:t>pool</w:t>
      </w:r>
      <w:r w:rsidR="00D3529E" w:rsidRPr="001913A7">
        <w:t xml:space="preserve">” </w:t>
      </w:r>
      <w:r w:rsidR="005608C5" w:rsidRPr="001913A7">
        <w:t>from which</w:t>
      </w:r>
      <w:r w:rsidR="00D3529E" w:rsidRPr="001913A7">
        <w:t xml:space="preserve"> leave bank members</w:t>
      </w:r>
      <w:r w:rsidR="005608C5" w:rsidRPr="001913A7">
        <w:t xml:space="preserve"> can withdraw leave</w:t>
      </w:r>
      <w:r w:rsidR="00D3529E" w:rsidRPr="001913A7">
        <w:t xml:space="preserve">.  </w:t>
      </w:r>
      <w:r w:rsidR="00A541C5" w:rsidRPr="001913A7">
        <w:t>The Leave Bank can accept annual leave donations from any NIH employee; however, only NCI, NIAID and NHGRI employees are eligible to become members and receive donations during leave year 201</w:t>
      </w:r>
      <w:r w:rsidR="006E524D">
        <w:t>3</w:t>
      </w:r>
      <w:r w:rsidR="00A541C5" w:rsidRPr="001913A7">
        <w:t xml:space="preserve">.  </w:t>
      </w:r>
      <w:r w:rsidRPr="001913A7">
        <w:t>I</w:t>
      </w:r>
      <w:r w:rsidR="00313F99" w:rsidRPr="001913A7">
        <w:t>f you have “</w:t>
      </w:r>
      <w:r w:rsidR="008F6054" w:rsidRPr="001913A7">
        <w:t>u</w:t>
      </w:r>
      <w:r w:rsidR="00313F99" w:rsidRPr="001913A7">
        <w:t xml:space="preserve">se or </w:t>
      </w:r>
      <w:r w:rsidR="008F6054" w:rsidRPr="001913A7">
        <w:t>l</w:t>
      </w:r>
      <w:r w:rsidR="00313F99" w:rsidRPr="001913A7">
        <w:t xml:space="preserve">ose” leave that you </w:t>
      </w:r>
      <w:r w:rsidR="008F6054" w:rsidRPr="001913A7">
        <w:t>don’</w:t>
      </w:r>
      <w:r w:rsidR="00313F99" w:rsidRPr="001913A7">
        <w:t xml:space="preserve">t </w:t>
      </w:r>
      <w:r w:rsidR="008F6054" w:rsidRPr="001913A7">
        <w:t xml:space="preserve">plan </w:t>
      </w:r>
      <w:r w:rsidR="000C6A81" w:rsidRPr="001913A7">
        <w:t xml:space="preserve">to </w:t>
      </w:r>
      <w:r w:rsidR="00313F99" w:rsidRPr="001913A7">
        <w:t xml:space="preserve">use this year, please consider </w:t>
      </w:r>
      <w:r w:rsidR="008F6054" w:rsidRPr="001913A7">
        <w:t xml:space="preserve">a donation </w:t>
      </w:r>
      <w:r w:rsidR="005608C5" w:rsidRPr="001913A7">
        <w:t>to others in need</w:t>
      </w:r>
      <w:r w:rsidR="008F6054" w:rsidRPr="001913A7">
        <w:t xml:space="preserve"> of paid leave</w:t>
      </w:r>
      <w:r w:rsidR="005608C5" w:rsidRPr="001913A7">
        <w:t xml:space="preserve">.  </w:t>
      </w:r>
    </w:p>
    <w:p w:rsidR="003B53B3" w:rsidRPr="001913A7" w:rsidRDefault="003B53B3" w:rsidP="001913A7"/>
    <w:p w:rsidR="00313F99" w:rsidRPr="001913A7" w:rsidRDefault="00597813" w:rsidP="001913A7">
      <w:r w:rsidRPr="001913A7">
        <w:t xml:space="preserve">For more information, please visit </w:t>
      </w:r>
      <w:r w:rsidR="00D31CB4">
        <w:t xml:space="preserve">the </w:t>
      </w:r>
      <w:hyperlink r:id="rId9" w:history="1">
        <w:r w:rsidR="00D31CB4" w:rsidRPr="00D31CB4">
          <w:rPr>
            <w:rStyle w:val="Hyperlink"/>
          </w:rPr>
          <w:t>NIH Voluntary Leave Transfer Program</w:t>
        </w:r>
      </w:hyperlink>
      <w:r w:rsidR="00D31CB4" w:rsidRPr="00D31CB4">
        <w:t xml:space="preserve"> web</w:t>
      </w:r>
      <w:r w:rsidR="00A95C9D">
        <w:t>page</w:t>
      </w:r>
      <w:r w:rsidR="00D31CB4">
        <w:t xml:space="preserve"> </w:t>
      </w:r>
      <w:r w:rsidR="00D3529E" w:rsidRPr="001913A7">
        <w:t xml:space="preserve">or </w:t>
      </w:r>
      <w:r w:rsidR="00D31CB4">
        <w:t xml:space="preserve">the </w:t>
      </w:r>
      <w:hyperlink r:id="rId10" w:history="1">
        <w:r w:rsidR="00D31CB4" w:rsidRPr="00D31CB4">
          <w:rPr>
            <w:rStyle w:val="Hyperlink"/>
          </w:rPr>
          <w:t>NIH Leave Bank</w:t>
        </w:r>
      </w:hyperlink>
      <w:r w:rsidR="002F60C1">
        <w:t xml:space="preserve"> web</w:t>
      </w:r>
      <w:r w:rsidR="00A95C9D">
        <w:t>page</w:t>
      </w:r>
      <w:r w:rsidR="00D3529E" w:rsidRPr="001913A7">
        <w:t>.</w:t>
      </w:r>
      <w:r w:rsidR="003B53B3" w:rsidRPr="001913A7">
        <w:t xml:space="preserve">  Should you have questions regarding any of the above information, please contact your </w:t>
      </w:r>
      <w:r w:rsidR="006E524D">
        <w:t>Administrative Officer or VLTP C</w:t>
      </w:r>
      <w:r w:rsidR="003B53B3" w:rsidRPr="001913A7">
        <w:t>oordinator.  Remember to use</w:t>
      </w:r>
      <w:r w:rsidR="00AB3C66" w:rsidRPr="001913A7">
        <w:t xml:space="preserve"> it</w:t>
      </w:r>
      <w:r w:rsidR="003B53B3" w:rsidRPr="001913A7">
        <w:t xml:space="preserve"> or donate it…but don’t lose</w:t>
      </w:r>
      <w:r w:rsidR="00AB3C66" w:rsidRPr="001913A7">
        <w:t xml:space="preserve"> it</w:t>
      </w:r>
      <w:r w:rsidR="003B53B3" w:rsidRPr="001913A7">
        <w:t>!</w:t>
      </w:r>
    </w:p>
    <w:p w:rsidR="003B53B3" w:rsidRPr="001913A7" w:rsidRDefault="003B53B3" w:rsidP="001913A7"/>
    <w:p w:rsidR="00313F99" w:rsidRPr="001913A7" w:rsidRDefault="00313F99" w:rsidP="001913A7"/>
    <w:p w:rsidR="003911C8" w:rsidRPr="001913A7" w:rsidRDefault="003911C8" w:rsidP="00D31CB4">
      <w:pPr>
        <w:pStyle w:val="Header"/>
      </w:pPr>
      <w:r w:rsidRPr="001913A7">
        <w:t xml:space="preserve">  /</w:t>
      </w:r>
      <w:r w:rsidR="00313F99" w:rsidRPr="001913A7">
        <w:t>s/</w:t>
      </w:r>
    </w:p>
    <w:p w:rsidR="0047130E" w:rsidRPr="001913A7" w:rsidRDefault="00B02B99" w:rsidP="00D31CB4">
      <w:pPr>
        <w:pStyle w:val="Header"/>
      </w:pPr>
      <w:r w:rsidRPr="001913A7">
        <w:t xml:space="preserve">Brenda S. Morissette </w:t>
      </w:r>
    </w:p>
    <w:sectPr w:rsidR="0047130E" w:rsidRPr="001913A7" w:rsidSect="00391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96" w:rsidRDefault="00990B96">
      <w:r>
        <w:separator/>
      </w:r>
    </w:p>
  </w:endnote>
  <w:endnote w:type="continuationSeparator" w:id="0">
    <w:p w:rsidR="00990B96" w:rsidRDefault="009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AB" w:rsidRDefault="00FB5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AB" w:rsidRDefault="00FB5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AB" w:rsidRDefault="00FB5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96" w:rsidRDefault="00990B96">
      <w:r>
        <w:separator/>
      </w:r>
    </w:p>
  </w:footnote>
  <w:footnote w:type="continuationSeparator" w:id="0">
    <w:p w:rsidR="00990B96" w:rsidRDefault="0099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AB" w:rsidRDefault="00FB5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38" w:rsidRDefault="00424E38">
    <w:pPr>
      <w:pStyle w:val="Header"/>
      <w:ind w:left="1440" w:right="1440"/>
    </w:pPr>
  </w:p>
  <w:p w:rsidR="00424E38" w:rsidRDefault="00424E38">
    <w:pPr>
      <w:pStyle w:val="Header"/>
      <w:ind w:left="1440" w:right="1440"/>
    </w:pPr>
  </w:p>
  <w:p w:rsidR="00424E38" w:rsidRDefault="00424E38">
    <w:pPr>
      <w:pStyle w:val="Header"/>
      <w:ind w:left="1440" w:right="1440"/>
      <w:rPr>
        <w:rStyle w:val="PageNumber"/>
      </w:rPr>
    </w:pPr>
  </w:p>
  <w:p w:rsidR="00424E38" w:rsidRDefault="00424E38">
    <w:pPr>
      <w:pStyle w:val="Header"/>
      <w:ind w:left="1440" w:right="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38" w:rsidRDefault="00424E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-552450</wp:posOffset>
          </wp:positionV>
          <wp:extent cx="7448550" cy="1114425"/>
          <wp:effectExtent l="19050" t="0" r="0" b="0"/>
          <wp:wrapSquare wrapText="bothSides"/>
          <wp:docPr id="1" name="Picture 1" descr="NI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80"/>
    <w:multiLevelType w:val="singleLevel"/>
    <w:tmpl w:val="AB5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36099"/>
    <w:multiLevelType w:val="singleLevel"/>
    <w:tmpl w:val="AB5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431805"/>
    <w:multiLevelType w:val="singleLevel"/>
    <w:tmpl w:val="0060A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861CB"/>
    <w:multiLevelType w:val="singleLevel"/>
    <w:tmpl w:val="AB5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953ADE"/>
    <w:multiLevelType w:val="singleLevel"/>
    <w:tmpl w:val="AB5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2A6961"/>
    <w:multiLevelType w:val="singleLevel"/>
    <w:tmpl w:val="AB5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074C7F"/>
    <w:multiLevelType w:val="singleLevel"/>
    <w:tmpl w:val="0060A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4C0F60"/>
    <w:multiLevelType w:val="singleLevel"/>
    <w:tmpl w:val="0060A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8513F6"/>
    <w:multiLevelType w:val="singleLevel"/>
    <w:tmpl w:val="AB5A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30E"/>
    <w:rsid w:val="0001357F"/>
    <w:rsid w:val="0006271E"/>
    <w:rsid w:val="0008321A"/>
    <w:rsid w:val="000C5DAD"/>
    <w:rsid w:val="000C6A81"/>
    <w:rsid w:val="00122BBF"/>
    <w:rsid w:val="001913A7"/>
    <w:rsid w:val="001A0EF1"/>
    <w:rsid w:val="001B51E8"/>
    <w:rsid w:val="001D0DE2"/>
    <w:rsid w:val="001E755B"/>
    <w:rsid w:val="001F30DB"/>
    <w:rsid w:val="002058E3"/>
    <w:rsid w:val="00243248"/>
    <w:rsid w:val="002D2A72"/>
    <w:rsid w:val="002E20EF"/>
    <w:rsid w:val="002F60C1"/>
    <w:rsid w:val="003008E1"/>
    <w:rsid w:val="00313F99"/>
    <w:rsid w:val="003726D3"/>
    <w:rsid w:val="003911C8"/>
    <w:rsid w:val="00396A0D"/>
    <w:rsid w:val="003B53B3"/>
    <w:rsid w:val="003B6075"/>
    <w:rsid w:val="00424E38"/>
    <w:rsid w:val="0047130E"/>
    <w:rsid w:val="00473C5E"/>
    <w:rsid w:val="004804E6"/>
    <w:rsid w:val="004805A4"/>
    <w:rsid w:val="00500E2D"/>
    <w:rsid w:val="0051172C"/>
    <w:rsid w:val="00537BBC"/>
    <w:rsid w:val="00542926"/>
    <w:rsid w:val="00551C66"/>
    <w:rsid w:val="005608C5"/>
    <w:rsid w:val="00561349"/>
    <w:rsid w:val="00597813"/>
    <w:rsid w:val="005C7B5D"/>
    <w:rsid w:val="005E7EDA"/>
    <w:rsid w:val="00617C6E"/>
    <w:rsid w:val="006258C8"/>
    <w:rsid w:val="006277AD"/>
    <w:rsid w:val="0063492C"/>
    <w:rsid w:val="0067312B"/>
    <w:rsid w:val="00696FE5"/>
    <w:rsid w:val="006D0966"/>
    <w:rsid w:val="006E524D"/>
    <w:rsid w:val="0071752A"/>
    <w:rsid w:val="007A5EA0"/>
    <w:rsid w:val="007B4F56"/>
    <w:rsid w:val="007D146A"/>
    <w:rsid w:val="008659C2"/>
    <w:rsid w:val="0088356F"/>
    <w:rsid w:val="00883D0E"/>
    <w:rsid w:val="008C0BB6"/>
    <w:rsid w:val="008E212E"/>
    <w:rsid w:val="008F6054"/>
    <w:rsid w:val="0092660A"/>
    <w:rsid w:val="009715A4"/>
    <w:rsid w:val="00990B96"/>
    <w:rsid w:val="00992796"/>
    <w:rsid w:val="009A1D46"/>
    <w:rsid w:val="00A533CB"/>
    <w:rsid w:val="00A541C5"/>
    <w:rsid w:val="00A83F01"/>
    <w:rsid w:val="00A95C9D"/>
    <w:rsid w:val="00AA0C38"/>
    <w:rsid w:val="00AB3489"/>
    <w:rsid w:val="00AB3C66"/>
    <w:rsid w:val="00AD2CA9"/>
    <w:rsid w:val="00B02B99"/>
    <w:rsid w:val="00B34AAE"/>
    <w:rsid w:val="00B72B35"/>
    <w:rsid w:val="00B91008"/>
    <w:rsid w:val="00BA4257"/>
    <w:rsid w:val="00BB25D9"/>
    <w:rsid w:val="00BE017B"/>
    <w:rsid w:val="00C10B3F"/>
    <w:rsid w:val="00C84139"/>
    <w:rsid w:val="00CE16D0"/>
    <w:rsid w:val="00CF2D87"/>
    <w:rsid w:val="00D31CB4"/>
    <w:rsid w:val="00D3529E"/>
    <w:rsid w:val="00D528E7"/>
    <w:rsid w:val="00DE4007"/>
    <w:rsid w:val="00E2357B"/>
    <w:rsid w:val="00E45246"/>
    <w:rsid w:val="00EC329C"/>
    <w:rsid w:val="00EC38DF"/>
    <w:rsid w:val="00F4148C"/>
    <w:rsid w:val="00F63BB6"/>
    <w:rsid w:val="00FB54AB"/>
    <w:rsid w:val="00FC7F7E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3A7"/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qFormat/>
    <w:rsid w:val="001F30DB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CB4"/>
    <w:pPr>
      <w:tabs>
        <w:tab w:val="center" w:pos="4320"/>
        <w:tab w:val="right" w:pos="8640"/>
      </w:tabs>
      <w:jc w:val="center"/>
    </w:pPr>
  </w:style>
  <w:style w:type="paragraph" w:styleId="Footer">
    <w:name w:val="footer"/>
    <w:basedOn w:val="Normal"/>
    <w:rsid w:val="001F3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0DB"/>
  </w:style>
  <w:style w:type="paragraph" w:styleId="BalloonText">
    <w:name w:val="Balloon Text"/>
    <w:basedOn w:val="Normal"/>
    <w:semiHidden/>
    <w:rsid w:val="006349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4F56"/>
    <w:rPr>
      <w:color w:val="0000FF"/>
      <w:u w:val="single"/>
    </w:rPr>
  </w:style>
  <w:style w:type="character" w:styleId="FollowedHyperlink">
    <w:name w:val="FollowedHyperlink"/>
    <w:basedOn w:val="DefaultParagraphFont"/>
    <w:rsid w:val="007B4F56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7A5E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5EA0"/>
  </w:style>
  <w:style w:type="paragraph" w:styleId="CommentSubject">
    <w:name w:val="annotation subject"/>
    <w:basedOn w:val="CommentText"/>
    <w:next w:val="CommentText"/>
    <w:link w:val="CommentSubjectChar"/>
    <w:rsid w:val="007A5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r.od.nih.gov/benefits/leave/vlbp/defaul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hr.od.nih.gov/vltp/default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E%20TEMPLATES\NI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40D4-9693-4BCE-B9D3-8B3F6A27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NIH Letterhead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or Lose Memo</vt:lpstr>
    </vt:vector>
  </TitlesOfParts>
  <Company>OD/OIT</Company>
  <LinksUpToDate>false</LinksUpToDate>
  <CharactersWithSpaces>2535</CharactersWithSpaces>
  <SharedDoc>false</SharedDoc>
  <HLinks>
    <vt:vector size="6" baseType="variant"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http://intrahr.od.nih.gov/vltp/default.htm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or Lose Memo</dc:title>
  <dc:creator>NIH/OHR/BPLB</dc:creator>
  <cp:keywords>Annual Leave, donate leave, use or lose, leave, end of year, leave balance, 240 carryover, voluntary leave transfer program, leave transfer, leave bank, VLTP</cp:keywords>
  <cp:lastModifiedBy>Rappaport, Stacie (NIH/OD) [E]</cp:lastModifiedBy>
  <cp:revision>2</cp:revision>
  <cp:lastPrinted>2011-11-02T18:29:00Z</cp:lastPrinted>
  <dcterms:created xsi:type="dcterms:W3CDTF">2012-10-15T19:32:00Z</dcterms:created>
  <dcterms:modified xsi:type="dcterms:W3CDTF">2012-10-15T19:32:00Z</dcterms:modified>
</cp:coreProperties>
</file>