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shd w:val="clear" w:color="auto" w:fill="FFFFFF"/>
        <w:tblCellMar>
          <w:left w:w="0" w:type="dxa"/>
          <w:right w:w="0" w:type="dxa"/>
        </w:tblCellMar>
        <w:tblLook w:val="04A0"/>
      </w:tblPr>
      <w:tblGrid>
        <w:gridCol w:w="9360"/>
      </w:tblGrid>
      <w:tr w:rsidR="00E44A99" w:rsidTr="00E44A99">
        <w:trPr>
          <w:tblCellSpacing w:w="0" w:type="dxa"/>
          <w:jc w:val="center"/>
        </w:trPr>
        <w:tc>
          <w:tcPr>
            <w:tcW w:w="0" w:type="auto"/>
            <w:shd w:val="clear" w:color="auto" w:fill="102B5D"/>
            <w:vAlign w:val="center"/>
            <w:hideMark/>
          </w:tcPr>
          <w:p w:rsidR="00E44A99" w:rsidRDefault="00E44A99">
            <w:pPr>
              <w:jc w:val="center"/>
            </w:pPr>
            <w:r>
              <w:rPr>
                <w:rFonts w:ascii="Arial" w:hAnsi="Arial" w:cs="Arial"/>
                <w:noProof/>
                <w:color w:val="0089C4"/>
                <w:sz w:val="20"/>
                <w:szCs w:val="20"/>
              </w:rPr>
              <w:drawing>
                <wp:inline distT="0" distB="0" distL="0" distR="0">
                  <wp:extent cx="5715000" cy="838200"/>
                  <wp:effectExtent l="19050" t="0" r="0" b="0"/>
                  <wp:docPr id="1" name="Picture 1" descr="House Committee on Ways and Mea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Committee on Ways and Means"/>
                          <pic:cNvPicPr>
                            <a:picLocks noChangeAspect="1" noChangeArrowheads="1"/>
                          </pic:cNvPicPr>
                        </pic:nvPicPr>
                        <pic:blipFill>
                          <a:blip r:embed="rId6" cstate="print"/>
                          <a:srcRect/>
                          <a:stretch>
                            <a:fillRect/>
                          </a:stretch>
                        </pic:blipFill>
                        <pic:spPr bwMode="auto">
                          <a:xfrm>
                            <a:off x="0" y="0"/>
                            <a:ext cx="5715000" cy="838200"/>
                          </a:xfrm>
                          <a:prstGeom prst="rect">
                            <a:avLst/>
                          </a:prstGeom>
                          <a:noFill/>
                          <a:ln w="9525">
                            <a:noFill/>
                            <a:miter lim="800000"/>
                            <a:headEnd/>
                            <a:tailEnd/>
                          </a:ln>
                        </pic:spPr>
                      </pic:pic>
                    </a:graphicData>
                  </a:graphic>
                </wp:inline>
              </w:drawing>
            </w:r>
          </w:p>
        </w:tc>
      </w:tr>
      <w:tr w:rsidR="00E44A99" w:rsidTr="00E44A99">
        <w:trPr>
          <w:tblCellSpacing w:w="0" w:type="dxa"/>
          <w:jc w:val="center"/>
        </w:trPr>
        <w:tc>
          <w:tcPr>
            <w:tcW w:w="0" w:type="auto"/>
            <w:shd w:val="clear" w:color="auto" w:fill="DEB54C"/>
            <w:tcMar>
              <w:top w:w="0" w:type="dxa"/>
              <w:left w:w="300" w:type="dxa"/>
              <w:bottom w:w="0" w:type="dxa"/>
              <w:right w:w="300" w:type="dxa"/>
            </w:tcMar>
            <w:vAlign w:val="center"/>
            <w:hideMark/>
          </w:tcPr>
          <w:tbl>
            <w:tblPr>
              <w:tblW w:w="5000" w:type="pct"/>
              <w:jc w:val="center"/>
              <w:tblCellSpacing w:w="15" w:type="dxa"/>
              <w:tblCellMar>
                <w:left w:w="0" w:type="dxa"/>
                <w:right w:w="0" w:type="dxa"/>
              </w:tblCellMar>
              <w:tblLook w:val="04A0"/>
            </w:tblPr>
            <w:tblGrid>
              <w:gridCol w:w="5098"/>
              <w:gridCol w:w="3662"/>
            </w:tblGrid>
            <w:tr w:rsidR="00E44A99">
              <w:trPr>
                <w:trHeight w:val="540"/>
                <w:tblCellSpacing w:w="15" w:type="dxa"/>
                <w:jc w:val="center"/>
              </w:trPr>
              <w:tc>
                <w:tcPr>
                  <w:tcW w:w="0" w:type="auto"/>
                  <w:tcMar>
                    <w:top w:w="15" w:type="dxa"/>
                    <w:left w:w="15" w:type="dxa"/>
                    <w:bottom w:w="15" w:type="dxa"/>
                    <w:right w:w="15" w:type="dxa"/>
                  </w:tcMar>
                  <w:vAlign w:val="center"/>
                  <w:hideMark/>
                </w:tcPr>
                <w:p w:rsidR="00E44A99" w:rsidRDefault="00E44A99">
                  <w:pPr>
                    <w:spacing w:line="540" w:lineRule="atLeast"/>
                    <w:rPr>
                      <w:rFonts w:ascii="Arial" w:hAnsi="Arial" w:cs="Arial"/>
                      <w:b/>
                      <w:bCs/>
                      <w:color w:val="01184A"/>
                    </w:rPr>
                  </w:pPr>
                  <w:r>
                    <w:rPr>
                      <w:rFonts w:ascii="Arial" w:hAnsi="Arial" w:cs="Arial"/>
                      <w:b/>
                      <w:bCs/>
                      <w:color w:val="01184A"/>
                      <w:sz w:val="20"/>
                      <w:szCs w:val="20"/>
                    </w:rPr>
                    <w:t xml:space="preserve">The Prescription Pad </w:t>
                  </w:r>
                </w:p>
              </w:tc>
              <w:tc>
                <w:tcPr>
                  <w:tcW w:w="0" w:type="auto"/>
                  <w:tcMar>
                    <w:top w:w="15" w:type="dxa"/>
                    <w:left w:w="15" w:type="dxa"/>
                    <w:bottom w:w="15" w:type="dxa"/>
                    <w:right w:w="15" w:type="dxa"/>
                  </w:tcMar>
                  <w:vAlign w:val="center"/>
                  <w:hideMark/>
                </w:tcPr>
                <w:p w:rsidR="00E44A99" w:rsidRDefault="00E44A99">
                  <w:pPr>
                    <w:spacing w:line="540" w:lineRule="atLeast"/>
                    <w:jc w:val="right"/>
                    <w:rPr>
                      <w:rFonts w:ascii="Arial" w:hAnsi="Arial" w:cs="Arial"/>
                      <w:b/>
                      <w:bCs/>
                      <w:color w:val="01184A"/>
                    </w:rPr>
                  </w:pPr>
                  <w:r>
                    <w:rPr>
                      <w:rFonts w:ascii="Arial" w:hAnsi="Arial" w:cs="Arial"/>
                      <w:b/>
                      <w:bCs/>
                      <w:color w:val="01184A"/>
                      <w:sz w:val="20"/>
                      <w:szCs w:val="20"/>
                    </w:rPr>
                    <w:t xml:space="preserve">March 22, 2012 </w:t>
                  </w:r>
                </w:p>
              </w:tc>
            </w:tr>
          </w:tbl>
          <w:p w:rsidR="00E44A99" w:rsidRDefault="00E44A99">
            <w:pPr>
              <w:jc w:val="center"/>
              <w:rPr>
                <w:rFonts w:eastAsia="Times New Roman"/>
                <w:sz w:val="20"/>
                <w:szCs w:val="20"/>
              </w:rPr>
            </w:pPr>
          </w:p>
        </w:tc>
      </w:tr>
      <w:tr w:rsidR="00E44A99" w:rsidTr="00E44A99">
        <w:trPr>
          <w:tblCellSpacing w:w="0" w:type="dxa"/>
          <w:jc w:val="center"/>
        </w:trPr>
        <w:tc>
          <w:tcPr>
            <w:tcW w:w="0" w:type="auto"/>
            <w:tcBorders>
              <w:top w:val="nil"/>
              <w:left w:val="nil"/>
              <w:bottom w:val="single" w:sz="8" w:space="0" w:color="DEB54C"/>
              <w:right w:val="nil"/>
            </w:tcBorders>
            <w:shd w:val="clear" w:color="auto" w:fill="FFFFFF"/>
            <w:vAlign w:val="center"/>
            <w:hideMark/>
          </w:tcPr>
          <w:p w:rsidR="00E44A99" w:rsidRDefault="00E44A99">
            <w:r>
              <w:rPr>
                <w:rFonts w:ascii="Arial" w:hAnsi="Arial" w:cs="Arial"/>
                <w:noProof/>
                <w:color w:val="0089C4"/>
                <w:sz w:val="20"/>
                <w:szCs w:val="20"/>
              </w:rPr>
              <w:drawing>
                <wp:inline distT="0" distB="0" distL="0" distR="0">
                  <wp:extent cx="6257925" cy="952500"/>
                  <wp:effectExtent l="19050" t="0" r="9525" b="0"/>
                  <wp:docPr id="2" name="Picture 2" descr="http://republicans.waysandmeans.house.gov/images/healthhead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publicans.waysandmeans.house.gov/images/healthheader.jpg"/>
                          <pic:cNvPicPr>
                            <a:picLocks noChangeAspect="1" noChangeArrowheads="1"/>
                          </pic:cNvPicPr>
                        </pic:nvPicPr>
                        <pic:blipFill>
                          <a:blip r:embed="rId8" cstate="print"/>
                          <a:srcRect/>
                          <a:stretch>
                            <a:fillRect/>
                          </a:stretch>
                        </pic:blipFill>
                        <pic:spPr bwMode="auto">
                          <a:xfrm>
                            <a:off x="0" y="0"/>
                            <a:ext cx="6257925" cy="952500"/>
                          </a:xfrm>
                          <a:prstGeom prst="rect">
                            <a:avLst/>
                          </a:prstGeom>
                          <a:noFill/>
                          <a:ln w="9525">
                            <a:noFill/>
                            <a:miter lim="800000"/>
                            <a:headEnd/>
                            <a:tailEnd/>
                          </a:ln>
                        </pic:spPr>
                      </pic:pic>
                    </a:graphicData>
                  </a:graphic>
                </wp:inline>
              </w:drawing>
            </w:r>
          </w:p>
        </w:tc>
      </w:tr>
      <w:tr w:rsidR="00E44A99" w:rsidTr="00E44A99">
        <w:trPr>
          <w:tblCellSpacing w:w="0" w:type="dxa"/>
          <w:jc w:val="center"/>
        </w:trPr>
        <w:tc>
          <w:tcPr>
            <w:tcW w:w="0" w:type="auto"/>
            <w:shd w:val="clear" w:color="auto" w:fill="FFFFFF"/>
            <w:tcMar>
              <w:top w:w="300" w:type="dxa"/>
              <w:left w:w="300" w:type="dxa"/>
              <w:bottom w:w="300" w:type="dxa"/>
              <w:right w:w="300" w:type="dxa"/>
            </w:tcMar>
          </w:tcPr>
          <w:p w:rsidR="00E44A99" w:rsidRDefault="00E44A99">
            <w:pPr>
              <w:pStyle w:val="NormalWeb"/>
              <w:jc w:val="center"/>
              <w:rPr>
                <w:rFonts w:ascii="Arial" w:hAnsi="Arial" w:cs="Arial"/>
                <w:sz w:val="20"/>
                <w:szCs w:val="20"/>
              </w:rPr>
            </w:pPr>
            <w:r>
              <w:rPr>
                <w:rFonts w:ascii="Arial" w:hAnsi="Arial" w:cs="Arial"/>
                <w:b/>
                <w:bCs/>
              </w:rPr>
              <w:t xml:space="preserve">Republican Efforts to Repeal </w:t>
            </w:r>
            <w:proofErr w:type="spellStart"/>
            <w:r>
              <w:rPr>
                <w:rFonts w:ascii="Arial" w:hAnsi="Arial" w:cs="Arial"/>
                <w:b/>
                <w:bCs/>
              </w:rPr>
              <w:t>ObamaCare</w:t>
            </w:r>
            <w:proofErr w:type="spellEnd"/>
            <w:r>
              <w:rPr>
                <w:rFonts w:ascii="Arial" w:hAnsi="Arial" w:cs="Arial"/>
                <w:b/>
                <w:bCs/>
              </w:rPr>
              <w:t xml:space="preserve"> Have Saved More than $52 Billion</w:t>
            </w:r>
            <w:r>
              <w:rPr>
                <w:rFonts w:ascii="Arial" w:hAnsi="Arial" w:cs="Arial"/>
                <w:sz w:val="20"/>
                <w:szCs w:val="20"/>
              </w:rPr>
              <w:br/>
            </w:r>
            <w:r>
              <w:rPr>
                <w:rFonts w:ascii="Arial" w:hAnsi="Arial" w:cs="Arial"/>
                <w:i/>
                <w:iCs/>
                <w:sz w:val="20"/>
                <w:szCs w:val="20"/>
              </w:rPr>
              <w:t>Republicans Making Progress in Forcing the President</w:t>
            </w:r>
            <w:r>
              <w:rPr>
                <w:rFonts w:ascii="Arial" w:hAnsi="Arial" w:cs="Arial"/>
                <w:i/>
                <w:iCs/>
                <w:sz w:val="20"/>
                <w:szCs w:val="20"/>
              </w:rPr>
              <w:br/>
              <w:t>to Repeal Key Pieces of His Own Health Care Law</w:t>
            </w:r>
          </w:p>
          <w:p w:rsidR="00E44A99" w:rsidRDefault="00E44A99">
            <w:pPr>
              <w:pStyle w:val="NormalWeb"/>
              <w:rPr>
                <w:rFonts w:ascii="Arial" w:hAnsi="Arial" w:cs="Arial"/>
                <w:sz w:val="20"/>
                <w:szCs w:val="20"/>
              </w:rPr>
            </w:pPr>
            <w:r>
              <w:rPr>
                <w:rFonts w:ascii="Arial" w:hAnsi="Arial" w:cs="Arial"/>
                <w:sz w:val="20"/>
                <w:szCs w:val="20"/>
              </w:rPr>
              <w:t>As one of their first acts of the 112</w:t>
            </w:r>
            <w:r>
              <w:rPr>
                <w:rFonts w:ascii="Arial" w:hAnsi="Arial" w:cs="Arial"/>
                <w:sz w:val="20"/>
                <w:szCs w:val="20"/>
                <w:vertAlign w:val="superscript"/>
              </w:rPr>
              <w:t>th</w:t>
            </w:r>
            <w:r>
              <w:rPr>
                <w:rFonts w:ascii="Arial" w:hAnsi="Arial" w:cs="Arial"/>
                <w:sz w:val="20"/>
                <w:szCs w:val="20"/>
              </w:rPr>
              <w:t xml:space="preserve"> Congress, House Republicans voted unanimously (along with three House Democrats) to repeal the Democrats’ health care law in its entirety.  Although the Democrat-led Senate still refuses to take up legislation to fully repeal </w:t>
            </w:r>
            <w:proofErr w:type="spellStart"/>
            <w:r>
              <w:rPr>
                <w:rFonts w:ascii="Arial" w:hAnsi="Arial" w:cs="Arial"/>
                <w:sz w:val="20"/>
                <w:szCs w:val="20"/>
              </w:rPr>
              <w:t>ObamaCare</w:t>
            </w:r>
            <w:proofErr w:type="spellEnd"/>
            <w:r>
              <w:rPr>
                <w:rFonts w:ascii="Arial" w:hAnsi="Arial" w:cs="Arial"/>
                <w:sz w:val="20"/>
                <w:szCs w:val="20"/>
              </w:rPr>
              <w:t xml:space="preserve">, House Republicans have not stopped looking for ways to defund it, resulting in more than $52 billion being taken out of </w:t>
            </w:r>
            <w:proofErr w:type="spellStart"/>
            <w:r>
              <w:rPr>
                <w:rFonts w:ascii="Arial" w:hAnsi="Arial" w:cs="Arial"/>
                <w:sz w:val="20"/>
                <w:szCs w:val="20"/>
              </w:rPr>
              <w:t>ObamaCare</w:t>
            </w:r>
            <w:proofErr w:type="spellEnd"/>
            <w:r>
              <w:rPr>
                <w:rFonts w:ascii="Arial" w:hAnsi="Arial" w:cs="Arial"/>
                <w:sz w:val="20"/>
                <w:szCs w:val="20"/>
              </w:rPr>
              <w:t xml:space="preserve">: </w:t>
            </w:r>
          </w:p>
          <w:tbl>
            <w:tblPr>
              <w:tblW w:w="90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1"/>
              <w:gridCol w:w="4359"/>
            </w:tblGrid>
            <w:tr w:rsidR="00E44A99">
              <w:trPr>
                <w:tblCellSpacing w:w="0" w:type="dxa"/>
                <w:jc w:val="center"/>
              </w:trPr>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jc w:val="center"/>
                    <w:rPr>
                      <w:rFonts w:ascii="Arial" w:hAnsi="Arial" w:cs="Arial"/>
                      <w:color w:val="000000"/>
                    </w:rPr>
                  </w:pPr>
                  <w:proofErr w:type="spellStart"/>
                  <w:r>
                    <w:rPr>
                      <w:rFonts w:ascii="Arial" w:hAnsi="Arial" w:cs="Arial"/>
                      <w:b/>
                      <w:bCs/>
                      <w:color w:val="000000"/>
                      <w:sz w:val="20"/>
                      <w:szCs w:val="20"/>
                    </w:rPr>
                    <w:t>ObamaCare</w:t>
                  </w:r>
                  <w:proofErr w:type="spellEnd"/>
                  <w:r>
                    <w:rPr>
                      <w:rFonts w:ascii="Arial" w:hAnsi="Arial" w:cs="Arial"/>
                      <w:b/>
                      <w:bCs/>
                      <w:color w:val="000000"/>
                      <w:sz w:val="20"/>
                      <w:szCs w:val="20"/>
                    </w:rPr>
                    <w:t xml:space="preserve"> Repeal/Cut Provisions</w:t>
                  </w:r>
                  <w:r>
                    <w:rPr>
                      <w:rFonts w:ascii="Arial" w:hAnsi="Arial" w:cs="Arial"/>
                      <w:b/>
                      <w:bCs/>
                      <w:color w:val="000000"/>
                      <w:sz w:val="20"/>
                      <w:szCs w:val="20"/>
                    </w:rPr>
                    <w:br/>
                    <w:t>That Are Now Law</w:t>
                  </w:r>
                </w:p>
              </w:tc>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jc w:val="center"/>
                    <w:rPr>
                      <w:rFonts w:ascii="Arial" w:hAnsi="Arial" w:cs="Arial"/>
                      <w:color w:val="000000"/>
                    </w:rPr>
                  </w:pPr>
                  <w:r>
                    <w:rPr>
                      <w:rFonts w:ascii="Arial" w:hAnsi="Arial" w:cs="Arial"/>
                      <w:b/>
                      <w:bCs/>
                      <w:color w:val="000000"/>
                      <w:sz w:val="20"/>
                      <w:szCs w:val="20"/>
                    </w:rPr>
                    <w:t>Savings</w:t>
                  </w:r>
                </w:p>
              </w:tc>
            </w:tr>
            <w:tr w:rsidR="00E44A99">
              <w:trPr>
                <w:tblCellSpacing w:w="0" w:type="dxa"/>
                <w:jc w:val="center"/>
              </w:trPr>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rPr>
                      <w:rFonts w:ascii="Arial" w:hAnsi="Arial" w:cs="Arial"/>
                      <w:color w:val="000000"/>
                    </w:rPr>
                  </w:pPr>
                  <w:r>
                    <w:rPr>
                      <w:rFonts w:ascii="Arial" w:hAnsi="Arial" w:cs="Arial"/>
                      <w:color w:val="000000"/>
                      <w:sz w:val="20"/>
                      <w:szCs w:val="20"/>
                    </w:rPr>
                    <w:t xml:space="preserve">Reducing wasteful and fraudulent overpayments of taxpayer-funded subsidies (P.L. 112-9) </w:t>
                  </w:r>
                </w:p>
              </w:tc>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jc w:val="center"/>
                    <w:rPr>
                      <w:rFonts w:ascii="Arial" w:hAnsi="Arial" w:cs="Arial"/>
                      <w:color w:val="000000"/>
                    </w:rPr>
                  </w:pPr>
                  <w:r>
                    <w:rPr>
                      <w:rFonts w:ascii="Arial" w:hAnsi="Arial" w:cs="Arial"/>
                      <w:color w:val="000000"/>
                      <w:sz w:val="20"/>
                      <w:szCs w:val="20"/>
                    </w:rPr>
                    <w:t>$24.9 billion</w:t>
                  </w:r>
                </w:p>
              </w:tc>
            </w:tr>
            <w:tr w:rsidR="00E44A99">
              <w:trPr>
                <w:tblCellSpacing w:w="0" w:type="dxa"/>
                <w:jc w:val="center"/>
              </w:trPr>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rPr>
                      <w:rFonts w:ascii="Arial" w:hAnsi="Arial" w:cs="Arial"/>
                      <w:color w:val="000000"/>
                    </w:rPr>
                  </w:pPr>
                  <w:r>
                    <w:rPr>
                      <w:rFonts w:ascii="Arial" w:hAnsi="Arial" w:cs="Arial"/>
                      <w:color w:val="000000"/>
                      <w:sz w:val="20"/>
                      <w:szCs w:val="20"/>
                    </w:rPr>
                    <w:t>Striking the Democrats' overly-generous eligibility criteria for taxpayer-subsidized health coverage to more closely align eligibility with other federally-means tested programs (P.L. 112-56)</w:t>
                  </w:r>
                </w:p>
              </w:tc>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jc w:val="center"/>
                    <w:rPr>
                      <w:rFonts w:ascii="Arial" w:hAnsi="Arial" w:cs="Arial"/>
                      <w:color w:val="000000"/>
                    </w:rPr>
                  </w:pPr>
                  <w:r>
                    <w:rPr>
                      <w:rFonts w:ascii="Arial" w:hAnsi="Arial" w:cs="Arial"/>
                      <w:color w:val="000000"/>
                      <w:sz w:val="20"/>
                      <w:szCs w:val="20"/>
                    </w:rPr>
                    <w:t>$13 billion</w:t>
                  </w:r>
                </w:p>
              </w:tc>
            </w:tr>
            <w:tr w:rsidR="00E44A99">
              <w:trPr>
                <w:tblCellSpacing w:w="0" w:type="dxa"/>
                <w:jc w:val="center"/>
              </w:trPr>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rPr>
                      <w:rFonts w:ascii="Arial" w:hAnsi="Arial" w:cs="Arial"/>
                      <w:color w:val="000000"/>
                    </w:rPr>
                  </w:pPr>
                  <w:r>
                    <w:rPr>
                      <w:rFonts w:ascii="Arial" w:hAnsi="Arial" w:cs="Arial"/>
                      <w:color w:val="000000"/>
                      <w:sz w:val="20"/>
                      <w:szCs w:val="20"/>
                    </w:rPr>
                    <w:t>Slashing funding for Harkin “Prevention” Fund (P.L. 112-96)</w:t>
                  </w:r>
                </w:p>
              </w:tc>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jc w:val="center"/>
                    <w:rPr>
                      <w:rFonts w:ascii="Arial" w:hAnsi="Arial" w:cs="Arial"/>
                      <w:color w:val="000000"/>
                    </w:rPr>
                  </w:pPr>
                  <w:r>
                    <w:rPr>
                      <w:rFonts w:ascii="Arial" w:hAnsi="Arial" w:cs="Arial"/>
                      <w:color w:val="000000"/>
                      <w:sz w:val="20"/>
                      <w:szCs w:val="20"/>
                    </w:rPr>
                    <w:t>$5 billion</w:t>
                  </w:r>
                </w:p>
              </w:tc>
            </w:tr>
            <w:tr w:rsidR="00E44A99">
              <w:trPr>
                <w:tblCellSpacing w:w="0" w:type="dxa"/>
                <w:jc w:val="center"/>
              </w:trPr>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rPr>
                      <w:rFonts w:ascii="Arial" w:hAnsi="Arial" w:cs="Arial"/>
                      <w:color w:val="000000"/>
                    </w:rPr>
                  </w:pPr>
                  <w:r>
                    <w:rPr>
                      <w:rFonts w:ascii="Arial" w:hAnsi="Arial" w:cs="Arial"/>
                      <w:color w:val="000000"/>
                      <w:sz w:val="20"/>
                      <w:szCs w:val="20"/>
                    </w:rPr>
                    <w:t>Rebase Medicaid Disproportionate Share Hospital allotments (P.L. 112-96)</w:t>
                  </w:r>
                </w:p>
              </w:tc>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jc w:val="center"/>
                    <w:rPr>
                      <w:rFonts w:ascii="Arial" w:hAnsi="Arial" w:cs="Arial"/>
                      <w:color w:val="000000"/>
                    </w:rPr>
                  </w:pPr>
                  <w:r>
                    <w:rPr>
                      <w:rFonts w:ascii="Arial" w:hAnsi="Arial" w:cs="Arial"/>
                      <w:color w:val="000000"/>
                      <w:sz w:val="20"/>
                      <w:szCs w:val="20"/>
                    </w:rPr>
                    <w:t>$4 billion</w:t>
                  </w:r>
                </w:p>
              </w:tc>
            </w:tr>
            <w:tr w:rsidR="00E44A99">
              <w:trPr>
                <w:tblCellSpacing w:w="0" w:type="dxa"/>
                <w:jc w:val="center"/>
              </w:trPr>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rPr>
                      <w:rFonts w:ascii="Arial" w:hAnsi="Arial" w:cs="Arial"/>
                      <w:color w:val="000000"/>
                    </w:rPr>
                  </w:pPr>
                  <w:r>
                    <w:rPr>
                      <w:rFonts w:ascii="Arial" w:hAnsi="Arial" w:cs="Arial"/>
                      <w:color w:val="000000"/>
                      <w:sz w:val="20"/>
                      <w:szCs w:val="20"/>
                    </w:rPr>
                    <w:t>Eliminating funding for the “Louisiana Purchase” (P.L. 112-96)</w:t>
                  </w:r>
                </w:p>
              </w:tc>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jc w:val="center"/>
                    <w:rPr>
                      <w:rFonts w:ascii="Arial" w:hAnsi="Arial" w:cs="Arial"/>
                      <w:color w:val="000000"/>
                    </w:rPr>
                  </w:pPr>
                  <w:r>
                    <w:rPr>
                      <w:rFonts w:ascii="Arial" w:hAnsi="Arial" w:cs="Arial"/>
                      <w:color w:val="000000"/>
                      <w:sz w:val="20"/>
                      <w:szCs w:val="20"/>
                    </w:rPr>
                    <w:t>$2.5 billion</w:t>
                  </w:r>
                </w:p>
              </w:tc>
            </w:tr>
            <w:tr w:rsidR="00E44A99">
              <w:trPr>
                <w:tblCellSpacing w:w="0" w:type="dxa"/>
                <w:jc w:val="center"/>
              </w:trPr>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rPr>
                      <w:rFonts w:ascii="Arial" w:hAnsi="Arial" w:cs="Arial"/>
                      <w:color w:val="000000"/>
                    </w:rPr>
                  </w:pPr>
                  <w:r>
                    <w:rPr>
                      <w:rFonts w:ascii="Arial" w:hAnsi="Arial" w:cs="Arial"/>
                      <w:color w:val="000000"/>
                      <w:sz w:val="20"/>
                      <w:szCs w:val="20"/>
                    </w:rPr>
                    <w:t xml:space="preserve">Cuts to </w:t>
                  </w:r>
                  <w:proofErr w:type="spellStart"/>
                  <w:r>
                    <w:rPr>
                      <w:rFonts w:ascii="Arial" w:hAnsi="Arial" w:cs="Arial"/>
                      <w:color w:val="000000"/>
                      <w:sz w:val="20"/>
                      <w:szCs w:val="20"/>
                    </w:rPr>
                    <w:t>ObamaCare</w:t>
                  </w:r>
                  <w:proofErr w:type="spellEnd"/>
                  <w:r>
                    <w:rPr>
                      <w:rFonts w:ascii="Arial" w:hAnsi="Arial" w:cs="Arial"/>
                      <w:color w:val="000000"/>
                      <w:sz w:val="20"/>
                      <w:szCs w:val="20"/>
                    </w:rPr>
                    <w:t xml:space="preserve"> Co-Ops (P.L. 112-10)</w:t>
                  </w:r>
                </w:p>
              </w:tc>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jc w:val="center"/>
                    <w:rPr>
                      <w:rFonts w:ascii="Arial" w:hAnsi="Arial" w:cs="Arial"/>
                      <w:color w:val="000000"/>
                    </w:rPr>
                  </w:pPr>
                  <w:r>
                    <w:rPr>
                      <w:rFonts w:ascii="Arial" w:hAnsi="Arial" w:cs="Arial"/>
                      <w:color w:val="000000"/>
                      <w:sz w:val="20"/>
                      <w:szCs w:val="20"/>
                    </w:rPr>
                    <w:t>$2.2 billion</w:t>
                  </w:r>
                  <w:bookmarkStart w:id="0" w:name="_ftnref1"/>
                  <w:bookmarkEnd w:id="0"/>
                  <w:r>
                    <w:rPr>
                      <w:rFonts w:ascii="Arial" w:hAnsi="Arial" w:cs="Arial"/>
                      <w:color w:val="000000"/>
                      <w:sz w:val="20"/>
                      <w:szCs w:val="20"/>
                    </w:rPr>
                    <w:fldChar w:fldCharType="begin"/>
                  </w:r>
                  <w:r>
                    <w:rPr>
                      <w:rFonts w:ascii="Arial" w:hAnsi="Arial" w:cs="Arial"/>
                      <w:color w:val="000000"/>
                      <w:sz w:val="20"/>
                      <w:szCs w:val="20"/>
                    </w:rPr>
                    <w:instrText xml:space="preserve"> HYPERLINK "" \l "_ftn1" </w:instrText>
                  </w:r>
                  <w:r>
                    <w:rPr>
                      <w:rFonts w:ascii="Arial" w:hAnsi="Arial" w:cs="Arial"/>
                      <w:color w:val="000000"/>
                      <w:sz w:val="20"/>
                      <w:szCs w:val="20"/>
                    </w:rPr>
                    <w:fldChar w:fldCharType="separate"/>
                  </w:r>
                  <w:r>
                    <w:rPr>
                      <w:rStyle w:val="Hyperlink"/>
                      <w:rFonts w:ascii="Arial" w:hAnsi="Arial" w:cs="Arial"/>
                      <w:sz w:val="20"/>
                      <w:szCs w:val="20"/>
                    </w:rPr>
                    <w:t>[1]</w:t>
                  </w:r>
                  <w:r>
                    <w:rPr>
                      <w:rFonts w:ascii="Arial" w:hAnsi="Arial" w:cs="Arial"/>
                      <w:color w:val="000000"/>
                      <w:sz w:val="20"/>
                      <w:szCs w:val="20"/>
                    </w:rPr>
                    <w:fldChar w:fldCharType="end"/>
                  </w:r>
                </w:p>
              </w:tc>
            </w:tr>
            <w:tr w:rsidR="00E44A99">
              <w:trPr>
                <w:tblCellSpacing w:w="0" w:type="dxa"/>
                <w:jc w:val="center"/>
              </w:trPr>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rPr>
                      <w:rFonts w:ascii="Arial" w:hAnsi="Arial" w:cs="Arial"/>
                      <w:color w:val="000000"/>
                    </w:rPr>
                  </w:pPr>
                  <w:proofErr w:type="spellStart"/>
                  <w:r>
                    <w:rPr>
                      <w:rFonts w:ascii="Arial" w:hAnsi="Arial" w:cs="Arial"/>
                      <w:color w:val="000000"/>
                      <w:sz w:val="20"/>
                      <w:szCs w:val="20"/>
                    </w:rPr>
                    <w:t>ObamaCare’s</w:t>
                  </w:r>
                  <w:proofErr w:type="spellEnd"/>
                  <w:r>
                    <w:rPr>
                      <w:rFonts w:ascii="Arial" w:hAnsi="Arial" w:cs="Arial"/>
                      <w:color w:val="000000"/>
                      <w:sz w:val="20"/>
                      <w:szCs w:val="20"/>
                    </w:rPr>
                    <w:t xml:space="preserve"> so-called “Free-Choice” vouchers (P.L. 112-10)</w:t>
                  </w:r>
                </w:p>
              </w:tc>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jc w:val="center"/>
                    <w:rPr>
                      <w:rFonts w:ascii="Arial" w:hAnsi="Arial" w:cs="Arial"/>
                      <w:color w:val="000000"/>
                    </w:rPr>
                  </w:pPr>
                  <w:r>
                    <w:rPr>
                      <w:rFonts w:ascii="Arial" w:hAnsi="Arial" w:cs="Arial"/>
                      <w:color w:val="000000"/>
                      <w:sz w:val="20"/>
                      <w:szCs w:val="20"/>
                    </w:rPr>
                    <w:t>$400 million</w:t>
                  </w:r>
                </w:p>
              </w:tc>
            </w:tr>
            <w:tr w:rsidR="00E44A99">
              <w:trPr>
                <w:tblCellSpacing w:w="0" w:type="dxa"/>
                <w:jc w:val="center"/>
              </w:trPr>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rPr>
                      <w:rFonts w:ascii="Arial" w:hAnsi="Arial" w:cs="Arial"/>
                      <w:color w:val="000000"/>
                    </w:rPr>
                  </w:pPr>
                  <w:r>
                    <w:rPr>
                      <w:rFonts w:ascii="Arial" w:hAnsi="Arial" w:cs="Arial"/>
                      <w:color w:val="000000"/>
                      <w:sz w:val="20"/>
                      <w:szCs w:val="20"/>
                    </w:rPr>
                    <w:t>Rescinds funding for the Democrats’ rationing board in FY 2012 (P.L. 112-74)</w:t>
                  </w:r>
                </w:p>
              </w:tc>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jc w:val="center"/>
                    <w:rPr>
                      <w:rFonts w:ascii="Arial" w:hAnsi="Arial" w:cs="Arial"/>
                      <w:color w:val="000000"/>
                    </w:rPr>
                  </w:pPr>
                  <w:r>
                    <w:rPr>
                      <w:rFonts w:ascii="Arial" w:hAnsi="Arial" w:cs="Arial"/>
                      <w:color w:val="000000"/>
                      <w:sz w:val="20"/>
                      <w:szCs w:val="20"/>
                    </w:rPr>
                    <w:t>$10 million</w:t>
                  </w:r>
                </w:p>
              </w:tc>
            </w:tr>
            <w:tr w:rsidR="00E44A99">
              <w:trPr>
                <w:tblCellSpacing w:w="0" w:type="dxa"/>
                <w:jc w:val="center"/>
              </w:trPr>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rPr>
                      <w:rFonts w:ascii="Arial" w:hAnsi="Arial" w:cs="Arial"/>
                      <w:color w:val="000000"/>
                    </w:rPr>
                  </w:pPr>
                  <w:r>
                    <w:rPr>
                      <w:rFonts w:ascii="Arial" w:hAnsi="Arial" w:cs="Arial"/>
                      <w:b/>
                      <w:bCs/>
                      <w:color w:val="000000"/>
                      <w:sz w:val="20"/>
                      <w:szCs w:val="20"/>
                    </w:rPr>
                    <w:t>TOTAL</w:t>
                  </w:r>
                </w:p>
              </w:tc>
              <w:tc>
                <w:tcPr>
                  <w:tcW w:w="7215" w:type="dxa"/>
                  <w:tcBorders>
                    <w:top w:val="single" w:sz="8" w:space="0" w:color="000000"/>
                    <w:left w:val="single" w:sz="8" w:space="0" w:color="000000"/>
                    <w:bottom w:val="single" w:sz="8" w:space="0" w:color="000000"/>
                    <w:right w:val="single" w:sz="8" w:space="0" w:color="000000"/>
                  </w:tcBorders>
                  <w:vAlign w:val="center"/>
                  <w:hideMark/>
                </w:tcPr>
                <w:p w:rsidR="00E44A99" w:rsidRDefault="00E44A99">
                  <w:pPr>
                    <w:pStyle w:val="NormalWeb"/>
                    <w:jc w:val="center"/>
                    <w:rPr>
                      <w:rFonts w:ascii="Arial" w:hAnsi="Arial" w:cs="Arial"/>
                      <w:color w:val="000000"/>
                    </w:rPr>
                  </w:pPr>
                  <w:r>
                    <w:rPr>
                      <w:rFonts w:ascii="Arial" w:hAnsi="Arial" w:cs="Arial"/>
                      <w:b/>
                      <w:bCs/>
                      <w:color w:val="000000"/>
                      <w:sz w:val="20"/>
                      <w:szCs w:val="20"/>
                    </w:rPr>
                    <w:t>$52 billion</w:t>
                  </w:r>
                </w:p>
              </w:tc>
            </w:tr>
          </w:tbl>
          <w:p w:rsidR="00E44A99" w:rsidRDefault="00E44A99">
            <w:pPr>
              <w:pStyle w:val="NormalWeb"/>
              <w:rPr>
                <w:rFonts w:ascii="Arial" w:hAnsi="Arial" w:cs="Arial"/>
                <w:sz w:val="20"/>
                <w:szCs w:val="20"/>
              </w:rPr>
            </w:pPr>
            <w:r>
              <w:rPr>
                <w:rFonts w:ascii="Arial" w:hAnsi="Arial" w:cs="Arial"/>
                <w:sz w:val="20"/>
                <w:szCs w:val="20"/>
              </w:rPr>
              <w:t xml:space="preserve">In addition to the provisions above, President Obama also signed into law the repeal of the onerous 1099 IRS reporting provision in his health care law.  This will save American businesses countless hours and dollars in compliance costs, freeing up money to hire new workers or retain existing ones during tough economic times.  The President also signed the Budget Control Act </w:t>
            </w:r>
            <w:r>
              <w:rPr>
                <w:rFonts w:ascii="Arial" w:hAnsi="Arial" w:cs="Arial"/>
                <w:sz w:val="20"/>
                <w:szCs w:val="20"/>
              </w:rPr>
              <w:lastRenderedPageBreak/>
              <w:t xml:space="preserve">(P.L. 112-25) into law which will force the White House Office of Management and Budget to adopt billions of dollars in across-the-board cuts to </w:t>
            </w:r>
            <w:proofErr w:type="spellStart"/>
            <w:r>
              <w:rPr>
                <w:rFonts w:ascii="Arial" w:hAnsi="Arial" w:cs="Arial"/>
                <w:sz w:val="20"/>
                <w:szCs w:val="20"/>
              </w:rPr>
              <w:t>ObamaCare</w:t>
            </w:r>
            <w:proofErr w:type="spellEnd"/>
            <w:r>
              <w:rPr>
                <w:rFonts w:ascii="Arial" w:hAnsi="Arial" w:cs="Arial"/>
                <w:sz w:val="20"/>
                <w:szCs w:val="20"/>
              </w:rPr>
              <w:t xml:space="preserve">. </w:t>
            </w:r>
          </w:p>
          <w:p w:rsidR="00E44A99" w:rsidRDefault="00E44A99">
            <w:pPr>
              <w:pStyle w:val="NormalWeb"/>
              <w:rPr>
                <w:rFonts w:ascii="Arial" w:hAnsi="Arial" w:cs="Arial"/>
                <w:sz w:val="20"/>
                <w:szCs w:val="20"/>
              </w:rPr>
            </w:pPr>
            <w:r>
              <w:rPr>
                <w:rFonts w:ascii="Arial" w:hAnsi="Arial" w:cs="Arial"/>
                <w:sz w:val="20"/>
                <w:szCs w:val="20"/>
              </w:rPr>
              <w:t xml:space="preserve">The House has also voted to cut or repeal a number of </w:t>
            </w:r>
            <w:proofErr w:type="spellStart"/>
            <w:r>
              <w:rPr>
                <w:rFonts w:ascii="Arial" w:hAnsi="Arial" w:cs="Arial"/>
                <w:sz w:val="20"/>
                <w:szCs w:val="20"/>
              </w:rPr>
              <w:t>ObamaCare</w:t>
            </w:r>
            <w:proofErr w:type="spellEnd"/>
            <w:r>
              <w:rPr>
                <w:rFonts w:ascii="Arial" w:hAnsi="Arial" w:cs="Arial"/>
                <w:sz w:val="20"/>
                <w:szCs w:val="20"/>
              </w:rPr>
              <w:t xml:space="preserve"> provisions that the Senate refuses to consider, including:</w:t>
            </w:r>
          </w:p>
          <w:p w:rsidR="00E44A99" w:rsidRDefault="00E44A99" w:rsidP="008603D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Reducing wasteful and fraudulent overpayments of taxpayer-funded subsidies even further (H.R. 3630);</w:t>
            </w:r>
          </w:p>
          <w:p w:rsidR="00E44A99" w:rsidRDefault="00E44A99" w:rsidP="008603D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Additional cuts to the Harkin Fund (H.R. 1217 and H.R. 3630);</w:t>
            </w:r>
          </w:p>
          <w:p w:rsidR="00E44A99" w:rsidRDefault="00E44A99" w:rsidP="008603D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Repealing the Democrats’ rationing board (H.R. 5);</w:t>
            </w:r>
          </w:p>
          <w:p w:rsidR="00E44A99" w:rsidRDefault="00E44A99" w:rsidP="008603D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Eliminating a new entitlement program that Obama Administration officials agree is unsustainable (H.R. 1173);</w:t>
            </w:r>
          </w:p>
          <w:p w:rsidR="00E44A99" w:rsidRDefault="00E44A99" w:rsidP="008603D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Ensuring that the long standing Hyde amendment is applied consistently, prohibiting the use of taxpayer money in the expanded Medicaid program and the new health insurance exchanges (H.R. 3 and H.R. 358);</w:t>
            </w:r>
          </w:p>
          <w:p w:rsidR="00E44A99" w:rsidRDefault="00E44A99" w:rsidP="008603D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Allowing physician-owned hospitals to grow and expand to meet the needs of patients in their area (H.R. 3630);</w:t>
            </w:r>
          </w:p>
          <w:p w:rsidR="00E44A99" w:rsidRDefault="00E44A99" w:rsidP="008603D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Repealing funding for health insurance exchanges (H.R. 1213);</w:t>
            </w:r>
          </w:p>
          <w:p w:rsidR="00E44A99" w:rsidRDefault="00E44A99" w:rsidP="008603D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Repealing funding for SBHC construction (H.R. 1214); and</w:t>
            </w:r>
          </w:p>
          <w:p w:rsidR="00E44A99" w:rsidRDefault="00E44A99" w:rsidP="008603D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Converting funding for graduate medical education in qualified teaching health centers to an authorization of appropriations (H.R. 1216).</w:t>
            </w:r>
          </w:p>
          <w:p w:rsidR="00E44A99" w:rsidRDefault="00E44A99">
            <w:pPr>
              <w:pStyle w:val="NormalWeb"/>
              <w:rPr>
                <w:rFonts w:ascii="Arial" w:hAnsi="Arial" w:cs="Arial"/>
                <w:sz w:val="20"/>
                <w:szCs w:val="20"/>
              </w:rPr>
            </w:pPr>
            <w:r>
              <w:rPr>
                <w:rFonts w:ascii="Arial" w:hAnsi="Arial" w:cs="Arial"/>
                <w:sz w:val="20"/>
                <w:szCs w:val="20"/>
              </w:rPr>
              <w:t xml:space="preserve">While Republicans have made progress, there is still much more to be done.  With recent analysis from the nonpartisan Congressional Budget Office confirming that the cost of the law has nearly doubled to $1.8 trillion over the next 10 years, the case for repeal could not be stronger.  Republicans will continue to press for full repeal of </w:t>
            </w:r>
            <w:proofErr w:type="spellStart"/>
            <w:r>
              <w:rPr>
                <w:rFonts w:ascii="Arial" w:hAnsi="Arial" w:cs="Arial"/>
                <w:sz w:val="20"/>
                <w:szCs w:val="20"/>
              </w:rPr>
              <w:t>ObamaCare</w:t>
            </w:r>
            <w:proofErr w:type="spellEnd"/>
            <w:r>
              <w:rPr>
                <w:rFonts w:ascii="Arial" w:hAnsi="Arial" w:cs="Arial"/>
                <w:sz w:val="20"/>
                <w:szCs w:val="20"/>
              </w:rPr>
              <w:t xml:space="preserve">. </w:t>
            </w:r>
          </w:p>
          <w:p w:rsidR="00E44A99" w:rsidRDefault="00E44A99">
            <w:pPr>
              <w:pStyle w:val="NormalWeb"/>
              <w:rPr>
                <w:rFonts w:ascii="Arial" w:hAnsi="Arial" w:cs="Arial"/>
                <w:sz w:val="20"/>
                <w:szCs w:val="20"/>
              </w:rPr>
            </w:pPr>
            <w:r>
              <w:rPr>
                <w:rFonts w:ascii="Arial" w:hAnsi="Arial" w:cs="Arial"/>
                <w:sz w:val="20"/>
                <w:szCs w:val="20"/>
              </w:rPr>
              <w:t> </w:t>
            </w:r>
            <w:r>
              <w:rPr>
                <w:rFonts w:ascii="Arial" w:hAnsi="Arial" w:cs="Arial"/>
                <w:sz w:val="20"/>
                <w:szCs w:val="20"/>
              </w:rPr>
              <w:br w:type="textWrapping" w:clear="all"/>
            </w:r>
          </w:p>
          <w:bookmarkStart w:id="1" w:name="_ftn1"/>
          <w:bookmarkEnd w:id="1"/>
          <w:p w:rsidR="00E44A99" w:rsidRDefault="00E44A99">
            <w:pPr>
              <w:rPr>
                <w:rFonts w:ascii="Arial" w:hAnsi="Arial" w:cs="Arial"/>
                <w:sz w:val="20"/>
                <w:szCs w:val="20"/>
              </w:rPr>
            </w:pPr>
            <w:r>
              <w:fldChar w:fldCharType="begin"/>
            </w:r>
            <w:r>
              <w:instrText xml:space="preserve"> HYPERLINK "" \l "_ftnref1" </w:instrText>
            </w:r>
            <w:r>
              <w:fldChar w:fldCharType="separate"/>
            </w:r>
            <w:r>
              <w:rPr>
                <w:rStyle w:val="Hyperlink"/>
                <w:rFonts w:ascii="Arial" w:hAnsi="Arial" w:cs="Arial"/>
                <w:sz w:val="15"/>
                <w:szCs w:val="15"/>
              </w:rPr>
              <w:t>[1]</w:t>
            </w:r>
            <w:r>
              <w:fldChar w:fldCharType="end"/>
            </w:r>
            <w:r>
              <w:rPr>
                <w:rFonts w:ascii="Arial" w:hAnsi="Arial" w:cs="Arial"/>
                <w:sz w:val="15"/>
                <w:szCs w:val="15"/>
              </w:rPr>
              <w:t xml:space="preserve"> This total represents a reduction in budget authority.</w:t>
            </w:r>
            <w:r>
              <w:rPr>
                <w:rFonts w:ascii="Arial" w:hAnsi="Arial" w:cs="Arial"/>
                <w:sz w:val="20"/>
                <w:szCs w:val="20"/>
              </w:rPr>
              <w:t xml:space="preserve"> </w:t>
            </w:r>
          </w:p>
          <w:p w:rsidR="00E44A99" w:rsidRDefault="00E44A99">
            <w:pPr>
              <w:spacing w:after="240"/>
              <w:rPr>
                <w:rFonts w:ascii="Arial" w:hAnsi="Arial" w:cs="Arial"/>
                <w:sz w:val="20"/>
                <w:szCs w:val="20"/>
              </w:rPr>
            </w:pPr>
          </w:p>
          <w:p w:rsidR="00E44A99" w:rsidRDefault="00E44A99">
            <w:pPr>
              <w:pStyle w:val="NormalWeb"/>
              <w:jc w:val="center"/>
              <w:rPr>
                <w:rFonts w:ascii="Arial" w:hAnsi="Arial" w:cs="Arial"/>
                <w:sz w:val="20"/>
                <w:szCs w:val="20"/>
              </w:rPr>
            </w:pPr>
            <w:r>
              <w:rPr>
                <w:rFonts w:ascii="Arial" w:hAnsi="Arial" w:cs="Arial"/>
                <w:sz w:val="20"/>
                <w:szCs w:val="20"/>
              </w:rPr>
              <w:t>###</w:t>
            </w:r>
          </w:p>
        </w:tc>
      </w:tr>
      <w:tr w:rsidR="00E44A99" w:rsidTr="00E44A99">
        <w:trPr>
          <w:tblCellSpacing w:w="0" w:type="dxa"/>
          <w:jc w:val="center"/>
        </w:trPr>
        <w:tc>
          <w:tcPr>
            <w:tcW w:w="0" w:type="auto"/>
            <w:shd w:val="clear" w:color="auto" w:fill="FFFFFF"/>
            <w:vAlign w:val="center"/>
            <w:hideMark/>
          </w:tcPr>
          <w:p w:rsidR="00E44A99" w:rsidRDefault="00E44A99">
            <w:pPr>
              <w:pStyle w:val="NormalWeb"/>
              <w:jc w:val="center"/>
              <w:rPr>
                <w:rFonts w:ascii="Arial" w:hAnsi="Arial" w:cs="Arial"/>
              </w:rPr>
            </w:pPr>
            <w:r>
              <w:rPr>
                <w:rFonts w:ascii="Arial" w:hAnsi="Arial" w:cs="Arial"/>
                <w:sz w:val="20"/>
                <w:szCs w:val="20"/>
              </w:rPr>
              <w:lastRenderedPageBreak/>
              <w:t>Ways and Means Press Office</w:t>
            </w:r>
            <w:r>
              <w:rPr>
                <w:rFonts w:ascii="Arial" w:hAnsi="Arial" w:cs="Arial"/>
                <w:sz w:val="20"/>
                <w:szCs w:val="20"/>
              </w:rPr>
              <w:br/>
            </w:r>
            <w:hyperlink r:id="rId9" w:history="1">
              <w:r>
                <w:rPr>
                  <w:rStyle w:val="Hyperlink"/>
                  <w:rFonts w:ascii="Arial" w:hAnsi="Arial" w:cs="Arial"/>
                  <w:sz w:val="20"/>
                  <w:szCs w:val="20"/>
                </w:rPr>
                <w:t>www.WaysandMeans.House.Gov</w:t>
              </w:r>
            </w:hyperlink>
            <w:r>
              <w:rPr>
                <w:rFonts w:ascii="Arial" w:hAnsi="Arial" w:cs="Arial"/>
                <w:sz w:val="20"/>
                <w:szCs w:val="20"/>
              </w:rPr>
              <w:br/>
              <w:t>202.226.4774 </w:t>
            </w:r>
          </w:p>
          <w:tbl>
            <w:tblPr>
              <w:tblW w:w="0" w:type="auto"/>
              <w:jc w:val="center"/>
              <w:tblCellSpacing w:w="15" w:type="dxa"/>
              <w:tblCellMar>
                <w:left w:w="0" w:type="dxa"/>
                <w:right w:w="0" w:type="dxa"/>
              </w:tblCellMar>
              <w:tblLook w:val="04A0"/>
            </w:tblPr>
            <w:tblGrid>
              <w:gridCol w:w="585"/>
              <w:gridCol w:w="570"/>
              <w:gridCol w:w="570"/>
              <w:gridCol w:w="585"/>
            </w:tblGrid>
            <w:tr w:rsidR="00E44A99">
              <w:trPr>
                <w:tblCellSpacing w:w="15" w:type="dxa"/>
                <w:jc w:val="center"/>
              </w:trPr>
              <w:tc>
                <w:tcPr>
                  <w:tcW w:w="0" w:type="auto"/>
                  <w:tcMar>
                    <w:top w:w="15" w:type="dxa"/>
                    <w:left w:w="15" w:type="dxa"/>
                    <w:bottom w:w="15" w:type="dxa"/>
                    <w:right w:w="15" w:type="dxa"/>
                  </w:tcMar>
                  <w:vAlign w:val="center"/>
                  <w:hideMark/>
                </w:tcPr>
                <w:p w:rsidR="00E44A99" w:rsidRDefault="00E44A99">
                  <w:r>
                    <w:rPr>
                      <w:rFonts w:ascii="Arial" w:hAnsi="Arial" w:cs="Arial"/>
                      <w:noProof/>
                      <w:color w:val="0089C4"/>
                      <w:sz w:val="20"/>
                      <w:szCs w:val="20"/>
                    </w:rPr>
                    <w:drawing>
                      <wp:inline distT="0" distB="0" distL="0" distR="0">
                        <wp:extent cx="304800" cy="304800"/>
                        <wp:effectExtent l="19050" t="0" r="0" b="0"/>
                        <wp:docPr id="3" name="Picture 3" descr="RSS Fe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 Feed"/>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E44A99" w:rsidRDefault="00E44A99">
                  <w:r>
                    <w:rPr>
                      <w:rFonts w:ascii="Arial" w:hAnsi="Arial" w:cs="Arial"/>
                      <w:noProof/>
                      <w:color w:val="0089C4"/>
                      <w:sz w:val="20"/>
                      <w:szCs w:val="20"/>
                    </w:rPr>
                    <w:drawing>
                      <wp:inline distT="0" distB="0" distL="0" distR="0">
                        <wp:extent cx="304800" cy="304800"/>
                        <wp:effectExtent l="19050" t="0" r="0" b="0"/>
                        <wp:docPr id="4" name="Picture 4" descr="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E44A99" w:rsidRDefault="00E44A99">
                  <w:r>
                    <w:rPr>
                      <w:rFonts w:ascii="Arial" w:hAnsi="Arial" w:cs="Arial"/>
                      <w:noProof/>
                      <w:color w:val="0089C4"/>
                      <w:sz w:val="20"/>
                      <w:szCs w:val="20"/>
                    </w:rPr>
                    <w:drawing>
                      <wp:inline distT="0" distB="0" distL="0" distR="0">
                        <wp:extent cx="304800" cy="304800"/>
                        <wp:effectExtent l="19050" t="0" r="0" b="0"/>
                        <wp:docPr id="5" name="Picture 5"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E44A99" w:rsidRDefault="00E44A99">
                  <w:r>
                    <w:rPr>
                      <w:rFonts w:ascii="Arial" w:hAnsi="Arial" w:cs="Arial"/>
                      <w:noProof/>
                      <w:color w:val="0089C4"/>
                      <w:sz w:val="20"/>
                      <w:szCs w:val="20"/>
                    </w:rPr>
                    <w:drawing>
                      <wp:inline distT="0" distB="0" distL="0" distR="0">
                        <wp:extent cx="304800" cy="304800"/>
                        <wp:effectExtent l="19050" t="0" r="0" b="0"/>
                        <wp:docPr id="6" name="Picture 6"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E44A99" w:rsidRDefault="00E44A99">
            <w:pPr>
              <w:jc w:val="center"/>
              <w:rPr>
                <w:rFonts w:eastAsia="Times New Roman"/>
                <w:sz w:val="20"/>
                <w:szCs w:val="20"/>
              </w:rPr>
            </w:pPr>
          </w:p>
        </w:tc>
      </w:tr>
    </w:tbl>
    <w:p w:rsidR="009D66DF" w:rsidRDefault="009D66DF"/>
    <w:sectPr w:rsidR="009D66DF" w:rsidSect="009D6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21220"/>
    <w:multiLevelType w:val="multilevel"/>
    <w:tmpl w:val="0F8A9F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A99"/>
    <w:rsid w:val="00557C01"/>
    <w:rsid w:val="009D66DF"/>
    <w:rsid w:val="00E44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A99"/>
    <w:rPr>
      <w:color w:val="0089C4"/>
      <w:u w:val="single"/>
    </w:rPr>
  </w:style>
  <w:style w:type="paragraph" w:styleId="NormalWeb">
    <w:name w:val="Normal (Web)"/>
    <w:basedOn w:val="Normal"/>
    <w:uiPriority w:val="99"/>
    <w:unhideWhenUsed/>
    <w:rsid w:val="00E44A99"/>
    <w:pPr>
      <w:spacing w:before="100" w:beforeAutospacing="1" w:after="100" w:afterAutospacing="1"/>
    </w:pPr>
  </w:style>
  <w:style w:type="paragraph" w:styleId="BalloonText">
    <w:name w:val="Balloon Text"/>
    <w:basedOn w:val="Normal"/>
    <w:link w:val="BalloonTextChar"/>
    <w:uiPriority w:val="99"/>
    <w:semiHidden/>
    <w:unhideWhenUsed/>
    <w:rsid w:val="00E44A99"/>
    <w:rPr>
      <w:rFonts w:ascii="Tahoma" w:hAnsi="Tahoma" w:cs="Tahoma"/>
      <w:sz w:val="16"/>
      <w:szCs w:val="16"/>
    </w:rPr>
  </w:style>
  <w:style w:type="character" w:customStyle="1" w:styleId="BalloonTextChar">
    <w:name w:val="Balloon Text Char"/>
    <w:basedOn w:val="DefaultParagraphFont"/>
    <w:link w:val="BalloonText"/>
    <w:uiPriority w:val="99"/>
    <w:semiHidden/>
    <w:rsid w:val="00E44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7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ysandmeans.house.gov/Components/Redirect/r.aspx?ID=230368-28726384" TargetMode="External"/><Relationship Id="rId12" Type="http://schemas.openxmlformats.org/officeDocument/2006/relationships/hyperlink" Target="http://waysandmeans.house.gov/Components/Redirect/r.aspx?ID=230371-28726384"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aysandmeans.house.gov/Components/Redirect/r.aspx?ID=230373-2872638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waysandmeans.house.gov/Components/Redirect/r.aspx?ID=230367-28726384" TargetMode="External"/><Relationship Id="rId15" Type="http://schemas.openxmlformats.org/officeDocument/2006/relationships/image" Target="media/image5.png"/><Relationship Id="rId10" Type="http://schemas.openxmlformats.org/officeDocument/2006/relationships/hyperlink" Target="http://waysandmeans.house.gov/Components/Redirect/r.aspx?ID=230370-287263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aysandmeans.house.gov/Components/Redirect/r.aspx?ID=230369-28726384" TargetMode="External"/><Relationship Id="rId14" Type="http://schemas.openxmlformats.org/officeDocument/2006/relationships/hyperlink" Target="http://waysandmeans.house.gov/Components/Redirect/r.aspx?ID=230372-28726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Company>U.S. House of Representatives</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jcaven</dc:creator>
  <cp:lastModifiedBy>jcaven</cp:lastModifiedBy>
  <cp:revision>1</cp:revision>
  <dcterms:created xsi:type="dcterms:W3CDTF">2012-03-27T16:00:00Z</dcterms:created>
  <dcterms:modified xsi:type="dcterms:W3CDTF">2012-03-27T16:01:00Z</dcterms:modified>
</cp:coreProperties>
</file>