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254" w:rsidRDefault="00393254" w:rsidP="00393254">
      <w:pPr>
        <w:pStyle w:val="Standard"/>
        <w:spacing w:after="0" w:line="240" w:lineRule="auto"/>
        <w:ind w:left="-720" w:right="-72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C2185C" w:rsidRDefault="00C2185C" w:rsidP="001F3557">
      <w:pPr>
        <w:pStyle w:val="Standard"/>
        <w:spacing w:after="0" w:line="240" w:lineRule="auto"/>
        <w:ind w:left="-810" w:right="-117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1F3557" w:rsidRDefault="001F3557" w:rsidP="001F3557">
      <w:pPr>
        <w:pStyle w:val="Standard"/>
        <w:spacing w:after="0" w:line="240" w:lineRule="auto"/>
        <w:ind w:left="-810" w:right="-1170"/>
        <w:jc w:val="center"/>
      </w:pPr>
      <w:r>
        <w:rPr>
          <w:rFonts w:ascii="Arial" w:hAnsi="Arial" w:cs="Arial"/>
          <w:b/>
          <w:sz w:val="28"/>
          <w:szCs w:val="28"/>
          <w:u w:val="single"/>
        </w:rPr>
        <w:t xml:space="preserve">Sample Internal Newsletter or Intranet Copy for Financial Institutions </w:t>
      </w:r>
    </w:p>
    <w:p w:rsidR="001F3557" w:rsidRDefault="001F3557" w:rsidP="001F3557">
      <w:pPr>
        <w:pStyle w:val="Standard"/>
        <w:spacing w:after="0" w:line="240" w:lineRule="auto"/>
        <w:ind w:left="-630" w:right="-810"/>
        <w:jc w:val="center"/>
        <w:rPr>
          <w:rFonts w:ascii="Arial" w:hAnsi="Arial" w:cs="Arial"/>
          <w:b/>
          <w:i/>
        </w:rPr>
      </w:pPr>
    </w:p>
    <w:p w:rsidR="00C2185C" w:rsidRDefault="00C2185C" w:rsidP="001F3557">
      <w:pPr>
        <w:pStyle w:val="Standard"/>
        <w:spacing w:after="0" w:line="240" w:lineRule="auto"/>
        <w:ind w:left="-630" w:right="-810"/>
        <w:rPr>
          <w:rFonts w:ascii="Arial" w:hAnsi="Arial" w:cs="Arial"/>
          <w:b/>
          <w:i/>
        </w:rPr>
      </w:pPr>
    </w:p>
    <w:p w:rsidR="001F3557" w:rsidRPr="001313BF" w:rsidRDefault="001F3557" w:rsidP="001F3557">
      <w:pPr>
        <w:pStyle w:val="Standard"/>
        <w:spacing w:after="0" w:line="240" w:lineRule="auto"/>
        <w:ind w:left="-630" w:right="-810"/>
        <w:rPr>
          <w:rFonts w:ascii="Arial" w:hAnsi="Arial" w:cs="Arial"/>
          <w:b/>
          <w:i/>
        </w:rPr>
      </w:pPr>
      <w:r w:rsidRPr="001313BF">
        <w:rPr>
          <w:rFonts w:ascii="Arial" w:hAnsi="Arial" w:cs="Arial"/>
          <w:b/>
          <w:i/>
        </w:rPr>
        <w:t xml:space="preserve">Word Count: </w:t>
      </w:r>
      <w:r w:rsidR="0021435A">
        <w:rPr>
          <w:rFonts w:ascii="Arial" w:hAnsi="Arial" w:cs="Arial"/>
          <w:b/>
          <w:i/>
        </w:rPr>
        <w:t>1</w:t>
      </w:r>
      <w:r w:rsidR="003525D9">
        <w:rPr>
          <w:rFonts w:ascii="Arial" w:hAnsi="Arial" w:cs="Arial"/>
          <w:b/>
          <w:i/>
        </w:rPr>
        <w:t>23</w:t>
      </w:r>
    </w:p>
    <w:p w:rsidR="001F3557" w:rsidRPr="001313BF" w:rsidRDefault="001F3557" w:rsidP="001F3557">
      <w:pPr>
        <w:pStyle w:val="Standard"/>
        <w:spacing w:after="0" w:line="240" w:lineRule="auto"/>
        <w:ind w:left="-630" w:right="-810"/>
        <w:rPr>
          <w:rFonts w:ascii="Arial" w:hAnsi="Arial" w:cs="Arial"/>
          <w:b/>
        </w:rPr>
      </w:pPr>
    </w:p>
    <w:p w:rsidR="001F3557" w:rsidRPr="001313BF" w:rsidRDefault="005A1C32" w:rsidP="005A1C32">
      <w:pPr>
        <w:ind w:left="-630" w:right="-810"/>
        <w:contextualSpacing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Help </w:t>
      </w:r>
      <w:r w:rsidR="001F3557" w:rsidRPr="005A1C32">
        <w:rPr>
          <w:rFonts w:ascii="Arial" w:hAnsi="Arial" w:cs="Arial"/>
          <w:b/>
          <w:sz w:val="22"/>
          <w:szCs w:val="22"/>
        </w:rPr>
        <w:t>Customers Make the Transition to</w:t>
      </w:r>
      <w:r>
        <w:rPr>
          <w:rFonts w:ascii="Arial" w:hAnsi="Arial" w:cs="Arial"/>
          <w:b/>
          <w:sz w:val="22"/>
          <w:szCs w:val="22"/>
        </w:rPr>
        <w:t xml:space="preserve"> Digital</w:t>
      </w:r>
      <w:r w:rsidR="001F3557" w:rsidRPr="005A1C32">
        <w:rPr>
          <w:rFonts w:ascii="Arial" w:hAnsi="Arial" w:cs="Arial"/>
          <w:b/>
          <w:sz w:val="22"/>
          <w:szCs w:val="22"/>
        </w:rPr>
        <w:t xml:space="preserve"> Savings Bonds </w:t>
      </w:r>
    </w:p>
    <w:p w:rsidR="001F3557" w:rsidRPr="001313BF" w:rsidRDefault="001F3557" w:rsidP="001F3557">
      <w:pPr>
        <w:ind w:left="-630" w:right="-810"/>
        <w:rPr>
          <w:rFonts w:ascii="Arial" w:hAnsi="Arial" w:cs="Arial"/>
          <w:i/>
          <w:sz w:val="22"/>
          <w:szCs w:val="22"/>
        </w:rPr>
      </w:pPr>
    </w:p>
    <w:p w:rsidR="001F3557" w:rsidRPr="001313BF" w:rsidRDefault="001F3557" w:rsidP="001F3557">
      <w:pPr>
        <w:ind w:left="-630" w:right="-810"/>
        <w:rPr>
          <w:rFonts w:ascii="Arial" w:hAnsi="Arial" w:cs="Arial"/>
          <w:i/>
          <w:sz w:val="22"/>
          <w:szCs w:val="22"/>
        </w:rPr>
      </w:pPr>
      <w:r w:rsidRPr="001313BF">
        <w:rPr>
          <w:rFonts w:ascii="Arial" w:hAnsi="Arial" w:cs="Arial"/>
          <w:i/>
          <w:sz w:val="22"/>
          <w:szCs w:val="22"/>
        </w:rPr>
        <w:t xml:space="preserve">Source: U.S. Department of the Treasury, Bureau of the Public Debt </w:t>
      </w:r>
    </w:p>
    <w:p w:rsidR="001F3557" w:rsidRPr="001313BF" w:rsidRDefault="001F3557" w:rsidP="001F3557">
      <w:pPr>
        <w:ind w:left="-630" w:right="-810"/>
        <w:rPr>
          <w:rFonts w:ascii="Arial" w:hAnsi="Arial" w:cs="Arial"/>
          <w:sz w:val="22"/>
          <w:szCs w:val="22"/>
        </w:rPr>
      </w:pPr>
    </w:p>
    <w:p w:rsidR="006D3099" w:rsidRDefault="00C2185C" w:rsidP="00B2276A">
      <w:pPr>
        <w:ind w:left="-634" w:right="-80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="0021435A">
        <w:rPr>
          <w:rFonts w:ascii="Arial" w:hAnsi="Arial" w:cs="Arial"/>
          <w:sz w:val="22"/>
          <w:szCs w:val="22"/>
        </w:rPr>
        <w:t xml:space="preserve">aper U.S. Savings Bonds are no longer sold over-the-counter at financial institutions or through mail-in orders. </w:t>
      </w:r>
      <w:r w:rsidR="00E9541D">
        <w:rPr>
          <w:rFonts w:ascii="Arial" w:hAnsi="Arial" w:cs="Arial"/>
          <w:sz w:val="22"/>
          <w:szCs w:val="22"/>
        </w:rPr>
        <w:t>C</w:t>
      </w:r>
      <w:r w:rsidR="0021435A">
        <w:rPr>
          <w:rFonts w:ascii="Arial" w:hAnsi="Arial" w:cs="Arial"/>
          <w:sz w:val="22"/>
          <w:szCs w:val="22"/>
        </w:rPr>
        <w:t xml:space="preserve">ustomers may continue to have </w:t>
      </w:r>
      <w:r w:rsidR="001F3557" w:rsidRPr="001313BF">
        <w:rPr>
          <w:rFonts w:ascii="Arial" w:hAnsi="Arial" w:cs="Arial"/>
          <w:sz w:val="22"/>
          <w:szCs w:val="22"/>
        </w:rPr>
        <w:t>questions about the transiti</w:t>
      </w:r>
      <w:r w:rsidR="005A1C32">
        <w:rPr>
          <w:rFonts w:ascii="Arial" w:hAnsi="Arial" w:cs="Arial"/>
          <w:sz w:val="22"/>
          <w:szCs w:val="22"/>
        </w:rPr>
        <w:t>on to</w:t>
      </w:r>
      <w:r w:rsidR="00C2102E">
        <w:rPr>
          <w:rFonts w:ascii="Arial" w:hAnsi="Arial" w:cs="Arial"/>
          <w:sz w:val="22"/>
          <w:szCs w:val="22"/>
        </w:rPr>
        <w:t xml:space="preserve"> </w:t>
      </w:r>
      <w:r w:rsidR="005A1C32">
        <w:rPr>
          <w:rFonts w:ascii="Arial" w:hAnsi="Arial" w:cs="Arial"/>
          <w:sz w:val="22"/>
          <w:szCs w:val="22"/>
        </w:rPr>
        <w:t>digital savings bonds.</w:t>
      </w:r>
      <w:r w:rsidR="0021435A">
        <w:rPr>
          <w:rFonts w:ascii="Arial" w:hAnsi="Arial" w:cs="Arial"/>
          <w:sz w:val="22"/>
          <w:szCs w:val="22"/>
        </w:rPr>
        <w:t xml:space="preserve"> </w:t>
      </w:r>
      <w:r w:rsidR="006D3099">
        <w:rPr>
          <w:rFonts w:ascii="Arial" w:hAnsi="Arial" w:cs="Arial"/>
          <w:sz w:val="22"/>
          <w:szCs w:val="22"/>
        </w:rPr>
        <w:t>Please remember:</w:t>
      </w:r>
    </w:p>
    <w:p w:rsidR="00E94512" w:rsidRDefault="00E94512" w:rsidP="00B2276A">
      <w:pPr>
        <w:ind w:left="-634" w:right="-806"/>
        <w:rPr>
          <w:rFonts w:ascii="Arial" w:hAnsi="Arial" w:cs="Arial"/>
          <w:sz w:val="22"/>
          <w:szCs w:val="22"/>
        </w:rPr>
      </w:pPr>
    </w:p>
    <w:p w:rsidR="00E94512" w:rsidRDefault="00E94512" w:rsidP="00E94512">
      <w:pPr>
        <w:numPr>
          <w:ilvl w:val="0"/>
          <w:numId w:val="4"/>
        </w:numPr>
        <w:ind w:right="-81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For customers who want to buy a digital bond</w:t>
      </w:r>
    </w:p>
    <w:p w:rsidR="00E94512" w:rsidRDefault="00E94512" w:rsidP="00E94512">
      <w:pPr>
        <w:ind w:left="90" w:right="-810"/>
        <w:rPr>
          <w:rFonts w:ascii="Arial" w:hAnsi="Arial" w:cs="Arial"/>
          <w:sz w:val="22"/>
          <w:szCs w:val="22"/>
        </w:rPr>
      </w:pPr>
    </w:p>
    <w:p w:rsidR="00E94512" w:rsidRPr="00B2276A" w:rsidRDefault="00E94512" w:rsidP="00E94512">
      <w:pPr>
        <w:numPr>
          <w:ilvl w:val="1"/>
          <w:numId w:val="4"/>
        </w:numPr>
        <w:ind w:right="-806"/>
        <w:rPr>
          <w:rFonts w:ascii="Arial" w:hAnsi="Arial" w:cs="Arial"/>
          <w:sz w:val="22"/>
          <w:szCs w:val="22"/>
        </w:rPr>
      </w:pPr>
      <w:r w:rsidRPr="00B2276A">
        <w:rPr>
          <w:rFonts w:ascii="Arial" w:hAnsi="Arial" w:cs="Arial"/>
          <w:sz w:val="22"/>
          <w:szCs w:val="22"/>
        </w:rPr>
        <w:t xml:space="preserve">Encourage customers to go to </w:t>
      </w:r>
      <w:hyperlink r:id="rId9" w:history="1">
        <w:r w:rsidRPr="00B2276A">
          <w:rPr>
            <w:rStyle w:val="Hyperlink"/>
            <w:rFonts w:ascii="Arial" w:hAnsi="Arial" w:cs="Arial"/>
            <w:sz w:val="22"/>
            <w:szCs w:val="22"/>
          </w:rPr>
          <w:t>www.treasurydirect.gov</w:t>
        </w:r>
      </w:hyperlink>
      <w:r w:rsidRPr="00B2276A">
        <w:rPr>
          <w:rFonts w:ascii="Arial" w:hAnsi="Arial" w:cs="Arial"/>
          <w:sz w:val="22"/>
          <w:szCs w:val="22"/>
        </w:rPr>
        <w:t xml:space="preserve"> to buy and manage Treasury securities online, 24/7.</w:t>
      </w:r>
      <w:r>
        <w:rPr>
          <w:rFonts w:ascii="Arial" w:hAnsi="Arial" w:cs="Arial"/>
          <w:sz w:val="22"/>
          <w:szCs w:val="22"/>
        </w:rPr>
        <w:t xml:space="preserve"> </w:t>
      </w:r>
      <w:r w:rsidRPr="00B2276A">
        <w:rPr>
          <w:rFonts w:ascii="Arial" w:hAnsi="Arial" w:cs="Arial"/>
          <w:sz w:val="22"/>
          <w:szCs w:val="22"/>
        </w:rPr>
        <w:t xml:space="preserve">There is no fee for using </w:t>
      </w:r>
      <w:proofErr w:type="spellStart"/>
      <w:r w:rsidRPr="00B2276A">
        <w:rPr>
          <w:rFonts w:ascii="Arial" w:hAnsi="Arial" w:cs="Arial"/>
          <w:sz w:val="22"/>
          <w:szCs w:val="22"/>
        </w:rPr>
        <w:t>TreasuryDirect</w:t>
      </w:r>
      <w:proofErr w:type="spellEnd"/>
      <w:r w:rsidRPr="00B2276A">
        <w:rPr>
          <w:rFonts w:ascii="Arial" w:hAnsi="Arial" w:cs="Arial"/>
          <w:sz w:val="22"/>
          <w:szCs w:val="22"/>
        </w:rPr>
        <w:t xml:space="preserve">. </w:t>
      </w:r>
    </w:p>
    <w:p w:rsidR="00E94512" w:rsidRDefault="00E94512" w:rsidP="00B2276A">
      <w:pPr>
        <w:ind w:left="-634" w:right="-806"/>
        <w:rPr>
          <w:rFonts w:ascii="Arial" w:hAnsi="Arial" w:cs="Arial"/>
          <w:sz w:val="22"/>
          <w:szCs w:val="22"/>
        </w:rPr>
      </w:pPr>
    </w:p>
    <w:p w:rsidR="006D3099" w:rsidRDefault="006D3099" w:rsidP="006D3099">
      <w:pPr>
        <w:numPr>
          <w:ilvl w:val="0"/>
          <w:numId w:val="4"/>
        </w:numPr>
        <w:ind w:right="-81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For customers who want to redeem paper bonds</w:t>
      </w:r>
    </w:p>
    <w:p w:rsidR="006D3099" w:rsidRDefault="006D3099" w:rsidP="001F3557">
      <w:pPr>
        <w:ind w:left="-630" w:right="-810"/>
        <w:rPr>
          <w:rFonts w:ascii="Arial" w:hAnsi="Arial" w:cs="Arial"/>
          <w:sz w:val="22"/>
          <w:szCs w:val="22"/>
        </w:rPr>
      </w:pPr>
    </w:p>
    <w:p w:rsidR="006D3099" w:rsidRDefault="006D3099" w:rsidP="00B2276A">
      <w:pPr>
        <w:numPr>
          <w:ilvl w:val="1"/>
          <w:numId w:val="4"/>
        </w:numPr>
        <w:ind w:right="-80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As a paying agent of the U.S. Treasury, </w:t>
      </w:r>
      <w:r w:rsidR="00C2185C">
        <w:rPr>
          <w:rFonts w:ascii="Arial" w:hAnsi="Arial" w:cs="Arial"/>
          <w:sz w:val="22"/>
          <w:szCs w:val="22"/>
        </w:rPr>
        <w:t xml:space="preserve">we are </w:t>
      </w:r>
      <w:r>
        <w:rPr>
          <w:rFonts w:ascii="Arial" w:hAnsi="Arial" w:cs="Arial"/>
          <w:sz w:val="22"/>
          <w:szCs w:val="22"/>
        </w:rPr>
        <w:t>continuing to redeem paper bonds. From the customer perspective, nothing in the redemption process has changed.</w:t>
      </w:r>
    </w:p>
    <w:p w:rsidR="006D3099" w:rsidRDefault="006D3099" w:rsidP="00B2276A">
      <w:pPr>
        <w:ind w:left="-630" w:right="-806" w:firstLine="60"/>
        <w:rPr>
          <w:rFonts w:ascii="Arial" w:hAnsi="Arial" w:cs="Arial"/>
          <w:sz w:val="22"/>
          <w:szCs w:val="22"/>
        </w:rPr>
      </w:pPr>
    </w:p>
    <w:p w:rsidR="006D3099" w:rsidRDefault="006D3099" w:rsidP="00B2276A">
      <w:pPr>
        <w:numPr>
          <w:ilvl w:val="1"/>
          <w:numId w:val="4"/>
        </w:numPr>
        <w:ind w:right="-80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Customers can continue to hold paper bonds and are not being forced to convert them.</w:t>
      </w:r>
      <w:r w:rsidR="00C2185C">
        <w:rPr>
          <w:rFonts w:ascii="Arial" w:hAnsi="Arial" w:cs="Arial"/>
          <w:sz w:val="22"/>
          <w:szCs w:val="22"/>
        </w:rPr>
        <w:t xml:space="preserve">  They will continue to earn interest for 30 years from the issue date or until redeemed. </w:t>
      </w:r>
      <w:r>
        <w:rPr>
          <w:rFonts w:ascii="Arial" w:hAnsi="Arial" w:cs="Arial"/>
          <w:sz w:val="22"/>
          <w:szCs w:val="22"/>
        </w:rPr>
        <w:t xml:space="preserve"> </w:t>
      </w:r>
    </w:p>
    <w:p w:rsidR="006D3099" w:rsidRDefault="006D3099" w:rsidP="006D3099">
      <w:pPr>
        <w:ind w:left="-630" w:right="-810"/>
        <w:rPr>
          <w:rFonts w:ascii="Arial" w:hAnsi="Arial" w:cs="Arial"/>
          <w:sz w:val="22"/>
          <w:szCs w:val="22"/>
        </w:rPr>
      </w:pPr>
    </w:p>
    <w:p w:rsidR="006D3099" w:rsidRDefault="006D3099" w:rsidP="006D3099">
      <w:pPr>
        <w:numPr>
          <w:ilvl w:val="0"/>
          <w:numId w:val="4"/>
        </w:numPr>
        <w:ind w:right="-81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For custo</w:t>
      </w:r>
      <w:r w:rsidR="00C2185C">
        <w:rPr>
          <w:rFonts w:ascii="Arial" w:hAnsi="Arial" w:cs="Arial"/>
          <w:sz w:val="22"/>
          <w:szCs w:val="22"/>
        </w:rPr>
        <w:t>mers who want to buy paper bonds</w:t>
      </w:r>
    </w:p>
    <w:p w:rsidR="00C2185C" w:rsidRDefault="00C2185C" w:rsidP="00C2185C">
      <w:pPr>
        <w:ind w:left="90" w:right="-810"/>
        <w:rPr>
          <w:rFonts w:ascii="Arial" w:hAnsi="Arial" w:cs="Arial"/>
          <w:sz w:val="22"/>
          <w:szCs w:val="22"/>
        </w:rPr>
      </w:pPr>
    </w:p>
    <w:p w:rsidR="00C2185C" w:rsidRDefault="00C2185C" w:rsidP="00C2185C">
      <w:pPr>
        <w:numPr>
          <w:ilvl w:val="1"/>
          <w:numId w:val="4"/>
        </w:numPr>
        <w:ind w:right="-81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Paper bonds cannot be ordered using </w:t>
      </w:r>
      <w:proofErr w:type="spellStart"/>
      <w:r>
        <w:rPr>
          <w:rFonts w:ascii="Arial" w:hAnsi="Arial" w:cs="Arial"/>
          <w:sz w:val="22"/>
          <w:szCs w:val="22"/>
        </w:rPr>
        <w:t>TreasuryDirect</w:t>
      </w:r>
      <w:proofErr w:type="spellEnd"/>
      <w:r w:rsidR="00B90AC0">
        <w:rPr>
          <w:rFonts w:ascii="Arial" w:hAnsi="Arial" w:cs="Arial"/>
          <w:sz w:val="22"/>
          <w:szCs w:val="22"/>
        </w:rPr>
        <w:t>: only digital savings bonds.</w:t>
      </w:r>
    </w:p>
    <w:p w:rsidR="00C2185C" w:rsidRDefault="00C2185C" w:rsidP="00C2185C">
      <w:pPr>
        <w:ind w:left="-630" w:right="-810"/>
        <w:rPr>
          <w:rFonts w:ascii="Arial" w:hAnsi="Arial" w:cs="Arial"/>
          <w:sz w:val="22"/>
          <w:szCs w:val="22"/>
        </w:rPr>
      </w:pPr>
    </w:p>
    <w:p w:rsidR="00C2185C" w:rsidRDefault="00C2185C" w:rsidP="00C2185C">
      <w:pPr>
        <w:numPr>
          <w:ilvl w:val="1"/>
          <w:numId w:val="4"/>
        </w:numPr>
        <w:ind w:right="-81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only way customers can obtain paper bonds is by using their </w:t>
      </w:r>
      <w:r w:rsidR="00B90AC0">
        <w:rPr>
          <w:rFonts w:ascii="Arial" w:hAnsi="Arial" w:cs="Arial"/>
          <w:sz w:val="22"/>
          <w:szCs w:val="22"/>
        </w:rPr>
        <w:t xml:space="preserve">federal income </w:t>
      </w:r>
      <w:r>
        <w:rPr>
          <w:rFonts w:ascii="Arial" w:hAnsi="Arial" w:cs="Arial"/>
          <w:sz w:val="22"/>
          <w:szCs w:val="22"/>
        </w:rPr>
        <w:t>tax refund. They can request paper Series I s</w:t>
      </w:r>
      <w:r w:rsidR="00B2276A"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vings bonds by submitting IRS Form 8888 with their return. The form and instruction</w:t>
      </w:r>
      <w:r w:rsidR="00B90AC0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 are available on the IRS website </w:t>
      </w:r>
      <w:r w:rsidR="00B90AC0">
        <w:rPr>
          <w:rFonts w:ascii="Arial" w:hAnsi="Arial" w:cs="Arial"/>
          <w:sz w:val="22"/>
          <w:szCs w:val="22"/>
        </w:rPr>
        <w:t>www.irs.gov.</w:t>
      </w:r>
      <w:r>
        <w:rPr>
          <w:rFonts w:ascii="Arial" w:hAnsi="Arial" w:cs="Arial"/>
          <w:sz w:val="22"/>
          <w:szCs w:val="22"/>
        </w:rPr>
        <w:t xml:space="preserve">  </w:t>
      </w:r>
    </w:p>
    <w:p w:rsidR="00C2185C" w:rsidRDefault="00C2185C" w:rsidP="00C2185C">
      <w:pPr>
        <w:ind w:left="90" w:right="-810"/>
        <w:rPr>
          <w:rFonts w:ascii="Arial" w:hAnsi="Arial" w:cs="Arial"/>
          <w:sz w:val="22"/>
          <w:szCs w:val="22"/>
        </w:rPr>
      </w:pPr>
    </w:p>
    <w:p w:rsidR="00B2276A" w:rsidRDefault="00B2276A" w:rsidP="001F3557">
      <w:pPr>
        <w:ind w:left="-810" w:right="-1170"/>
        <w:rPr>
          <w:rFonts w:ascii="Arial" w:hAnsi="Arial" w:cs="Arial"/>
          <w:sz w:val="22"/>
          <w:szCs w:val="22"/>
        </w:rPr>
      </w:pPr>
    </w:p>
    <w:p w:rsidR="004568EE" w:rsidRDefault="004568EE" w:rsidP="00E9541D">
      <w:pPr>
        <w:ind w:left="-810" w:right="-1170"/>
        <w:jc w:val="center"/>
        <w:rPr>
          <w:rFonts w:ascii="Arial" w:hAnsi="Arial" w:cs="Arial"/>
          <w:sz w:val="22"/>
          <w:szCs w:val="22"/>
        </w:rPr>
      </w:pPr>
    </w:p>
    <w:p w:rsidR="004568EE" w:rsidRDefault="004568EE" w:rsidP="00E9541D">
      <w:pPr>
        <w:ind w:left="-810" w:right="-1170"/>
        <w:jc w:val="center"/>
        <w:rPr>
          <w:rFonts w:ascii="Arial" w:hAnsi="Arial" w:cs="Arial"/>
          <w:sz w:val="22"/>
          <w:szCs w:val="22"/>
        </w:rPr>
      </w:pPr>
    </w:p>
    <w:p w:rsidR="004568EE" w:rsidRDefault="004568EE" w:rsidP="00E9541D">
      <w:pPr>
        <w:ind w:left="-810" w:right="-1170"/>
        <w:jc w:val="center"/>
        <w:rPr>
          <w:rFonts w:ascii="Arial" w:hAnsi="Arial" w:cs="Arial"/>
          <w:sz w:val="22"/>
          <w:szCs w:val="22"/>
        </w:rPr>
      </w:pPr>
    </w:p>
    <w:p w:rsidR="004568EE" w:rsidRDefault="004568EE" w:rsidP="00E9541D">
      <w:pPr>
        <w:ind w:left="-810" w:right="-1170"/>
        <w:jc w:val="center"/>
        <w:rPr>
          <w:rFonts w:ascii="Arial" w:hAnsi="Arial" w:cs="Arial"/>
          <w:sz w:val="22"/>
          <w:szCs w:val="22"/>
        </w:rPr>
      </w:pPr>
    </w:p>
    <w:p w:rsidR="004568EE" w:rsidRDefault="004568EE" w:rsidP="00E9541D">
      <w:pPr>
        <w:ind w:left="-810" w:right="-1170"/>
        <w:jc w:val="center"/>
        <w:rPr>
          <w:rFonts w:ascii="Arial" w:hAnsi="Arial" w:cs="Arial"/>
          <w:sz w:val="22"/>
          <w:szCs w:val="22"/>
        </w:rPr>
      </w:pPr>
    </w:p>
    <w:p w:rsidR="004568EE" w:rsidRDefault="004568EE" w:rsidP="00E9541D">
      <w:pPr>
        <w:ind w:left="-810" w:right="-1170"/>
        <w:jc w:val="center"/>
        <w:rPr>
          <w:rFonts w:ascii="Arial" w:hAnsi="Arial" w:cs="Arial"/>
          <w:sz w:val="22"/>
          <w:szCs w:val="22"/>
        </w:rPr>
      </w:pPr>
    </w:p>
    <w:p w:rsidR="004568EE" w:rsidRDefault="004568EE" w:rsidP="00E9541D">
      <w:pPr>
        <w:ind w:left="-810" w:right="-1170"/>
        <w:jc w:val="center"/>
        <w:rPr>
          <w:rFonts w:ascii="Arial" w:hAnsi="Arial" w:cs="Arial"/>
          <w:sz w:val="22"/>
          <w:szCs w:val="22"/>
        </w:rPr>
      </w:pPr>
    </w:p>
    <w:p w:rsidR="00EF030C" w:rsidRPr="00462CA8" w:rsidRDefault="001F3557" w:rsidP="00E9541D">
      <w:pPr>
        <w:ind w:left="-810" w:right="-1170"/>
        <w:jc w:val="center"/>
        <w:rPr>
          <w:rFonts w:ascii="Futura" w:hAnsi="Futura"/>
          <w:i/>
        </w:rPr>
      </w:pPr>
      <w:proofErr w:type="spellStart"/>
      <w:r>
        <w:rPr>
          <w:rFonts w:ascii="Arial" w:hAnsi="Arial" w:cs="Arial"/>
          <w:i/>
          <w:sz w:val="19"/>
          <w:szCs w:val="19"/>
        </w:rPr>
        <w:t>Tre</w:t>
      </w:r>
      <w:bookmarkStart w:id="0" w:name="_GoBack"/>
      <w:bookmarkEnd w:id="0"/>
      <w:r>
        <w:rPr>
          <w:rFonts w:ascii="Arial" w:hAnsi="Arial" w:cs="Arial"/>
          <w:i/>
          <w:sz w:val="19"/>
          <w:szCs w:val="19"/>
        </w:rPr>
        <w:t>asuryDirect</w:t>
      </w:r>
      <w:proofErr w:type="spellEnd"/>
      <w:r>
        <w:rPr>
          <w:rFonts w:ascii="Arial" w:hAnsi="Arial" w:cs="Arial"/>
          <w:i/>
          <w:sz w:val="19"/>
          <w:szCs w:val="19"/>
        </w:rPr>
        <w:t xml:space="preserve"> is a registered mark</w:t>
      </w:r>
      <w:r w:rsidRPr="009801D1">
        <w:rPr>
          <w:rFonts w:ascii="Arial" w:hAnsi="Arial" w:cs="Arial"/>
          <w:i/>
          <w:sz w:val="19"/>
          <w:szCs w:val="19"/>
        </w:rPr>
        <w:t xml:space="preserve"> of the U.S. Department of the Treasur</w:t>
      </w:r>
      <w:r>
        <w:rPr>
          <w:rFonts w:ascii="Arial" w:hAnsi="Arial" w:cs="Arial"/>
          <w:i/>
          <w:sz w:val="19"/>
          <w:szCs w:val="19"/>
        </w:rPr>
        <w:t>y</w:t>
      </w:r>
    </w:p>
    <w:sectPr w:rsidR="00EF030C" w:rsidRPr="00462CA8" w:rsidSect="00C35618">
      <w:headerReference w:type="default" r:id="rId10"/>
      <w:pgSz w:w="12240" w:h="15840"/>
      <w:pgMar w:top="171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7E8F" w:rsidRDefault="00717E8F" w:rsidP="001E1D4C">
      <w:r>
        <w:separator/>
      </w:r>
    </w:p>
  </w:endnote>
  <w:endnote w:type="continuationSeparator" w:id="0">
    <w:p w:rsidR="00717E8F" w:rsidRDefault="00717E8F" w:rsidP="001E1D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Franklin Gothic Medium Cond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"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7E8F" w:rsidRDefault="00717E8F" w:rsidP="001E1D4C">
      <w:r>
        <w:separator/>
      </w:r>
    </w:p>
  </w:footnote>
  <w:footnote w:type="continuationSeparator" w:id="0">
    <w:p w:rsidR="00717E8F" w:rsidRDefault="00717E8F" w:rsidP="001E1D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304D" w:rsidRDefault="0007304D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2400" cy="10058400"/>
          <wp:effectExtent l="19050" t="0" r="0" b="0"/>
          <wp:wrapNone/>
          <wp:docPr id="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3513C5"/>
    <w:multiLevelType w:val="hybridMultilevel"/>
    <w:tmpl w:val="43742B16"/>
    <w:lvl w:ilvl="0" w:tplc="04090001">
      <w:start w:val="1"/>
      <w:numFmt w:val="bullet"/>
      <w:lvlText w:val=""/>
      <w:lvlJc w:val="left"/>
      <w:pPr>
        <w:ind w:left="-2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</w:abstractNum>
  <w:abstractNum w:abstractNumId="1">
    <w:nsid w:val="388B619E"/>
    <w:multiLevelType w:val="hybridMultilevel"/>
    <w:tmpl w:val="F356EAA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3FC20F5"/>
    <w:multiLevelType w:val="hybridMultilevel"/>
    <w:tmpl w:val="08D889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7144FD"/>
    <w:multiLevelType w:val="hybridMultilevel"/>
    <w:tmpl w:val="A330F8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10795F"/>
    <w:multiLevelType w:val="hybridMultilevel"/>
    <w:tmpl w:val="185E1B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B343E83"/>
    <w:multiLevelType w:val="hybridMultilevel"/>
    <w:tmpl w:val="8418F4F8"/>
    <w:lvl w:ilvl="0" w:tplc="04090001">
      <w:start w:val="1"/>
      <w:numFmt w:val="bullet"/>
      <w:lvlText w:val=""/>
      <w:lvlJc w:val="left"/>
      <w:pPr>
        <w:ind w:left="9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D4C"/>
    <w:rsid w:val="0001032B"/>
    <w:rsid w:val="00030F4F"/>
    <w:rsid w:val="0004665B"/>
    <w:rsid w:val="00064FF7"/>
    <w:rsid w:val="00070E50"/>
    <w:rsid w:val="0007304D"/>
    <w:rsid w:val="000D1D64"/>
    <w:rsid w:val="001034CE"/>
    <w:rsid w:val="00105805"/>
    <w:rsid w:val="00115C47"/>
    <w:rsid w:val="00125AE4"/>
    <w:rsid w:val="001B7270"/>
    <w:rsid w:val="001E1D4C"/>
    <w:rsid w:val="001F3557"/>
    <w:rsid w:val="0021435A"/>
    <w:rsid w:val="00234BBA"/>
    <w:rsid w:val="00237C1D"/>
    <w:rsid w:val="00267BEB"/>
    <w:rsid w:val="002C59F7"/>
    <w:rsid w:val="002F5C72"/>
    <w:rsid w:val="00320095"/>
    <w:rsid w:val="003433C3"/>
    <w:rsid w:val="00344B49"/>
    <w:rsid w:val="003525D9"/>
    <w:rsid w:val="0038719F"/>
    <w:rsid w:val="00393254"/>
    <w:rsid w:val="003C6A2E"/>
    <w:rsid w:val="00410DEB"/>
    <w:rsid w:val="004228EC"/>
    <w:rsid w:val="00423B13"/>
    <w:rsid w:val="004568EE"/>
    <w:rsid w:val="00462CA8"/>
    <w:rsid w:val="004B7267"/>
    <w:rsid w:val="004F2ADB"/>
    <w:rsid w:val="00511238"/>
    <w:rsid w:val="005334C9"/>
    <w:rsid w:val="0053557F"/>
    <w:rsid w:val="00556ED7"/>
    <w:rsid w:val="00591CA6"/>
    <w:rsid w:val="005A1C32"/>
    <w:rsid w:val="005B6F80"/>
    <w:rsid w:val="005F7C08"/>
    <w:rsid w:val="00642A0D"/>
    <w:rsid w:val="00675CAE"/>
    <w:rsid w:val="006A6F91"/>
    <w:rsid w:val="006B06CC"/>
    <w:rsid w:val="006B473E"/>
    <w:rsid w:val="006D3099"/>
    <w:rsid w:val="00706287"/>
    <w:rsid w:val="0071233D"/>
    <w:rsid w:val="007138E9"/>
    <w:rsid w:val="00717E8F"/>
    <w:rsid w:val="00721A4F"/>
    <w:rsid w:val="00760BFC"/>
    <w:rsid w:val="007743DB"/>
    <w:rsid w:val="0079069D"/>
    <w:rsid w:val="0079647D"/>
    <w:rsid w:val="007B17B5"/>
    <w:rsid w:val="00811613"/>
    <w:rsid w:val="008E0A42"/>
    <w:rsid w:val="00916F38"/>
    <w:rsid w:val="00A22117"/>
    <w:rsid w:val="00A263E7"/>
    <w:rsid w:val="00A541B5"/>
    <w:rsid w:val="00A7121A"/>
    <w:rsid w:val="00A97477"/>
    <w:rsid w:val="00B02B04"/>
    <w:rsid w:val="00B06FB5"/>
    <w:rsid w:val="00B21D15"/>
    <w:rsid w:val="00B2276A"/>
    <w:rsid w:val="00B74452"/>
    <w:rsid w:val="00B90AC0"/>
    <w:rsid w:val="00BF53F0"/>
    <w:rsid w:val="00C124FD"/>
    <w:rsid w:val="00C2102E"/>
    <w:rsid w:val="00C2185C"/>
    <w:rsid w:val="00C35618"/>
    <w:rsid w:val="00C5397A"/>
    <w:rsid w:val="00C77B5E"/>
    <w:rsid w:val="00CB470E"/>
    <w:rsid w:val="00CB6A2C"/>
    <w:rsid w:val="00CF6618"/>
    <w:rsid w:val="00D270B3"/>
    <w:rsid w:val="00D538B8"/>
    <w:rsid w:val="00D81EE3"/>
    <w:rsid w:val="00E07D87"/>
    <w:rsid w:val="00E50DC0"/>
    <w:rsid w:val="00E7550D"/>
    <w:rsid w:val="00E94512"/>
    <w:rsid w:val="00E9541D"/>
    <w:rsid w:val="00ED22B9"/>
    <w:rsid w:val="00ED6D82"/>
    <w:rsid w:val="00EF030C"/>
    <w:rsid w:val="00EF4D8B"/>
    <w:rsid w:val="00EF4F24"/>
    <w:rsid w:val="00EF75C9"/>
    <w:rsid w:val="00F01D51"/>
    <w:rsid w:val="00F71C9A"/>
    <w:rsid w:val="00F76836"/>
    <w:rsid w:val="00F85982"/>
    <w:rsid w:val="00F86B49"/>
    <w:rsid w:val="00FB6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Times New Roman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1EE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1D4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1D4C"/>
  </w:style>
  <w:style w:type="paragraph" w:styleId="Footer">
    <w:name w:val="footer"/>
    <w:basedOn w:val="Normal"/>
    <w:link w:val="FooterChar"/>
    <w:uiPriority w:val="99"/>
    <w:unhideWhenUsed/>
    <w:rsid w:val="001E1D4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1D4C"/>
  </w:style>
  <w:style w:type="paragraph" w:styleId="BalloonText">
    <w:name w:val="Balloon Text"/>
    <w:basedOn w:val="Normal"/>
    <w:link w:val="BalloonTextChar"/>
    <w:uiPriority w:val="99"/>
    <w:semiHidden/>
    <w:unhideWhenUsed/>
    <w:rsid w:val="001E1D4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E1D4C"/>
    <w:rPr>
      <w:rFonts w:ascii="Lucida Grande" w:hAnsi="Lucida Grande" w:cs="Lucida Grande"/>
      <w:sz w:val="18"/>
      <w:szCs w:val="18"/>
    </w:rPr>
  </w:style>
  <w:style w:type="paragraph" w:customStyle="1" w:styleId="Standard">
    <w:name w:val="Standard"/>
    <w:rsid w:val="00462CA8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Calibri"/>
      <w:kern w:val="3"/>
      <w:sz w:val="22"/>
      <w:szCs w:val="22"/>
      <w:lang w:eastAsia="zh-CN"/>
    </w:rPr>
  </w:style>
  <w:style w:type="character" w:styleId="Hyperlink">
    <w:name w:val="Hyperlink"/>
    <w:uiPriority w:val="99"/>
    <w:unhideWhenUsed/>
    <w:rsid w:val="00462CA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62CA8"/>
    <w:pPr>
      <w:widowControl w:val="0"/>
      <w:suppressAutoHyphens/>
      <w:autoSpaceDN w:val="0"/>
      <w:ind w:left="720"/>
      <w:textAlignment w:val="baseline"/>
    </w:pPr>
    <w:rPr>
      <w:rFonts w:ascii="Times New Roman" w:eastAsia="SimSun" w:hAnsi="Times New Roman" w:cs="Mangal"/>
      <w:kern w:val="3"/>
      <w:szCs w:val="21"/>
      <w:lang w:eastAsia="zh-CN" w:bidi="hi-IN"/>
    </w:rPr>
  </w:style>
  <w:style w:type="character" w:styleId="CommentReference">
    <w:name w:val="annotation reference"/>
    <w:uiPriority w:val="99"/>
    <w:semiHidden/>
    <w:unhideWhenUsed/>
    <w:rsid w:val="000D1D6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D1D64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0D1D6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D6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D1D64"/>
    <w:rPr>
      <w:b/>
      <w:bCs/>
      <w:sz w:val="20"/>
      <w:szCs w:val="20"/>
    </w:rPr>
  </w:style>
  <w:style w:type="character" w:styleId="FollowedHyperlink">
    <w:name w:val="FollowedHyperlink"/>
    <w:uiPriority w:val="99"/>
    <w:semiHidden/>
    <w:unhideWhenUsed/>
    <w:rsid w:val="00916F38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Times New Roman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1EE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1D4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1D4C"/>
  </w:style>
  <w:style w:type="paragraph" w:styleId="Footer">
    <w:name w:val="footer"/>
    <w:basedOn w:val="Normal"/>
    <w:link w:val="FooterChar"/>
    <w:uiPriority w:val="99"/>
    <w:unhideWhenUsed/>
    <w:rsid w:val="001E1D4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1D4C"/>
  </w:style>
  <w:style w:type="paragraph" w:styleId="BalloonText">
    <w:name w:val="Balloon Text"/>
    <w:basedOn w:val="Normal"/>
    <w:link w:val="BalloonTextChar"/>
    <w:uiPriority w:val="99"/>
    <w:semiHidden/>
    <w:unhideWhenUsed/>
    <w:rsid w:val="001E1D4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E1D4C"/>
    <w:rPr>
      <w:rFonts w:ascii="Lucida Grande" w:hAnsi="Lucida Grande" w:cs="Lucida Grande"/>
      <w:sz w:val="18"/>
      <w:szCs w:val="18"/>
    </w:rPr>
  </w:style>
  <w:style w:type="paragraph" w:customStyle="1" w:styleId="Standard">
    <w:name w:val="Standard"/>
    <w:rsid w:val="00462CA8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Calibri"/>
      <w:kern w:val="3"/>
      <w:sz w:val="22"/>
      <w:szCs w:val="22"/>
      <w:lang w:eastAsia="zh-CN"/>
    </w:rPr>
  </w:style>
  <w:style w:type="character" w:styleId="Hyperlink">
    <w:name w:val="Hyperlink"/>
    <w:uiPriority w:val="99"/>
    <w:unhideWhenUsed/>
    <w:rsid w:val="00462CA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62CA8"/>
    <w:pPr>
      <w:widowControl w:val="0"/>
      <w:suppressAutoHyphens/>
      <w:autoSpaceDN w:val="0"/>
      <w:ind w:left="720"/>
      <w:textAlignment w:val="baseline"/>
    </w:pPr>
    <w:rPr>
      <w:rFonts w:ascii="Times New Roman" w:eastAsia="SimSun" w:hAnsi="Times New Roman" w:cs="Mangal"/>
      <w:kern w:val="3"/>
      <w:szCs w:val="21"/>
      <w:lang w:eastAsia="zh-CN" w:bidi="hi-IN"/>
    </w:rPr>
  </w:style>
  <w:style w:type="character" w:styleId="CommentReference">
    <w:name w:val="annotation reference"/>
    <w:uiPriority w:val="99"/>
    <w:semiHidden/>
    <w:unhideWhenUsed/>
    <w:rsid w:val="000D1D6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D1D64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0D1D6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D6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D1D64"/>
    <w:rPr>
      <w:b/>
      <w:bCs/>
      <w:sz w:val="20"/>
      <w:szCs w:val="20"/>
    </w:rPr>
  </w:style>
  <w:style w:type="character" w:styleId="FollowedHyperlink">
    <w:name w:val="FollowedHyperlink"/>
    <w:uiPriority w:val="99"/>
    <w:semiHidden/>
    <w:unhideWhenUsed/>
    <w:rsid w:val="00916F38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treasurydirect.gov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391E3B-FE95-4F8A-855F-99C647334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228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IPG, Inc.</Company>
  <LinksUpToDate>false</LinksUpToDate>
  <CharactersWithSpaces>1530</CharactersWithSpaces>
  <SharedDoc>false</SharedDoc>
  <HLinks>
    <vt:vector size="12" baseType="variant">
      <vt:variant>
        <vt:i4>2097190</vt:i4>
      </vt:variant>
      <vt:variant>
        <vt:i4>3</vt:i4>
      </vt:variant>
      <vt:variant>
        <vt:i4>0</vt:i4>
      </vt:variant>
      <vt:variant>
        <vt:i4>5</vt:i4>
      </vt:variant>
      <vt:variant>
        <vt:lpwstr>http://www.treasurydirect.gov/</vt:lpwstr>
      </vt:variant>
      <vt:variant>
        <vt:lpwstr/>
      </vt:variant>
      <vt:variant>
        <vt:i4>2097190</vt:i4>
      </vt:variant>
      <vt:variant>
        <vt:i4>0</vt:i4>
      </vt:variant>
      <vt:variant>
        <vt:i4>0</vt:i4>
      </vt:variant>
      <vt:variant>
        <vt:i4>5</vt:i4>
      </vt:variant>
      <vt:variant>
        <vt:lpwstr>http://www.treasurydirect.gov/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Weber Shandwick</dc:creator>
  <cp:lastModifiedBy>sue.diekman</cp:lastModifiedBy>
  <cp:revision>2</cp:revision>
  <cp:lastPrinted>2011-08-23T23:21:00Z</cp:lastPrinted>
  <dcterms:created xsi:type="dcterms:W3CDTF">2012-03-19T15:43:00Z</dcterms:created>
  <dcterms:modified xsi:type="dcterms:W3CDTF">2012-03-19T15:43:00Z</dcterms:modified>
</cp:coreProperties>
</file>