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C2" w:rsidRDefault="005B5F11" w:rsidP="009E3A1C">
      <w:pPr>
        <w:widowControl w:val="0"/>
        <w:jc w:val="center"/>
        <w:rPr>
          <w:b/>
          <w:bCs/>
          <w:szCs w:val="24"/>
        </w:rPr>
      </w:pPr>
      <w:r>
        <w:rPr>
          <w:szCs w:val="24"/>
          <w:lang w:val="en-CA"/>
        </w:rPr>
        <w:fldChar w:fldCharType="begin"/>
      </w:r>
      <w:r w:rsidR="001872C2">
        <w:rPr>
          <w:szCs w:val="24"/>
          <w:lang w:val="en-CA"/>
        </w:rPr>
        <w:instrText xml:space="preserve"> SEQ CHAPTER \h \r 1</w:instrText>
      </w:r>
      <w:r>
        <w:rPr>
          <w:szCs w:val="24"/>
          <w:lang w:val="en-CA"/>
        </w:rPr>
        <w:fldChar w:fldCharType="end"/>
      </w:r>
      <w:r w:rsidR="001872C2">
        <w:rPr>
          <w:b/>
          <w:bCs/>
          <w:szCs w:val="24"/>
        </w:rPr>
        <w:t xml:space="preserve">UNITED STATES DISTRICT COURT </w:t>
      </w:r>
    </w:p>
    <w:p w:rsidR="001872C2" w:rsidRDefault="00A253E6" w:rsidP="009E3A1C">
      <w:pPr>
        <w:widowControl w:val="0"/>
        <w:jc w:val="center"/>
        <w:rPr>
          <w:b/>
          <w:bCs/>
          <w:szCs w:val="24"/>
        </w:rPr>
      </w:pPr>
      <w:r>
        <w:rPr>
          <w:b/>
          <w:bCs/>
          <w:szCs w:val="24"/>
        </w:rPr>
        <w:t xml:space="preserve">SOUTHERN </w:t>
      </w:r>
      <w:r w:rsidR="001872C2">
        <w:rPr>
          <w:b/>
          <w:bCs/>
          <w:szCs w:val="24"/>
        </w:rPr>
        <w:t xml:space="preserve">DISTRICT OF </w:t>
      </w:r>
      <w:r>
        <w:rPr>
          <w:b/>
          <w:bCs/>
          <w:szCs w:val="24"/>
        </w:rPr>
        <w:t>FLORIDA</w:t>
      </w:r>
    </w:p>
    <w:p w:rsidR="00D10CA9" w:rsidRDefault="00D10CA9" w:rsidP="009E3A1C">
      <w:pPr>
        <w:widowControl w:val="0"/>
        <w:jc w:val="center"/>
        <w:rPr>
          <w:b/>
          <w:bCs/>
          <w:szCs w:val="24"/>
        </w:rPr>
      </w:pPr>
      <w:r>
        <w:rPr>
          <w:b/>
          <w:bCs/>
          <w:szCs w:val="24"/>
        </w:rPr>
        <w:t>FORT LAUDERDALE DIVISION</w:t>
      </w:r>
    </w:p>
    <w:p w:rsidR="00A253E6" w:rsidRDefault="00A253E6" w:rsidP="009E3A1C">
      <w:pPr>
        <w:widowControl w:val="0"/>
        <w:jc w:val="center"/>
        <w:rPr>
          <w:bCs/>
          <w:szCs w:val="24"/>
        </w:rPr>
      </w:pPr>
    </w:p>
    <w:p w:rsidR="001872C2" w:rsidRPr="00A253E6" w:rsidRDefault="00A253E6" w:rsidP="009E3A1C">
      <w:pPr>
        <w:widowControl w:val="0"/>
        <w:jc w:val="center"/>
        <w:rPr>
          <w:bCs/>
          <w:szCs w:val="24"/>
        </w:rPr>
      </w:pPr>
      <w:r w:rsidRPr="00A253E6">
        <w:rPr>
          <w:bCs/>
          <w:szCs w:val="24"/>
        </w:rPr>
        <w:t>Case No.</w:t>
      </w:r>
      <w:r w:rsidR="002B3682">
        <w:rPr>
          <w:bCs/>
          <w:szCs w:val="24"/>
        </w:rPr>
        <w:t xml:space="preserve"> 0:12-cv-60460-CIV-ZLOCH</w:t>
      </w:r>
    </w:p>
    <w:p w:rsidR="00A253E6" w:rsidRDefault="00A253E6" w:rsidP="009E3A1C">
      <w:pPr>
        <w:widowControl w:val="0"/>
        <w:tabs>
          <w:tab w:val="left" w:pos="720"/>
          <w:tab w:val="left" w:pos="1440"/>
          <w:tab w:val="left" w:pos="2160"/>
          <w:tab w:val="left" w:pos="2880"/>
          <w:tab w:val="left" w:pos="3600"/>
          <w:tab w:val="left" w:pos="4320"/>
          <w:tab w:val="left" w:pos="5040"/>
          <w:tab w:val="left" w:pos="5760"/>
          <w:tab w:val="left" w:pos="6480"/>
        </w:tabs>
        <w:ind w:left="6480" w:hanging="6480"/>
        <w:rPr>
          <w:szCs w:val="24"/>
        </w:rPr>
      </w:pPr>
    </w:p>
    <w:tbl>
      <w:tblPr>
        <w:tblW w:w="0" w:type="auto"/>
        <w:tblInd w:w="108" w:type="dxa"/>
        <w:tblLook w:val="04A0"/>
      </w:tblPr>
      <w:tblGrid>
        <w:gridCol w:w="4511"/>
        <w:gridCol w:w="4345"/>
      </w:tblGrid>
      <w:tr w:rsidR="0049438B" w:rsidRPr="00333226" w:rsidTr="0049438B">
        <w:tc>
          <w:tcPr>
            <w:tcW w:w="4511" w:type="dxa"/>
          </w:tcPr>
          <w:p w:rsidR="0049438B" w:rsidRPr="00653727" w:rsidRDefault="002B3682" w:rsidP="00653727">
            <w:pPr>
              <w:ind w:firstLine="12"/>
              <w:rPr>
                <w:szCs w:val="24"/>
              </w:rPr>
            </w:pPr>
            <w:r>
              <w:rPr>
                <w:b/>
                <w:szCs w:val="24"/>
              </w:rPr>
              <w:t>T.H.</w:t>
            </w:r>
            <w:r w:rsidRPr="002B3682">
              <w:rPr>
                <w:szCs w:val="24"/>
              </w:rPr>
              <w:t>,</w:t>
            </w:r>
            <w:r>
              <w:rPr>
                <w:b/>
                <w:szCs w:val="24"/>
              </w:rPr>
              <w:t xml:space="preserve"> </w:t>
            </w:r>
            <w:r w:rsidRPr="002B3682">
              <w:rPr>
                <w:szCs w:val="24"/>
              </w:rPr>
              <w:t>by and through her next friend, Paolo Annino;</w:t>
            </w:r>
            <w:r>
              <w:rPr>
                <w:b/>
                <w:szCs w:val="24"/>
              </w:rPr>
              <w:t xml:space="preserve"> A.C.</w:t>
            </w:r>
            <w:r w:rsidRPr="002B3682">
              <w:rPr>
                <w:szCs w:val="24"/>
              </w:rPr>
              <w:t xml:space="preserve">, by and through his next friend,  Zurale Cali; </w:t>
            </w:r>
            <w:r w:rsidR="0049438B" w:rsidRPr="0049438B">
              <w:rPr>
                <w:b/>
                <w:szCs w:val="24"/>
              </w:rPr>
              <w:t>A.R.</w:t>
            </w:r>
            <w:r w:rsidR="0049438B" w:rsidRPr="0049438B">
              <w:rPr>
                <w:szCs w:val="24"/>
              </w:rPr>
              <w:t xml:space="preserve">, by and through her next friend, Susan Root; </w:t>
            </w:r>
            <w:r w:rsidR="0049438B" w:rsidRPr="002B3682">
              <w:rPr>
                <w:b/>
                <w:szCs w:val="24"/>
              </w:rPr>
              <w:t>C.V.</w:t>
            </w:r>
            <w:r w:rsidR="0049438B" w:rsidRPr="0049438B">
              <w:rPr>
                <w:szCs w:val="24"/>
              </w:rPr>
              <w:t xml:space="preserve">, by and through his next friends, Michael and Johnette Wahlquist; </w:t>
            </w:r>
            <w:r w:rsidR="0049438B" w:rsidRPr="002B3682">
              <w:rPr>
                <w:b/>
                <w:szCs w:val="24"/>
              </w:rPr>
              <w:t>M.D.</w:t>
            </w:r>
            <w:r w:rsidR="0049438B" w:rsidRPr="0049438B">
              <w:rPr>
                <w:szCs w:val="24"/>
              </w:rPr>
              <w:t xml:space="preserve">, by and through her next friend, Pamela DeCambra; </w:t>
            </w:r>
            <w:r w:rsidR="0049438B" w:rsidRPr="002B3682">
              <w:rPr>
                <w:b/>
                <w:szCs w:val="24"/>
              </w:rPr>
              <w:t>C.M.</w:t>
            </w:r>
            <w:r w:rsidR="0049438B" w:rsidRPr="0049438B">
              <w:rPr>
                <w:szCs w:val="24"/>
              </w:rPr>
              <w:t xml:space="preserve">, by and through his next friend, Norine Mitchell; </w:t>
            </w:r>
            <w:r w:rsidR="0049438B" w:rsidRPr="002B3682">
              <w:rPr>
                <w:b/>
                <w:szCs w:val="24"/>
              </w:rPr>
              <w:t>B.M.</w:t>
            </w:r>
            <w:r w:rsidR="0049438B" w:rsidRPr="0049438B">
              <w:rPr>
                <w:szCs w:val="24"/>
              </w:rPr>
              <w:t xml:space="preserve">, by and through his next friend, Kayla Moore; </w:t>
            </w:r>
            <w:r w:rsidR="0049438B" w:rsidRPr="002B3682">
              <w:rPr>
                <w:b/>
                <w:szCs w:val="24"/>
              </w:rPr>
              <w:t>T.F.</w:t>
            </w:r>
            <w:r w:rsidR="0049438B" w:rsidRPr="0049438B">
              <w:rPr>
                <w:szCs w:val="24"/>
              </w:rPr>
              <w:t>, by and through his next friend, Michael and Liz Fauerbach; each individually, and on behalf of all other children similarly situated in the State of Florida,</w:t>
            </w:r>
          </w:p>
        </w:tc>
        <w:tc>
          <w:tcPr>
            <w:tcW w:w="4345" w:type="dxa"/>
          </w:tcPr>
          <w:p w:rsidR="0049438B" w:rsidRPr="00333226" w:rsidRDefault="0049438B" w:rsidP="009E3A1C">
            <w:pPr>
              <w:rPr>
                <w:b/>
                <w:szCs w:val="24"/>
              </w:rPr>
            </w:pPr>
          </w:p>
        </w:tc>
      </w:tr>
      <w:tr w:rsidR="0049438B" w:rsidRPr="00333226" w:rsidTr="0049438B">
        <w:tc>
          <w:tcPr>
            <w:tcW w:w="4511" w:type="dxa"/>
          </w:tcPr>
          <w:p w:rsidR="0049438B" w:rsidRPr="00333226" w:rsidRDefault="0049438B" w:rsidP="009E3A1C">
            <w:pPr>
              <w:ind w:firstLine="720"/>
              <w:rPr>
                <w:szCs w:val="24"/>
              </w:rPr>
            </w:pPr>
          </w:p>
          <w:p w:rsidR="0049438B" w:rsidRPr="00333226" w:rsidRDefault="0049438B" w:rsidP="009E3A1C">
            <w:pPr>
              <w:ind w:firstLine="720"/>
              <w:rPr>
                <w:szCs w:val="24"/>
              </w:rPr>
            </w:pPr>
            <w:r w:rsidRPr="00333226">
              <w:rPr>
                <w:szCs w:val="24"/>
              </w:rPr>
              <w:t>Plaintiffs,</w:t>
            </w:r>
            <w:r w:rsidRPr="00333226">
              <w:rPr>
                <w:szCs w:val="24"/>
              </w:rPr>
              <w:tab/>
            </w:r>
          </w:p>
          <w:p w:rsidR="0049438B" w:rsidRDefault="0049438B" w:rsidP="009E3A1C">
            <w:pPr>
              <w:rPr>
                <w:b/>
                <w:szCs w:val="24"/>
              </w:rPr>
            </w:pPr>
            <w:r w:rsidRPr="00333226">
              <w:rPr>
                <w:b/>
                <w:szCs w:val="24"/>
              </w:rPr>
              <w:t>v.</w:t>
            </w:r>
          </w:p>
          <w:p w:rsidR="008C09FD" w:rsidRPr="00333226" w:rsidRDefault="008C09FD" w:rsidP="009E3A1C">
            <w:pPr>
              <w:rPr>
                <w:b/>
                <w:szCs w:val="24"/>
              </w:rPr>
            </w:pPr>
          </w:p>
        </w:tc>
        <w:tc>
          <w:tcPr>
            <w:tcW w:w="4345" w:type="dxa"/>
          </w:tcPr>
          <w:p w:rsidR="0049438B" w:rsidRPr="00333226" w:rsidRDefault="0049438B" w:rsidP="009E3A1C">
            <w:pPr>
              <w:widowControl w:val="0"/>
              <w:rPr>
                <w:b/>
                <w:szCs w:val="24"/>
              </w:rPr>
            </w:pPr>
          </w:p>
        </w:tc>
      </w:tr>
      <w:tr w:rsidR="0049438B" w:rsidRPr="00333226" w:rsidTr="0049438B">
        <w:tc>
          <w:tcPr>
            <w:tcW w:w="4511" w:type="dxa"/>
          </w:tcPr>
          <w:p w:rsidR="0049438B" w:rsidRPr="00333226" w:rsidRDefault="0049438B" w:rsidP="009E3A1C">
            <w:pPr>
              <w:ind w:left="12" w:firstLine="12"/>
              <w:rPr>
                <w:caps/>
                <w:szCs w:val="24"/>
              </w:rPr>
            </w:pPr>
            <w:r w:rsidRPr="00333226">
              <w:rPr>
                <w:b/>
                <w:caps/>
                <w:szCs w:val="24"/>
              </w:rPr>
              <w:t>ELIZABETH DUDEK</w:t>
            </w:r>
            <w:r w:rsidRPr="00333226">
              <w:rPr>
                <w:caps/>
                <w:szCs w:val="24"/>
              </w:rPr>
              <w:t xml:space="preserve">, </w:t>
            </w:r>
            <w:r w:rsidRPr="00333226">
              <w:rPr>
                <w:szCs w:val="24"/>
              </w:rPr>
              <w:t xml:space="preserve">in her official </w:t>
            </w:r>
          </w:p>
          <w:p w:rsidR="0049438B" w:rsidRPr="00333226" w:rsidRDefault="0049438B" w:rsidP="009E3A1C">
            <w:pPr>
              <w:ind w:left="12" w:firstLine="12"/>
              <w:rPr>
                <w:szCs w:val="24"/>
              </w:rPr>
            </w:pPr>
            <w:r w:rsidRPr="00333226">
              <w:rPr>
                <w:szCs w:val="24"/>
              </w:rPr>
              <w:t xml:space="preserve">capacity as Secretary of the Agency for </w:t>
            </w:r>
          </w:p>
          <w:p w:rsidR="0049438B" w:rsidRPr="00333226" w:rsidRDefault="0049438B" w:rsidP="009E3A1C">
            <w:pPr>
              <w:ind w:left="12" w:firstLine="12"/>
              <w:rPr>
                <w:caps/>
                <w:szCs w:val="24"/>
              </w:rPr>
            </w:pPr>
            <w:r w:rsidRPr="00333226">
              <w:rPr>
                <w:szCs w:val="24"/>
              </w:rPr>
              <w:t>Health Care Administration</w:t>
            </w:r>
            <w:r w:rsidRPr="00333226">
              <w:rPr>
                <w:caps/>
                <w:szCs w:val="24"/>
              </w:rPr>
              <w:t>;</w:t>
            </w:r>
            <w:r>
              <w:rPr>
                <w:caps/>
                <w:szCs w:val="24"/>
              </w:rPr>
              <w:t xml:space="preserve"> </w:t>
            </w:r>
            <w:r w:rsidRPr="00E85F41">
              <w:rPr>
                <w:b/>
                <w:caps/>
                <w:szCs w:val="24"/>
              </w:rPr>
              <w:t>Harry frank Farmer, jr.</w:t>
            </w:r>
            <w:r>
              <w:rPr>
                <w:caps/>
                <w:szCs w:val="24"/>
              </w:rPr>
              <w:t xml:space="preserve">, </w:t>
            </w:r>
            <w:r w:rsidRPr="0049438B">
              <w:rPr>
                <w:szCs w:val="24"/>
              </w:rPr>
              <w:t>in his official capacity as the state Surgeon General of the Florida Department of Health;</w:t>
            </w:r>
            <w:r>
              <w:rPr>
                <w:szCs w:val="24"/>
              </w:rPr>
              <w:t xml:space="preserve"> </w:t>
            </w:r>
            <w:r>
              <w:rPr>
                <w:b/>
                <w:caps/>
                <w:szCs w:val="24"/>
              </w:rPr>
              <w:t>K</w:t>
            </w:r>
            <w:r w:rsidRPr="00333226">
              <w:rPr>
                <w:b/>
                <w:caps/>
                <w:szCs w:val="24"/>
              </w:rPr>
              <w:t>ristina wiggins</w:t>
            </w:r>
            <w:r w:rsidRPr="00333226">
              <w:rPr>
                <w:caps/>
                <w:szCs w:val="24"/>
              </w:rPr>
              <w:t xml:space="preserve">, </w:t>
            </w:r>
            <w:r w:rsidRPr="00333226">
              <w:rPr>
                <w:szCs w:val="24"/>
              </w:rPr>
              <w:t xml:space="preserve">in her official capacity as Deputy Secretary of the Florida Department of Health and Director of Children’s Medical Services, and </w:t>
            </w:r>
            <w:r w:rsidRPr="00333226">
              <w:rPr>
                <w:b/>
                <w:szCs w:val="24"/>
              </w:rPr>
              <w:t>eQHEALTH SOLUTIONS, INC.</w:t>
            </w:r>
            <w:r w:rsidRPr="00333226">
              <w:rPr>
                <w:szCs w:val="24"/>
              </w:rPr>
              <w:t>, a Louisiana non-profit corporation,</w:t>
            </w:r>
          </w:p>
          <w:p w:rsidR="0049438B" w:rsidRPr="00333226" w:rsidRDefault="0049438B" w:rsidP="009E3A1C">
            <w:pPr>
              <w:rPr>
                <w:szCs w:val="24"/>
              </w:rPr>
            </w:pPr>
            <w:r w:rsidRPr="00333226">
              <w:rPr>
                <w:szCs w:val="24"/>
              </w:rPr>
              <w:tab/>
            </w:r>
          </w:p>
          <w:p w:rsidR="0049438B" w:rsidRPr="00333226" w:rsidRDefault="0049438B" w:rsidP="009E3A1C">
            <w:pPr>
              <w:ind w:firstLine="732"/>
              <w:rPr>
                <w:b/>
                <w:szCs w:val="24"/>
              </w:rPr>
            </w:pPr>
            <w:r w:rsidRPr="00333226">
              <w:rPr>
                <w:szCs w:val="24"/>
              </w:rPr>
              <w:t>Defendants.</w:t>
            </w:r>
            <w:r w:rsidRPr="00333226">
              <w:rPr>
                <w:szCs w:val="24"/>
              </w:rPr>
              <w:tab/>
            </w:r>
          </w:p>
        </w:tc>
        <w:tc>
          <w:tcPr>
            <w:tcW w:w="4345" w:type="dxa"/>
          </w:tcPr>
          <w:p w:rsidR="0049438B" w:rsidRPr="00333226" w:rsidRDefault="0049438B" w:rsidP="009E3A1C">
            <w:pPr>
              <w:rPr>
                <w:b/>
                <w:szCs w:val="24"/>
              </w:rPr>
            </w:pPr>
          </w:p>
        </w:tc>
      </w:tr>
      <w:tr w:rsidR="0049438B" w:rsidRPr="00333226" w:rsidTr="0049438B">
        <w:tc>
          <w:tcPr>
            <w:tcW w:w="4511" w:type="dxa"/>
          </w:tcPr>
          <w:p w:rsidR="0049438B" w:rsidRPr="00333226" w:rsidRDefault="002A42F5" w:rsidP="009E3A1C">
            <w:pPr>
              <w:ind w:left="12" w:firstLine="12"/>
              <w:rPr>
                <w:b/>
                <w:caps/>
                <w:szCs w:val="24"/>
              </w:rPr>
            </w:pPr>
            <w:r>
              <w:rPr>
                <w:b/>
                <w:caps/>
                <w:szCs w:val="24"/>
              </w:rPr>
              <w:t>________</w:t>
            </w:r>
            <w:r w:rsidR="00D10CA9">
              <w:rPr>
                <w:b/>
                <w:caps/>
                <w:szCs w:val="24"/>
              </w:rPr>
              <w:t>__________________________/</w:t>
            </w:r>
          </w:p>
        </w:tc>
        <w:tc>
          <w:tcPr>
            <w:tcW w:w="4345" w:type="dxa"/>
          </w:tcPr>
          <w:p w:rsidR="0049438B" w:rsidRPr="00333226" w:rsidRDefault="0049438B" w:rsidP="009E3A1C">
            <w:pPr>
              <w:rPr>
                <w:b/>
                <w:szCs w:val="24"/>
              </w:rPr>
            </w:pPr>
          </w:p>
        </w:tc>
      </w:tr>
    </w:tbl>
    <w:p w:rsidR="0049438B" w:rsidRDefault="0049438B" w:rsidP="009E3A1C">
      <w:pPr>
        <w:widowControl w:val="0"/>
        <w:rPr>
          <w:szCs w:val="24"/>
        </w:rPr>
      </w:pPr>
    </w:p>
    <w:p w:rsidR="008F6657" w:rsidRPr="00493EF2" w:rsidRDefault="008F6657" w:rsidP="009E3A1C">
      <w:pPr>
        <w:widowControl w:val="0"/>
        <w:spacing w:line="480" w:lineRule="auto"/>
        <w:jc w:val="center"/>
        <w:rPr>
          <w:b/>
          <w:szCs w:val="24"/>
        </w:rPr>
      </w:pPr>
      <w:r w:rsidRPr="00493EF2">
        <w:rPr>
          <w:b/>
          <w:szCs w:val="24"/>
        </w:rPr>
        <w:t>STATEMENT OF INTEREST OF THE UNITED STATES OF AMERICA</w:t>
      </w:r>
    </w:p>
    <w:p w:rsidR="008F6657" w:rsidRDefault="004B6BD4" w:rsidP="009E3A1C">
      <w:pPr>
        <w:widowControl w:val="0"/>
        <w:spacing w:line="480" w:lineRule="auto"/>
        <w:ind w:firstLine="720"/>
        <w:rPr>
          <w:szCs w:val="24"/>
        </w:rPr>
      </w:pPr>
      <w:r>
        <w:rPr>
          <w:szCs w:val="24"/>
        </w:rPr>
        <w:t xml:space="preserve">The United States </w:t>
      </w:r>
      <w:r w:rsidR="007C229E">
        <w:rPr>
          <w:szCs w:val="24"/>
        </w:rPr>
        <w:t>respectfully submits</w:t>
      </w:r>
      <w:r>
        <w:rPr>
          <w:szCs w:val="24"/>
        </w:rPr>
        <w:t xml:space="preserve"> this Statement of Interest, pursuant to 28 U.S.C. </w:t>
      </w:r>
    </w:p>
    <w:p w:rsidR="004B6BD4" w:rsidRDefault="004B6BD4" w:rsidP="009E3A1C">
      <w:pPr>
        <w:widowControl w:val="0"/>
        <w:spacing w:line="480" w:lineRule="auto"/>
        <w:rPr>
          <w:szCs w:val="24"/>
        </w:rPr>
      </w:pPr>
      <w:r>
        <w:rPr>
          <w:szCs w:val="24"/>
        </w:rPr>
        <w:lastRenderedPageBreak/>
        <w:t>§ 517,</w:t>
      </w:r>
      <w:r w:rsidR="0076027F">
        <w:rPr>
          <w:rStyle w:val="FootnoteReference"/>
          <w:szCs w:val="24"/>
        </w:rPr>
        <w:footnoteReference w:id="1"/>
      </w:r>
      <w:r>
        <w:rPr>
          <w:szCs w:val="24"/>
        </w:rPr>
        <w:t xml:space="preserve"> because this litigation implicates the proper interpretation and application</w:t>
      </w:r>
      <w:r w:rsidR="002B3682">
        <w:rPr>
          <w:szCs w:val="24"/>
        </w:rPr>
        <w:t xml:space="preserve"> of the integration mandate of T</w:t>
      </w:r>
      <w:r>
        <w:rPr>
          <w:szCs w:val="24"/>
        </w:rPr>
        <w:t xml:space="preserve">itle II of the Americans with Disabilities Act </w:t>
      </w:r>
      <w:r w:rsidR="007C229E">
        <w:rPr>
          <w:szCs w:val="24"/>
        </w:rPr>
        <w:t xml:space="preserve">of 1990 </w:t>
      </w:r>
      <w:r>
        <w:rPr>
          <w:szCs w:val="24"/>
        </w:rPr>
        <w:t xml:space="preserve">(“ADA”), 42 U.S.C. § 12101, </w:t>
      </w:r>
      <w:r w:rsidRPr="007C229E">
        <w:rPr>
          <w:i/>
          <w:szCs w:val="24"/>
        </w:rPr>
        <w:t>et. seq</w:t>
      </w:r>
      <w:r>
        <w:rPr>
          <w:szCs w:val="24"/>
        </w:rPr>
        <w:t xml:space="preserve">.  </w:t>
      </w:r>
      <w:r w:rsidRPr="007E4495">
        <w:rPr>
          <w:i/>
          <w:szCs w:val="24"/>
        </w:rPr>
        <w:t>See</w:t>
      </w:r>
      <w:r w:rsidRPr="00890E9B">
        <w:rPr>
          <w:szCs w:val="24"/>
        </w:rPr>
        <w:t xml:space="preserve"> </w:t>
      </w:r>
      <w:r w:rsidRPr="00890E9B">
        <w:rPr>
          <w:i/>
          <w:iCs/>
          <w:szCs w:val="24"/>
        </w:rPr>
        <w:t>Olmstead v. L.C.</w:t>
      </w:r>
      <w:r w:rsidRPr="00890E9B">
        <w:rPr>
          <w:szCs w:val="24"/>
        </w:rPr>
        <w:t>,</w:t>
      </w:r>
      <w:r>
        <w:rPr>
          <w:szCs w:val="24"/>
        </w:rPr>
        <w:t xml:space="preserve"> 527 U.S. 581 (1999).  The </w:t>
      </w:r>
      <w:r w:rsidR="007C229E">
        <w:rPr>
          <w:szCs w:val="24"/>
        </w:rPr>
        <w:t>Attorney General</w:t>
      </w:r>
      <w:r w:rsidR="006856BF">
        <w:rPr>
          <w:szCs w:val="24"/>
        </w:rPr>
        <w:t xml:space="preserve"> has authority</w:t>
      </w:r>
      <w:r w:rsidR="002B3682">
        <w:rPr>
          <w:szCs w:val="24"/>
        </w:rPr>
        <w:t xml:space="preserve"> to enforce T</w:t>
      </w:r>
      <w:r>
        <w:rPr>
          <w:szCs w:val="24"/>
        </w:rPr>
        <w:t>itle II</w:t>
      </w:r>
      <w:r w:rsidR="007C229E">
        <w:rPr>
          <w:szCs w:val="24"/>
        </w:rPr>
        <w:t xml:space="preserve"> of the ADA,</w:t>
      </w:r>
      <w:r>
        <w:rPr>
          <w:szCs w:val="24"/>
        </w:rPr>
        <w:t xml:space="preserve"> and </w:t>
      </w:r>
      <w:r w:rsidR="007C229E">
        <w:rPr>
          <w:szCs w:val="24"/>
        </w:rPr>
        <w:t xml:space="preserve">pursuant to Congressional mandate, </w:t>
      </w:r>
      <w:r>
        <w:rPr>
          <w:szCs w:val="24"/>
        </w:rPr>
        <w:t xml:space="preserve">to issue regulations </w:t>
      </w:r>
      <w:r w:rsidR="007C229E">
        <w:rPr>
          <w:szCs w:val="24"/>
        </w:rPr>
        <w:t xml:space="preserve">setting forth the forms of discrimination prohibited by Title II.  </w:t>
      </w:r>
      <w:r w:rsidR="002B3682" w:rsidRPr="002B3682">
        <w:rPr>
          <w:i/>
          <w:szCs w:val="24"/>
        </w:rPr>
        <w:t>See</w:t>
      </w:r>
      <w:r w:rsidR="002B3682">
        <w:rPr>
          <w:szCs w:val="24"/>
        </w:rPr>
        <w:t xml:space="preserve"> </w:t>
      </w:r>
      <w:r w:rsidR="00321175">
        <w:rPr>
          <w:szCs w:val="24"/>
        </w:rPr>
        <w:t>42 U.S.C</w:t>
      </w:r>
      <w:r>
        <w:rPr>
          <w:szCs w:val="24"/>
        </w:rPr>
        <w:t xml:space="preserve"> </w:t>
      </w:r>
      <w:r w:rsidR="00C53984">
        <w:rPr>
          <w:szCs w:val="24"/>
        </w:rPr>
        <w:t xml:space="preserve">             </w:t>
      </w:r>
      <w:r>
        <w:rPr>
          <w:szCs w:val="24"/>
        </w:rPr>
        <w:t xml:space="preserve">§ 12134.  </w:t>
      </w:r>
      <w:r w:rsidR="00C9568E">
        <w:rPr>
          <w:szCs w:val="24"/>
        </w:rPr>
        <w:t>Accordingly, t</w:t>
      </w:r>
      <w:r>
        <w:rPr>
          <w:szCs w:val="24"/>
        </w:rPr>
        <w:t>he United States has a strong interest in the resolution of this matter.</w:t>
      </w:r>
    </w:p>
    <w:p w:rsidR="00A00808" w:rsidRDefault="006D11D9" w:rsidP="009E3A1C">
      <w:pPr>
        <w:widowControl w:val="0"/>
        <w:spacing w:line="480" w:lineRule="auto"/>
        <w:rPr>
          <w:szCs w:val="24"/>
        </w:rPr>
      </w:pPr>
      <w:r>
        <w:rPr>
          <w:szCs w:val="24"/>
        </w:rPr>
        <w:tab/>
      </w:r>
      <w:r w:rsidR="000C31B8">
        <w:rPr>
          <w:szCs w:val="24"/>
        </w:rPr>
        <w:t>Plaintiffs</w:t>
      </w:r>
      <w:r w:rsidR="00AC2115">
        <w:rPr>
          <w:szCs w:val="24"/>
        </w:rPr>
        <w:t xml:space="preserve"> </w:t>
      </w:r>
      <w:r w:rsidR="00652299">
        <w:rPr>
          <w:szCs w:val="24"/>
        </w:rPr>
        <w:t>T.H., A.C., C.V., M.D., C.M., B.F., and T.F., by and through their next friends</w:t>
      </w:r>
      <w:r w:rsidR="006E3FC8">
        <w:rPr>
          <w:szCs w:val="24"/>
        </w:rPr>
        <w:t xml:space="preserve"> (collectively, “Plaintiffs”)</w:t>
      </w:r>
      <w:r w:rsidR="00652299">
        <w:rPr>
          <w:szCs w:val="24"/>
        </w:rPr>
        <w:t>, bring this proposed class action for declaratory and i</w:t>
      </w:r>
      <w:r w:rsidR="00A86320">
        <w:rPr>
          <w:szCs w:val="24"/>
        </w:rPr>
        <w:t>njunctive relief under</w:t>
      </w:r>
      <w:r w:rsidR="0050256E">
        <w:rPr>
          <w:szCs w:val="24"/>
        </w:rPr>
        <w:t xml:space="preserve"> Title II of</w:t>
      </w:r>
      <w:r w:rsidR="00A86320">
        <w:rPr>
          <w:szCs w:val="24"/>
        </w:rPr>
        <w:t xml:space="preserve"> the ADA, </w:t>
      </w:r>
      <w:r w:rsidR="0050256E">
        <w:rPr>
          <w:szCs w:val="24"/>
        </w:rPr>
        <w:t xml:space="preserve">Section 504 of </w:t>
      </w:r>
      <w:r w:rsidR="00A86320">
        <w:rPr>
          <w:szCs w:val="24"/>
        </w:rPr>
        <w:t>the Rehabilitation Act of 1973</w:t>
      </w:r>
      <w:r w:rsidR="0050256E">
        <w:rPr>
          <w:szCs w:val="24"/>
        </w:rPr>
        <w:t xml:space="preserve"> (“Section 504”)</w:t>
      </w:r>
      <w:r w:rsidR="00A86320">
        <w:rPr>
          <w:szCs w:val="24"/>
        </w:rPr>
        <w:t>, 29 U.S.C. §794(a)</w:t>
      </w:r>
      <w:r w:rsidR="0050256E">
        <w:rPr>
          <w:szCs w:val="24"/>
        </w:rPr>
        <w:t>,</w:t>
      </w:r>
      <w:r w:rsidR="00A86320">
        <w:rPr>
          <w:szCs w:val="24"/>
        </w:rPr>
        <w:t xml:space="preserve"> the Medicaid Act, 42 U.S.C.§ 1396a </w:t>
      </w:r>
      <w:r w:rsidR="00A86320" w:rsidRPr="00A86320">
        <w:rPr>
          <w:i/>
          <w:szCs w:val="24"/>
        </w:rPr>
        <w:t>et seq</w:t>
      </w:r>
      <w:r w:rsidR="00A86320">
        <w:rPr>
          <w:szCs w:val="24"/>
        </w:rPr>
        <w:t>., and the Nursing Home Reform Amendments to the Medicaid Act, 42 U.S.C. § 1396r.  (</w:t>
      </w:r>
      <w:r w:rsidR="00A86320" w:rsidRPr="00A90040">
        <w:rPr>
          <w:i/>
          <w:szCs w:val="24"/>
        </w:rPr>
        <w:t>See</w:t>
      </w:r>
      <w:r w:rsidR="00A86320">
        <w:rPr>
          <w:szCs w:val="24"/>
        </w:rPr>
        <w:t xml:space="preserve"> Pls.’ Am. Consolidated Compl. </w:t>
      </w:r>
      <w:proofErr w:type="gramStart"/>
      <w:r w:rsidR="00A86320">
        <w:rPr>
          <w:szCs w:val="24"/>
        </w:rPr>
        <w:t>(“Compl.”), ECF No. 29, ¶¶ 1, 264-99</w:t>
      </w:r>
      <w:r w:rsidR="00C53984">
        <w:rPr>
          <w:szCs w:val="24"/>
        </w:rPr>
        <w:t>.</w:t>
      </w:r>
      <w:r w:rsidR="00A86320">
        <w:rPr>
          <w:szCs w:val="24"/>
        </w:rPr>
        <w:t>)</w:t>
      </w:r>
      <w:proofErr w:type="gramEnd"/>
      <w:r w:rsidR="00817986">
        <w:rPr>
          <w:rStyle w:val="FootnoteReference"/>
          <w:szCs w:val="24"/>
        </w:rPr>
        <w:footnoteReference w:id="2"/>
      </w:r>
      <w:r w:rsidR="00FC41C6">
        <w:rPr>
          <w:szCs w:val="24"/>
        </w:rPr>
        <w:t xml:space="preserve"> </w:t>
      </w:r>
      <w:r w:rsidR="00FC41C6" w:rsidRPr="000C31B8">
        <w:rPr>
          <w:szCs w:val="24"/>
        </w:rPr>
        <w:t xml:space="preserve"> </w:t>
      </w:r>
      <w:r w:rsidR="006E3FC8">
        <w:rPr>
          <w:szCs w:val="24"/>
        </w:rPr>
        <w:t>Plaintiffs are children</w:t>
      </w:r>
      <w:r w:rsidR="008651BB">
        <w:rPr>
          <w:szCs w:val="24"/>
        </w:rPr>
        <w:t>, ranging in age fro</w:t>
      </w:r>
      <w:r w:rsidR="00A00808">
        <w:rPr>
          <w:szCs w:val="24"/>
        </w:rPr>
        <w:t>m 5 years old to 18 years old,</w:t>
      </w:r>
      <w:r w:rsidR="00285B41">
        <w:rPr>
          <w:szCs w:val="24"/>
        </w:rPr>
        <w:t xml:space="preserve"> </w:t>
      </w:r>
      <w:r w:rsidR="00A00808">
        <w:rPr>
          <w:szCs w:val="24"/>
        </w:rPr>
        <w:t xml:space="preserve">who have </w:t>
      </w:r>
      <w:r w:rsidR="000711FA">
        <w:rPr>
          <w:szCs w:val="24"/>
        </w:rPr>
        <w:t>been diagnosed as medically fragile</w:t>
      </w:r>
      <w:r w:rsidR="000711FA">
        <w:rPr>
          <w:rStyle w:val="FootnoteReference"/>
          <w:szCs w:val="24"/>
        </w:rPr>
        <w:footnoteReference w:id="3"/>
      </w:r>
      <w:r w:rsidR="00A00808">
        <w:rPr>
          <w:szCs w:val="24"/>
        </w:rPr>
        <w:t xml:space="preserve"> and </w:t>
      </w:r>
      <w:r w:rsidR="006E3FC8">
        <w:rPr>
          <w:szCs w:val="24"/>
        </w:rPr>
        <w:t>who are qualified for</w:t>
      </w:r>
      <w:r w:rsidR="00817986">
        <w:rPr>
          <w:szCs w:val="24"/>
        </w:rPr>
        <w:t xml:space="preserve"> services</w:t>
      </w:r>
      <w:r w:rsidR="005808AC">
        <w:rPr>
          <w:szCs w:val="24"/>
        </w:rPr>
        <w:t xml:space="preserve"> through</w:t>
      </w:r>
      <w:r w:rsidR="006E3FC8">
        <w:rPr>
          <w:szCs w:val="24"/>
        </w:rPr>
        <w:t xml:space="preserve"> the State’s Medicaid program, including home and community-based services </w:t>
      </w:r>
      <w:r w:rsidR="005808AC">
        <w:rPr>
          <w:szCs w:val="24"/>
        </w:rPr>
        <w:t xml:space="preserve">that allow individuals with disabilities </w:t>
      </w:r>
      <w:r w:rsidR="00A00808">
        <w:rPr>
          <w:szCs w:val="24"/>
        </w:rPr>
        <w:t xml:space="preserve">to live at home in the community.  </w:t>
      </w:r>
      <w:r w:rsidR="00FF4289">
        <w:rPr>
          <w:szCs w:val="24"/>
        </w:rPr>
        <w:t xml:space="preserve"> </w:t>
      </w:r>
      <w:proofErr w:type="gramStart"/>
      <w:r w:rsidR="006E3FC8">
        <w:rPr>
          <w:szCs w:val="24"/>
        </w:rPr>
        <w:t>(</w:t>
      </w:r>
      <w:r w:rsidR="00FF4289" w:rsidRPr="00FF4289">
        <w:rPr>
          <w:i/>
          <w:szCs w:val="24"/>
        </w:rPr>
        <w:t>See</w:t>
      </w:r>
      <w:r w:rsidR="00FF4289">
        <w:rPr>
          <w:szCs w:val="24"/>
        </w:rPr>
        <w:t xml:space="preserve"> </w:t>
      </w:r>
      <w:proofErr w:type="spellStart"/>
      <w:r w:rsidR="006E3FC8">
        <w:rPr>
          <w:szCs w:val="24"/>
        </w:rPr>
        <w:t>Compl</w:t>
      </w:r>
      <w:proofErr w:type="spellEnd"/>
      <w:r w:rsidR="006E3FC8">
        <w:rPr>
          <w:szCs w:val="24"/>
        </w:rPr>
        <w:t>.</w:t>
      </w:r>
      <w:proofErr w:type="gramEnd"/>
      <w:r w:rsidR="006E3FC8">
        <w:rPr>
          <w:szCs w:val="24"/>
        </w:rPr>
        <w:t xml:space="preserve"> </w:t>
      </w:r>
      <w:proofErr w:type="gramStart"/>
      <w:r w:rsidR="005808AC">
        <w:rPr>
          <w:szCs w:val="24"/>
        </w:rPr>
        <w:t xml:space="preserve">¶¶ </w:t>
      </w:r>
      <w:r w:rsidR="00FF4289">
        <w:rPr>
          <w:szCs w:val="24"/>
        </w:rPr>
        <w:t xml:space="preserve">3, 9-13, </w:t>
      </w:r>
      <w:r w:rsidR="00C53984">
        <w:rPr>
          <w:szCs w:val="24"/>
        </w:rPr>
        <w:t>109-</w:t>
      </w:r>
      <w:r w:rsidR="00FF4289">
        <w:rPr>
          <w:szCs w:val="24"/>
        </w:rPr>
        <w:t xml:space="preserve">10, </w:t>
      </w:r>
      <w:r w:rsidR="005808AC">
        <w:rPr>
          <w:szCs w:val="24"/>
        </w:rPr>
        <w:t>119,</w:t>
      </w:r>
      <w:r w:rsidR="00FF4289">
        <w:rPr>
          <w:szCs w:val="24"/>
        </w:rPr>
        <w:t xml:space="preserve"> 127,</w:t>
      </w:r>
      <w:r w:rsidR="005808AC">
        <w:rPr>
          <w:szCs w:val="24"/>
        </w:rPr>
        <w:t xml:space="preserve"> 129, 132,</w:t>
      </w:r>
      <w:r w:rsidR="00FF4289">
        <w:rPr>
          <w:szCs w:val="24"/>
        </w:rPr>
        <w:t xml:space="preserve"> 147,</w:t>
      </w:r>
      <w:r w:rsidR="005808AC">
        <w:rPr>
          <w:szCs w:val="24"/>
        </w:rPr>
        <w:t xml:space="preserve"> 152, 154,</w:t>
      </w:r>
      <w:r w:rsidR="00FF4289">
        <w:rPr>
          <w:szCs w:val="24"/>
        </w:rPr>
        <w:t xml:space="preserve"> 163,</w:t>
      </w:r>
      <w:r w:rsidR="005808AC">
        <w:rPr>
          <w:szCs w:val="24"/>
        </w:rPr>
        <w:t xml:space="preserve"> 168, 170,</w:t>
      </w:r>
      <w:r w:rsidR="00FF4289">
        <w:rPr>
          <w:szCs w:val="24"/>
        </w:rPr>
        <w:t xml:space="preserve"> 180,</w:t>
      </w:r>
      <w:r w:rsidR="005808AC">
        <w:rPr>
          <w:szCs w:val="24"/>
        </w:rPr>
        <w:t xml:space="preserve"> 183, 185,</w:t>
      </w:r>
      <w:r w:rsidR="00FF4289">
        <w:rPr>
          <w:szCs w:val="24"/>
        </w:rPr>
        <w:t xml:space="preserve"> 192,</w:t>
      </w:r>
      <w:r w:rsidR="005808AC">
        <w:rPr>
          <w:szCs w:val="24"/>
        </w:rPr>
        <w:t xml:space="preserve"> 195</w:t>
      </w:r>
      <w:r w:rsidR="00FF4289">
        <w:rPr>
          <w:szCs w:val="24"/>
        </w:rPr>
        <w:t>,</w:t>
      </w:r>
      <w:r w:rsidR="005808AC">
        <w:rPr>
          <w:szCs w:val="24"/>
        </w:rPr>
        <w:t xml:space="preserve"> 197,</w:t>
      </w:r>
      <w:r w:rsidR="00FF4289">
        <w:rPr>
          <w:szCs w:val="24"/>
        </w:rPr>
        <w:t xml:space="preserve"> 206,</w:t>
      </w:r>
      <w:r w:rsidR="005808AC">
        <w:rPr>
          <w:szCs w:val="24"/>
        </w:rPr>
        <w:t xml:space="preserve"> 209, 211, 220, 224</w:t>
      </w:r>
      <w:r w:rsidR="006E3FC8" w:rsidRPr="005808AC">
        <w:rPr>
          <w:szCs w:val="24"/>
        </w:rPr>
        <w:t>)</w:t>
      </w:r>
      <w:r w:rsidR="005108AF">
        <w:rPr>
          <w:szCs w:val="24"/>
        </w:rPr>
        <w:t>.</w:t>
      </w:r>
      <w:proofErr w:type="gramEnd"/>
      <w:r w:rsidR="006E3FC8">
        <w:rPr>
          <w:szCs w:val="24"/>
        </w:rPr>
        <w:t xml:space="preserve"> </w:t>
      </w:r>
      <w:r w:rsidR="00285B41">
        <w:rPr>
          <w:szCs w:val="24"/>
        </w:rPr>
        <w:t xml:space="preserve"> </w:t>
      </w:r>
    </w:p>
    <w:p w:rsidR="003753D4" w:rsidRDefault="00A00808" w:rsidP="00A00808">
      <w:pPr>
        <w:widowControl w:val="0"/>
        <w:spacing w:line="480" w:lineRule="auto"/>
        <w:ind w:firstLine="720"/>
        <w:rPr>
          <w:szCs w:val="24"/>
        </w:rPr>
      </w:pPr>
      <w:r>
        <w:rPr>
          <w:szCs w:val="24"/>
        </w:rPr>
        <w:t xml:space="preserve">T.H., a 16-year-old with ongoing medical complications due to experiencing shaken baby syndrome in her infancy, lives at </w:t>
      </w:r>
      <w:proofErr w:type="spellStart"/>
      <w:r>
        <w:rPr>
          <w:szCs w:val="24"/>
        </w:rPr>
        <w:t>Kidz</w:t>
      </w:r>
      <w:proofErr w:type="spellEnd"/>
      <w:r>
        <w:rPr>
          <w:szCs w:val="24"/>
        </w:rPr>
        <w:t xml:space="preserve"> Corner, a 72-bed children’s wing of a 152-bed geriatric nursing f</w:t>
      </w:r>
      <w:r w:rsidR="00817986">
        <w:rPr>
          <w:szCs w:val="24"/>
        </w:rPr>
        <w:t xml:space="preserve">acility.  </w:t>
      </w:r>
      <w:proofErr w:type="gramStart"/>
      <w:r w:rsidR="00817986">
        <w:rPr>
          <w:szCs w:val="24"/>
        </w:rPr>
        <w:t>(</w:t>
      </w:r>
      <w:proofErr w:type="spellStart"/>
      <w:r w:rsidR="00817986">
        <w:rPr>
          <w:szCs w:val="24"/>
        </w:rPr>
        <w:t>C</w:t>
      </w:r>
      <w:r w:rsidR="005108AF">
        <w:rPr>
          <w:szCs w:val="24"/>
        </w:rPr>
        <w:t>ompl</w:t>
      </w:r>
      <w:proofErr w:type="spellEnd"/>
      <w:r w:rsidR="005108AF">
        <w:rPr>
          <w:szCs w:val="24"/>
        </w:rPr>
        <w:t>.</w:t>
      </w:r>
      <w:proofErr w:type="gramEnd"/>
      <w:r w:rsidR="005108AF">
        <w:rPr>
          <w:szCs w:val="24"/>
        </w:rPr>
        <w:t xml:space="preserve"> </w:t>
      </w:r>
      <w:proofErr w:type="gramStart"/>
      <w:r w:rsidR="005108AF">
        <w:rPr>
          <w:szCs w:val="24"/>
        </w:rPr>
        <w:t>¶ 108</w:t>
      </w:r>
      <w:r w:rsidR="00817986">
        <w:rPr>
          <w:szCs w:val="24"/>
        </w:rPr>
        <w:t>)</w:t>
      </w:r>
      <w:r w:rsidR="005108AF">
        <w:rPr>
          <w:szCs w:val="24"/>
        </w:rPr>
        <w:t>.</w:t>
      </w:r>
      <w:proofErr w:type="gramEnd"/>
      <w:r w:rsidR="00817986">
        <w:rPr>
          <w:szCs w:val="24"/>
        </w:rPr>
        <w:t xml:space="preserve">  T.H.</w:t>
      </w:r>
      <w:r>
        <w:rPr>
          <w:szCs w:val="24"/>
        </w:rPr>
        <w:t xml:space="preserve"> and other members of a proposed clas</w:t>
      </w:r>
      <w:r w:rsidR="00817986">
        <w:rPr>
          <w:szCs w:val="24"/>
        </w:rPr>
        <w:t>s of institutionalized children</w:t>
      </w:r>
      <w:r>
        <w:rPr>
          <w:szCs w:val="24"/>
        </w:rPr>
        <w:t xml:space="preserve"> want to return home to their communities, but allege that they remain unnecessarily segregated in nursing homes because of the State’s policies and practices limiting medically necessary services in the community.  (</w:t>
      </w:r>
      <w:r w:rsidR="00C53984" w:rsidRPr="00C53984">
        <w:rPr>
          <w:i/>
          <w:szCs w:val="24"/>
        </w:rPr>
        <w:t>Id</w:t>
      </w:r>
      <w:r>
        <w:rPr>
          <w:szCs w:val="24"/>
        </w:rPr>
        <w:t>. ¶¶ 6-7)</w:t>
      </w:r>
      <w:r w:rsidR="005108AF">
        <w:rPr>
          <w:szCs w:val="24"/>
        </w:rPr>
        <w:t>.</w:t>
      </w:r>
      <w:r>
        <w:rPr>
          <w:szCs w:val="24"/>
        </w:rPr>
        <w:t xml:space="preserve">  </w:t>
      </w:r>
      <w:r w:rsidR="000711FA">
        <w:rPr>
          <w:szCs w:val="24"/>
        </w:rPr>
        <w:t>They also allege Defendants have failed to properly administer a federally required screening prior to nursing facility admission, thereby causing them and others similarly situated to be unnecessarily institutionalized.</w:t>
      </w:r>
      <w:r w:rsidR="00817986">
        <w:rPr>
          <w:szCs w:val="24"/>
        </w:rPr>
        <w:t xml:space="preserve">  (</w:t>
      </w:r>
      <w:r w:rsidR="00C53984" w:rsidRPr="00C53984">
        <w:rPr>
          <w:i/>
          <w:szCs w:val="24"/>
        </w:rPr>
        <w:t>Id</w:t>
      </w:r>
      <w:r w:rsidR="00817986">
        <w:rPr>
          <w:szCs w:val="24"/>
        </w:rPr>
        <w:t xml:space="preserve">. </w:t>
      </w:r>
      <w:r w:rsidR="00C53984">
        <w:rPr>
          <w:szCs w:val="24"/>
        </w:rPr>
        <w:t xml:space="preserve">       </w:t>
      </w:r>
      <w:proofErr w:type="gramStart"/>
      <w:r w:rsidR="00817986">
        <w:rPr>
          <w:szCs w:val="24"/>
        </w:rPr>
        <w:t>¶</w:t>
      </w:r>
      <w:r w:rsidR="00C53984">
        <w:rPr>
          <w:szCs w:val="24"/>
        </w:rPr>
        <w:t>¶</w:t>
      </w:r>
      <w:r w:rsidR="00817986">
        <w:rPr>
          <w:szCs w:val="24"/>
        </w:rPr>
        <w:t xml:space="preserve"> </w:t>
      </w:r>
      <w:r w:rsidR="002B5C4E">
        <w:rPr>
          <w:szCs w:val="24"/>
        </w:rPr>
        <w:t>293-99</w:t>
      </w:r>
      <w:r w:rsidR="00817986">
        <w:rPr>
          <w:szCs w:val="24"/>
        </w:rPr>
        <w:t>)</w:t>
      </w:r>
      <w:r w:rsidR="005108AF">
        <w:rPr>
          <w:szCs w:val="24"/>
        </w:rPr>
        <w:t>.</w:t>
      </w:r>
      <w:proofErr w:type="gramEnd"/>
    </w:p>
    <w:p w:rsidR="008F6657" w:rsidRDefault="003753D4" w:rsidP="00A00808">
      <w:pPr>
        <w:widowControl w:val="0"/>
        <w:spacing w:line="480" w:lineRule="auto"/>
        <w:ind w:firstLine="720"/>
        <w:rPr>
          <w:szCs w:val="24"/>
        </w:rPr>
      </w:pPr>
      <w:r>
        <w:rPr>
          <w:szCs w:val="24"/>
        </w:rPr>
        <w:t>A.C., A.R., C.V., M.D., C.M., B.M. and T.F. live at home with their families and have been prescribed medically necessary services, including private d</w:t>
      </w:r>
      <w:r w:rsidR="00817986">
        <w:rPr>
          <w:szCs w:val="24"/>
        </w:rPr>
        <w:t>uty nursing services</w:t>
      </w:r>
      <w:r>
        <w:rPr>
          <w:szCs w:val="24"/>
        </w:rPr>
        <w:t xml:space="preserve">.  </w:t>
      </w:r>
      <w:r w:rsidR="00817986">
        <w:rPr>
          <w:szCs w:val="24"/>
        </w:rPr>
        <w:t>They wish</w:t>
      </w:r>
      <w:r>
        <w:rPr>
          <w:szCs w:val="24"/>
        </w:rPr>
        <w:t xml:space="preserve"> to</w:t>
      </w:r>
      <w:r w:rsidR="000C31B8">
        <w:rPr>
          <w:szCs w:val="24"/>
        </w:rPr>
        <w:t xml:space="preserve"> remain </w:t>
      </w:r>
      <w:r w:rsidR="00817986">
        <w:rPr>
          <w:szCs w:val="24"/>
        </w:rPr>
        <w:t>at home with their families</w:t>
      </w:r>
      <w:r w:rsidR="000C31B8">
        <w:rPr>
          <w:szCs w:val="24"/>
        </w:rPr>
        <w:t>, but</w:t>
      </w:r>
      <w:r w:rsidR="00703430">
        <w:rPr>
          <w:szCs w:val="24"/>
        </w:rPr>
        <w:t xml:space="preserve"> allege that</w:t>
      </w:r>
      <w:r w:rsidR="000C31B8">
        <w:rPr>
          <w:szCs w:val="24"/>
        </w:rPr>
        <w:t xml:space="preserve"> </w:t>
      </w:r>
      <w:r w:rsidR="00A90040">
        <w:rPr>
          <w:szCs w:val="24"/>
        </w:rPr>
        <w:t>Defendants’ policies, procedures and practices</w:t>
      </w:r>
      <w:r w:rsidR="00FC41C6">
        <w:rPr>
          <w:szCs w:val="24"/>
        </w:rPr>
        <w:t xml:space="preserve">, including the </w:t>
      </w:r>
      <w:r w:rsidR="00FF4B00">
        <w:rPr>
          <w:szCs w:val="24"/>
        </w:rPr>
        <w:t xml:space="preserve">improper </w:t>
      </w:r>
      <w:r w:rsidR="00FC41C6">
        <w:rPr>
          <w:szCs w:val="24"/>
        </w:rPr>
        <w:t>denial or reduction</w:t>
      </w:r>
      <w:r w:rsidR="000711FA">
        <w:rPr>
          <w:szCs w:val="24"/>
        </w:rPr>
        <w:t xml:space="preserve"> of medically necessary services</w:t>
      </w:r>
      <w:r w:rsidR="0017107F">
        <w:rPr>
          <w:szCs w:val="24"/>
        </w:rPr>
        <w:t xml:space="preserve"> place</w:t>
      </w:r>
      <w:r w:rsidR="00C55811">
        <w:rPr>
          <w:szCs w:val="24"/>
        </w:rPr>
        <w:t xml:space="preserve"> </w:t>
      </w:r>
      <w:r w:rsidR="000711FA">
        <w:rPr>
          <w:szCs w:val="24"/>
        </w:rPr>
        <w:t xml:space="preserve">them </w:t>
      </w:r>
      <w:r w:rsidR="0017107F">
        <w:rPr>
          <w:szCs w:val="24"/>
        </w:rPr>
        <w:t>at risk of unnecessary institutionalization</w:t>
      </w:r>
      <w:r w:rsidR="002C55AB">
        <w:rPr>
          <w:szCs w:val="24"/>
        </w:rPr>
        <w:t xml:space="preserve">.  </w:t>
      </w:r>
      <w:r w:rsidR="006D11D9" w:rsidRPr="00BC7221">
        <w:rPr>
          <w:szCs w:val="24"/>
        </w:rPr>
        <w:t>(</w:t>
      </w:r>
      <w:r w:rsidR="00C01DE1" w:rsidRPr="00BC7221">
        <w:rPr>
          <w:i/>
          <w:szCs w:val="24"/>
        </w:rPr>
        <w:t>See</w:t>
      </w:r>
      <w:r w:rsidR="00C01DE1" w:rsidRPr="00BC7221">
        <w:rPr>
          <w:szCs w:val="24"/>
        </w:rPr>
        <w:t xml:space="preserve"> </w:t>
      </w:r>
      <w:r w:rsidR="00C55811" w:rsidRPr="00BC7221">
        <w:rPr>
          <w:szCs w:val="24"/>
        </w:rPr>
        <w:t xml:space="preserve">Compl. </w:t>
      </w:r>
      <w:proofErr w:type="gramStart"/>
      <w:r w:rsidR="000213A4" w:rsidRPr="00BC7221">
        <w:rPr>
          <w:szCs w:val="24"/>
        </w:rPr>
        <w:t>¶¶</w:t>
      </w:r>
      <w:r w:rsidR="000C31B8" w:rsidRPr="00BC7221">
        <w:rPr>
          <w:szCs w:val="24"/>
        </w:rPr>
        <w:t xml:space="preserve"> 5, </w:t>
      </w:r>
      <w:r w:rsidR="00AC2115" w:rsidRPr="00BC7221">
        <w:rPr>
          <w:szCs w:val="24"/>
        </w:rPr>
        <w:t xml:space="preserve">16, </w:t>
      </w:r>
      <w:r w:rsidR="000213A4" w:rsidRPr="00BC7221">
        <w:rPr>
          <w:szCs w:val="24"/>
        </w:rPr>
        <w:t>17-20</w:t>
      </w:r>
      <w:r w:rsidR="00C01DE1" w:rsidRPr="00BC7221">
        <w:rPr>
          <w:szCs w:val="24"/>
        </w:rPr>
        <w:t xml:space="preserve">, 125-26, </w:t>
      </w:r>
      <w:r w:rsidR="00C53984">
        <w:rPr>
          <w:szCs w:val="24"/>
        </w:rPr>
        <w:t>127,</w:t>
      </w:r>
      <w:r w:rsidR="00C01DE1" w:rsidRPr="00BC7221">
        <w:rPr>
          <w:szCs w:val="24"/>
        </w:rPr>
        <w:t>135, 14</w:t>
      </w:r>
      <w:r w:rsidR="00BC7221" w:rsidRPr="00BC7221">
        <w:rPr>
          <w:szCs w:val="24"/>
        </w:rPr>
        <w:t>4-4</w:t>
      </w:r>
      <w:r w:rsidR="00C01DE1" w:rsidRPr="00BC7221">
        <w:rPr>
          <w:szCs w:val="24"/>
        </w:rPr>
        <w:t>5,</w:t>
      </w:r>
      <w:r w:rsidR="00C53984">
        <w:rPr>
          <w:szCs w:val="24"/>
        </w:rPr>
        <w:t xml:space="preserve"> 147,</w:t>
      </w:r>
      <w:r w:rsidR="00C01DE1" w:rsidRPr="00BC7221">
        <w:rPr>
          <w:szCs w:val="24"/>
        </w:rPr>
        <w:t xml:space="preserve"> 153, 16</w:t>
      </w:r>
      <w:r w:rsidR="00BC7221" w:rsidRPr="00BC7221">
        <w:rPr>
          <w:szCs w:val="24"/>
        </w:rPr>
        <w:t>0-6</w:t>
      </w:r>
      <w:r w:rsidR="00C01DE1" w:rsidRPr="00BC7221">
        <w:rPr>
          <w:szCs w:val="24"/>
        </w:rPr>
        <w:t>1, 163, 177-78, 180, 190, 192, 203-04, 206, 217-18,</w:t>
      </w:r>
      <w:r w:rsidR="00BC7221" w:rsidRPr="00BC7221">
        <w:rPr>
          <w:szCs w:val="24"/>
        </w:rPr>
        <w:t xml:space="preserve"> 220, 231-32</w:t>
      </w:r>
      <w:r w:rsidR="006D11D9" w:rsidRPr="00BC7221">
        <w:rPr>
          <w:szCs w:val="24"/>
        </w:rPr>
        <w:t>)</w:t>
      </w:r>
      <w:r w:rsidR="005108AF">
        <w:rPr>
          <w:szCs w:val="24"/>
        </w:rPr>
        <w:t>.</w:t>
      </w:r>
      <w:proofErr w:type="gramEnd"/>
      <w:r w:rsidR="00FF4B00">
        <w:rPr>
          <w:szCs w:val="24"/>
        </w:rPr>
        <w:t xml:space="preserve">  Because </w:t>
      </w:r>
      <w:r w:rsidR="00E40508">
        <w:rPr>
          <w:szCs w:val="24"/>
        </w:rPr>
        <w:t>Plaintiffs’</w:t>
      </w:r>
      <w:r w:rsidR="00FF4B00">
        <w:rPr>
          <w:szCs w:val="24"/>
        </w:rPr>
        <w:t xml:space="preserve"> Complaint properly alleges facts supporting each of </w:t>
      </w:r>
      <w:r w:rsidR="00E40508">
        <w:rPr>
          <w:szCs w:val="24"/>
        </w:rPr>
        <w:t>their</w:t>
      </w:r>
      <w:r w:rsidR="0050256E">
        <w:rPr>
          <w:szCs w:val="24"/>
        </w:rPr>
        <w:t xml:space="preserve"> claims, the United States respectfully urges this Court to deny </w:t>
      </w:r>
      <w:r w:rsidR="000711FA">
        <w:rPr>
          <w:szCs w:val="24"/>
        </w:rPr>
        <w:t xml:space="preserve">the </w:t>
      </w:r>
      <w:r w:rsidR="0050256E">
        <w:rPr>
          <w:szCs w:val="24"/>
        </w:rPr>
        <w:t>State Defendants’ motion to dismis</w:t>
      </w:r>
      <w:r w:rsidR="000711FA">
        <w:rPr>
          <w:szCs w:val="24"/>
        </w:rPr>
        <w:t>s</w:t>
      </w:r>
      <w:r w:rsidR="00285B41">
        <w:rPr>
          <w:szCs w:val="24"/>
        </w:rPr>
        <w:t>.</w:t>
      </w:r>
      <w:r w:rsidR="00285B41">
        <w:rPr>
          <w:rStyle w:val="FootnoteReference"/>
          <w:szCs w:val="24"/>
        </w:rPr>
        <w:footnoteReference w:id="4"/>
      </w:r>
    </w:p>
    <w:p w:rsidR="00011150" w:rsidRDefault="00E0769B" w:rsidP="00690AE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b/>
          <w:bCs/>
          <w:szCs w:val="24"/>
        </w:rPr>
      </w:pPr>
      <w:r w:rsidRPr="00493EF2">
        <w:rPr>
          <w:b/>
          <w:bCs/>
          <w:szCs w:val="24"/>
        </w:rPr>
        <w:t>STATUTORY AND REGULATORY BACKGROUND</w:t>
      </w:r>
    </w:p>
    <w:p w:rsidR="00FF4B00" w:rsidRPr="00FF4B00" w:rsidRDefault="00FF4B00" w:rsidP="00690AEC">
      <w:pPr>
        <w:pStyle w:val="ListParagraph"/>
        <w:keepNext/>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u w:val="single"/>
        </w:rPr>
      </w:pPr>
      <w:r w:rsidRPr="00FF4B00">
        <w:rPr>
          <w:szCs w:val="24"/>
          <w:u w:val="single"/>
        </w:rPr>
        <w:t xml:space="preserve">The Integration Mandate and </w:t>
      </w:r>
      <w:r w:rsidRPr="00FF4B00">
        <w:rPr>
          <w:i/>
          <w:szCs w:val="24"/>
          <w:u w:val="single"/>
        </w:rPr>
        <w:t>Olmstead</w:t>
      </w:r>
    </w:p>
    <w:p w:rsidR="00A90040" w:rsidRDefault="00A90040" w:rsidP="009E3A1C">
      <w:pPr>
        <w:spacing w:line="480" w:lineRule="auto"/>
        <w:ind w:firstLine="720"/>
      </w:pPr>
      <w:r w:rsidRPr="004C27A4">
        <w:t xml:space="preserve">Congress enacted the ADA in 1990 </w:t>
      </w:r>
      <w:r>
        <w:t>“</w:t>
      </w:r>
      <w:r w:rsidRPr="004C27A4">
        <w:t>to provide a clear and comprehensive national mandate for the elimination of discrimination against individuals with disabilities.</w:t>
      </w:r>
      <w:r>
        <w:t>”</w:t>
      </w:r>
      <w:r w:rsidRPr="004C27A4">
        <w:t xml:space="preserve"> 42 U.S.C. </w:t>
      </w:r>
      <w:r>
        <w:t>§ </w:t>
      </w:r>
      <w:r w:rsidRPr="004C27A4">
        <w:t xml:space="preserve">12101(b)(1).  Congress found that </w:t>
      </w:r>
      <w:r>
        <w:t>“</w:t>
      </w:r>
      <w:r w:rsidRPr="004C27A4">
        <w:t>historically, society has tended to isolate and segregate individuals with disabilities, and despite some improvements, such forms of discrimination against individuals with disabilities continue to be a serious and pervasive social problem.</w:t>
      </w:r>
      <w:r>
        <w:t>”</w:t>
      </w:r>
      <w:r w:rsidRPr="004C27A4">
        <w:t xml:space="preserve">  </w:t>
      </w:r>
      <w:r w:rsidRPr="00A70F24">
        <w:rPr>
          <w:i/>
        </w:rPr>
        <w:t>Id</w:t>
      </w:r>
      <w:r w:rsidRPr="00A70F24">
        <w:t>.</w:t>
      </w:r>
      <w:r w:rsidRPr="004C27A4">
        <w:t xml:space="preserve"> </w:t>
      </w:r>
      <w:r>
        <w:t>§ </w:t>
      </w:r>
      <w:r w:rsidRPr="004C27A4">
        <w:t>12101(a</w:t>
      </w:r>
      <w:proofErr w:type="gramStart"/>
      <w:r w:rsidRPr="004C27A4">
        <w:t>)(</w:t>
      </w:r>
      <w:proofErr w:type="gramEnd"/>
      <w:r w:rsidRPr="004C27A4">
        <w:t xml:space="preserve">2).  For these reasons, Congress prohibited discrimination against individuals with disabilities by public entities:  </w:t>
      </w:r>
    </w:p>
    <w:p w:rsidR="00A90040" w:rsidRDefault="00A90040" w:rsidP="003C266C">
      <w:pPr>
        <w:pStyle w:val="NoSpacing"/>
        <w:ind w:left="720" w:right="720" w:firstLine="0"/>
        <w:jc w:val="both"/>
        <w:rPr>
          <w:rFonts w:ascii="Times New Roman" w:eastAsia="@MingLiU" w:hAnsi="Times New Roman" w:cs="Times New Roman"/>
        </w:rPr>
      </w:pPr>
      <w:r w:rsidRPr="003C266C">
        <w:rPr>
          <w:rFonts w:ascii="Times New Roman" w:eastAsia="@MingLiU" w:hAnsi="Times New Roman" w:cs="Times New Roman"/>
        </w:rPr>
        <w:t>[N]o qualified individual with a disability shall, by reason of such disability, be excluded from participation in or be denied the benefits of the services, programs, or activities of a public entity, or be subjected to discrimination by any such entity.</w:t>
      </w:r>
    </w:p>
    <w:p w:rsidR="003C266C" w:rsidRPr="003C266C" w:rsidRDefault="003C266C" w:rsidP="003C266C">
      <w:pPr>
        <w:pStyle w:val="NoSpacing"/>
        <w:ind w:left="720" w:right="720" w:firstLine="0"/>
        <w:jc w:val="both"/>
        <w:rPr>
          <w:rFonts w:ascii="Times New Roman" w:eastAsia="@MingLiU" w:hAnsi="Times New Roman" w:cs="Times New Roman"/>
        </w:rPr>
      </w:pPr>
    </w:p>
    <w:p w:rsidR="00A90040" w:rsidRPr="00A90040" w:rsidRDefault="00A90040" w:rsidP="009E3A1C">
      <w:pPr>
        <w:pStyle w:val="NoSpacing"/>
        <w:spacing w:line="480" w:lineRule="auto"/>
        <w:ind w:right="720" w:firstLine="0"/>
        <w:jc w:val="both"/>
        <w:rPr>
          <w:rFonts w:ascii="Times New Roman" w:hAnsi="Times New Roman" w:cs="Times New Roman"/>
        </w:rPr>
      </w:pPr>
      <w:proofErr w:type="gramStart"/>
      <w:r w:rsidRPr="005870B0">
        <w:rPr>
          <w:rFonts w:ascii="Times New Roman" w:hAnsi="Times New Roman" w:cs="Times New Roman"/>
          <w:i/>
        </w:rPr>
        <w:t>Id.</w:t>
      </w:r>
      <w:r w:rsidRPr="00A90040">
        <w:rPr>
          <w:rFonts w:ascii="Times New Roman" w:hAnsi="Times New Roman" w:cs="Times New Roman"/>
        </w:rPr>
        <w:t xml:space="preserve"> § </w:t>
      </w:r>
      <w:r w:rsidRPr="00007893">
        <w:rPr>
          <w:rFonts w:ascii="Times New Roman" w:hAnsi="Times New Roman" w:cs="Times New Roman"/>
        </w:rPr>
        <w:t>12132.</w:t>
      </w:r>
      <w:proofErr w:type="gramEnd"/>
      <w:r w:rsidRPr="00007893">
        <w:rPr>
          <w:rFonts w:ascii="Times New Roman" w:hAnsi="Times New Roman" w:cs="Times New Roman"/>
        </w:rPr>
        <w:t xml:space="preserve">  </w:t>
      </w:r>
    </w:p>
    <w:p w:rsidR="00A90040" w:rsidRDefault="00A90040" w:rsidP="009E3A1C">
      <w:pPr>
        <w:spacing w:line="480" w:lineRule="auto"/>
      </w:pPr>
      <w:r w:rsidRPr="004C27A4">
        <w:rPr>
          <w:rFonts w:eastAsia="@MingLiU"/>
        </w:rPr>
        <w:tab/>
        <w:t>One form o</w:t>
      </w:r>
      <w:r>
        <w:rPr>
          <w:rFonts w:eastAsia="@MingLiU"/>
        </w:rPr>
        <w:t>f discrimination prohibited by Title</w:t>
      </w:r>
      <w:r w:rsidRPr="004C27A4">
        <w:rPr>
          <w:rFonts w:eastAsia="@MingLiU"/>
        </w:rPr>
        <w:t xml:space="preserve"> II of the ADA is violation of the </w:t>
      </w:r>
      <w:r>
        <w:rPr>
          <w:rFonts w:eastAsia="@MingLiU"/>
        </w:rPr>
        <w:t>“</w:t>
      </w:r>
      <w:r w:rsidRPr="004C27A4">
        <w:rPr>
          <w:rFonts w:eastAsia="@MingLiU"/>
        </w:rPr>
        <w:t>integration mandate.</w:t>
      </w:r>
      <w:r>
        <w:rPr>
          <w:rFonts w:eastAsia="@MingLiU"/>
        </w:rPr>
        <w:t>”</w:t>
      </w:r>
      <w:r w:rsidRPr="004C27A4">
        <w:rPr>
          <w:rFonts w:eastAsia="@MingLiU"/>
        </w:rPr>
        <w:t xml:space="preserve">  </w:t>
      </w:r>
      <w:r w:rsidRPr="004C27A4">
        <w:t>The integration mandate arises out of Congress</w:t>
      </w:r>
      <w:r>
        <w:t>’</w:t>
      </w:r>
      <w:r w:rsidRPr="004C27A4">
        <w:t>s explicit findings in the ADA, the Attorney General</w:t>
      </w:r>
      <w:r>
        <w:t>’s regulations implementing Title</w:t>
      </w:r>
      <w:r w:rsidRPr="004C27A4">
        <w:t xml:space="preserve"> II,</w:t>
      </w:r>
      <w:r w:rsidRPr="004C27A4">
        <w:rPr>
          <w:rStyle w:val="FootnoteReference"/>
          <w:szCs w:val="24"/>
        </w:rPr>
        <w:footnoteReference w:id="5"/>
      </w:r>
      <w:r w:rsidRPr="004C27A4">
        <w:t xml:space="preserve"> and the Supreme Court</w:t>
      </w:r>
      <w:r>
        <w:t>’</w:t>
      </w:r>
      <w:r w:rsidRPr="004C27A4">
        <w:t xml:space="preserve">s decision in </w:t>
      </w:r>
      <w:r w:rsidRPr="00890E9B">
        <w:rPr>
          <w:i/>
        </w:rPr>
        <w:t>Olmstead</w:t>
      </w:r>
      <w:r w:rsidRPr="004C27A4">
        <w:t xml:space="preserve">, 527 U.S. </w:t>
      </w:r>
      <w:r w:rsidRPr="00AF78FE">
        <w:t>at 587</w:t>
      </w:r>
      <w:r w:rsidR="005B5F11" w:rsidRPr="00AF78FE">
        <w:fldChar w:fldCharType="begin"/>
      </w:r>
      <w:r w:rsidRPr="00AF78FE">
        <w:instrText xml:space="preserve"> TA \s "Olmstead v. L.C., 527 U.S. 581 (1999)" </w:instrText>
      </w:r>
      <w:r w:rsidR="005B5F11" w:rsidRPr="00AF78FE">
        <w:fldChar w:fldCharType="end"/>
      </w:r>
      <w:r w:rsidRPr="00AF78FE">
        <w:t>.</w:t>
      </w:r>
      <w:r w:rsidRPr="004C27A4">
        <w:t xml:space="preserve">  In </w:t>
      </w:r>
      <w:r w:rsidRPr="00890E9B">
        <w:rPr>
          <w:i/>
        </w:rPr>
        <w:t>Olmstead</w:t>
      </w:r>
      <w:r w:rsidRPr="004C27A4">
        <w:t>, the Supreme Court held that public entities are required to provide community-based services to persons with disabilities when (a</w:t>
      </w:r>
      <w:r>
        <w:t>) such services are appropriate,</w:t>
      </w:r>
      <w:r w:rsidRPr="004C27A4">
        <w:t xml:space="preserve"> (b) the affected persons do not o</w:t>
      </w:r>
      <w:r>
        <w:t>ppose community-based treatment,</w:t>
      </w:r>
      <w:r w:rsidRPr="004C27A4">
        <w:t xml:space="preserve"> and (c) community-based services can be reasonably accommodated, taking into account the resources available to the entity and the needs of other persons with disabilities.</w:t>
      </w:r>
      <w:r w:rsidR="00C14090" w:rsidRPr="00C14090">
        <w:rPr>
          <w:rStyle w:val="FootnoteReference"/>
          <w:szCs w:val="24"/>
        </w:rPr>
        <w:t xml:space="preserve"> </w:t>
      </w:r>
      <w:r w:rsidR="00C14090">
        <w:rPr>
          <w:rStyle w:val="FootnoteReference"/>
          <w:szCs w:val="24"/>
        </w:rPr>
        <w:footnoteReference w:id="6"/>
      </w:r>
      <w:r w:rsidRPr="004C27A4">
        <w:t xml:space="preserve">  </w:t>
      </w:r>
      <w:proofErr w:type="gramStart"/>
      <w:r w:rsidRPr="00890E9B">
        <w:rPr>
          <w:i/>
        </w:rPr>
        <w:t>Id.</w:t>
      </w:r>
      <w:r w:rsidRPr="004C27A4">
        <w:t xml:space="preserve"> at 607.</w:t>
      </w:r>
      <w:proofErr w:type="gramEnd"/>
    </w:p>
    <w:p w:rsidR="00E06350" w:rsidRDefault="00A90040" w:rsidP="003753D4">
      <w:pPr>
        <w:spacing w:line="480" w:lineRule="auto"/>
      </w:pPr>
      <w:r w:rsidRPr="004C27A4">
        <w:tab/>
      </w:r>
      <w:r w:rsidR="00E06350">
        <w:rPr>
          <w:szCs w:val="24"/>
        </w:rPr>
        <w:t>T</w:t>
      </w:r>
      <w:r w:rsidR="00E06350" w:rsidRPr="0053419E">
        <w:rPr>
          <w:szCs w:val="24"/>
        </w:rPr>
        <w:t xml:space="preserve">he ADA’s protections are not limited to those individuals who are currently institutionalized.  </w:t>
      </w:r>
      <w:r w:rsidR="00E06350">
        <w:rPr>
          <w:szCs w:val="24"/>
        </w:rPr>
        <w:t>The</w:t>
      </w:r>
      <w:r w:rsidR="00E06350" w:rsidRPr="0053419E">
        <w:rPr>
          <w:szCs w:val="24"/>
        </w:rPr>
        <w:t xml:space="preserve"> integration mandate also prohibits public entities from </w:t>
      </w:r>
      <w:r w:rsidR="00DD1D79">
        <w:rPr>
          <w:szCs w:val="24"/>
        </w:rPr>
        <w:t>implementing</w:t>
      </w:r>
      <w:r w:rsidR="00E06350" w:rsidRPr="0053419E">
        <w:rPr>
          <w:szCs w:val="24"/>
        </w:rPr>
        <w:t xml:space="preserve"> policies </w:t>
      </w:r>
      <w:r w:rsidR="00DD1D79">
        <w:rPr>
          <w:szCs w:val="24"/>
        </w:rPr>
        <w:t xml:space="preserve">or practices </w:t>
      </w:r>
      <w:r w:rsidR="00E06350" w:rsidRPr="0053419E">
        <w:rPr>
          <w:szCs w:val="24"/>
        </w:rPr>
        <w:t>that place individuals at</w:t>
      </w:r>
      <w:r w:rsidR="00E06350">
        <w:rPr>
          <w:szCs w:val="24"/>
        </w:rPr>
        <w:t xml:space="preserve"> serious</w:t>
      </w:r>
      <w:r w:rsidR="00E06350" w:rsidRPr="0053419E">
        <w:rPr>
          <w:szCs w:val="24"/>
        </w:rPr>
        <w:t xml:space="preserve"> risk of unnecessary institutionalization.</w:t>
      </w:r>
      <w:r w:rsidR="00E06350">
        <w:rPr>
          <w:szCs w:val="24"/>
        </w:rPr>
        <w:t xml:space="preserve">  </w:t>
      </w:r>
      <w:r w:rsidR="00E06350" w:rsidRPr="00001B96">
        <w:rPr>
          <w:i/>
          <w:szCs w:val="24"/>
        </w:rPr>
        <w:t>See</w:t>
      </w:r>
      <w:r w:rsidR="00E06350" w:rsidRPr="0053419E">
        <w:rPr>
          <w:szCs w:val="24"/>
        </w:rPr>
        <w:t xml:space="preserve"> </w:t>
      </w:r>
      <w:r w:rsidR="00E06350" w:rsidRPr="0053419E">
        <w:rPr>
          <w:i/>
          <w:szCs w:val="24"/>
        </w:rPr>
        <w:t>M.R. v. Dreyfus</w:t>
      </w:r>
      <w:r w:rsidR="00E06350" w:rsidRPr="0053419E">
        <w:rPr>
          <w:szCs w:val="24"/>
        </w:rPr>
        <w:t xml:space="preserve">, </w:t>
      </w:r>
      <w:r w:rsidR="002B5C4E">
        <w:rPr>
          <w:szCs w:val="24"/>
        </w:rPr>
        <w:t>663</w:t>
      </w:r>
      <w:r w:rsidR="00C43B1D">
        <w:rPr>
          <w:szCs w:val="24"/>
        </w:rPr>
        <w:t xml:space="preserve"> F.3d </w:t>
      </w:r>
      <w:r w:rsidR="002B5C4E">
        <w:rPr>
          <w:szCs w:val="24"/>
        </w:rPr>
        <w:t>1100, 1116</w:t>
      </w:r>
      <w:r w:rsidR="00E06350" w:rsidRPr="0053419E">
        <w:rPr>
          <w:szCs w:val="24"/>
        </w:rPr>
        <w:t xml:space="preserve"> (9th Cir. 2011)</w:t>
      </w:r>
      <w:r w:rsidR="00E06350">
        <w:rPr>
          <w:szCs w:val="24"/>
        </w:rPr>
        <w:t xml:space="preserve">; </w:t>
      </w:r>
      <w:r w:rsidR="00E06350" w:rsidRPr="00E726A4">
        <w:rPr>
          <w:i/>
          <w:szCs w:val="24"/>
        </w:rPr>
        <w:t>see</w:t>
      </w:r>
      <w:r w:rsidR="00E06350" w:rsidRPr="00E726A4">
        <w:rPr>
          <w:szCs w:val="24"/>
        </w:rPr>
        <w:t xml:space="preserve"> </w:t>
      </w:r>
      <w:r w:rsidR="00E06350" w:rsidRPr="00E726A4">
        <w:rPr>
          <w:i/>
          <w:szCs w:val="24"/>
        </w:rPr>
        <w:t xml:space="preserve">also </w:t>
      </w:r>
      <w:r w:rsidR="00E06350" w:rsidRPr="00E726A4">
        <w:rPr>
          <w:i/>
          <w:iCs/>
          <w:szCs w:val="24"/>
        </w:rPr>
        <w:t>Fisher</w:t>
      </w:r>
      <w:r w:rsidR="00E06350" w:rsidRPr="005870B0">
        <w:rPr>
          <w:i/>
          <w:iCs/>
          <w:szCs w:val="24"/>
        </w:rPr>
        <w:t xml:space="preserve"> </w:t>
      </w:r>
      <w:r w:rsidR="00E06350" w:rsidRPr="005870B0">
        <w:rPr>
          <w:i/>
          <w:szCs w:val="24"/>
        </w:rPr>
        <w:t xml:space="preserve">v. </w:t>
      </w:r>
      <w:r w:rsidR="00E06350" w:rsidRPr="005870B0">
        <w:rPr>
          <w:i/>
          <w:iCs/>
          <w:szCs w:val="24"/>
        </w:rPr>
        <w:t>O</w:t>
      </w:r>
      <w:r w:rsidR="00E06350" w:rsidRPr="00E726A4">
        <w:rPr>
          <w:i/>
          <w:iCs/>
          <w:szCs w:val="24"/>
        </w:rPr>
        <w:t>klahoma Health Care Auth.</w:t>
      </w:r>
      <w:r w:rsidR="00E06350" w:rsidRPr="00E726A4">
        <w:rPr>
          <w:iCs/>
          <w:szCs w:val="24"/>
        </w:rPr>
        <w:t>,</w:t>
      </w:r>
      <w:r w:rsidR="00E06350" w:rsidRPr="00E726A4">
        <w:rPr>
          <w:i/>
          <w:iCs/>
          <w:szCs w:val="24"/>
        </w:rPr>
        <w:t xml:space="preserve"> </w:t>
      </w:r>
      <w:r w:rsidR="00E06350" w:rsidRPr="00E726A4">
        <w:rPr>
          <w:szCs w:val="24"/>
        </w:rPr>
        <w:t>335 F.3d 1175, 1181 (10th Cir. 2003)</w:t>
      </w:r>
      <w:r w:rsidR="005B5F11" w:rsidRPr="00E726A4">
        <w:rPr>
          <w:szCs w:val="24"/>
        </w:rPr>
        <w:fldChar w:fldCharType="begin"/>
      </w:r>
      <w:r w:rsidR="00E06350" w:rsidRPr="00E726A4">
        <w:rPr>
          <w:szCs w:val="24"/>
        </w:rPr>
        <w:instrText xml:space="preserve"> TA \s "Fisher v. Oklahoma Health Care Auth, 335 F.3d 1175 (10th Cir. 2003)" </w:instrText>
      </w:r>
      <w:r w:rsidR="005B5F11" w:rsidRPr="00E726A4">
        <w:rPr>
          <w:szCs w:val="24"/>
        </w:rPr>
        <w:fldChar w:fldCharType="end"/>
      </w:r>
      <w:r w:rsidR="00E06350" w:rsidRPr="00E726A4">
        <w:rPr>
          <w:i/>
          <w:iCs/>
          <w:szCs w:val="24"/>
        </w:rPr>
        <w:t xml:space="preserve"> </w:t>
      </w:r>
      <w:r w:rsidR="00E06350" w:rsidRPr="00E726A4">
        <w:rPr>
          <w:iCs/>
          <w:szCs w:val="24"/>
        </w:rPr>
        <w:t>(</w:t>
      </w:r>
      <w:r w:rsidR="00E06350" w:rsidRPr="00E726A4">
        <w:rPr>
          <w:szCs w:val="24"/>
        </w:rPr>
        <w:t xml:space="preserve">noting that “nothing in the </w:t>
      </w:r>
      <w:r w:rsidR="00E06350" w:rsidRPr="0004367B">
        <w:rPr>
          <w:i/>
          <w:szCs w:val="24"/>
        </w:rPr>
        <w:t>Olmstead</w:t>
      </w:r>
      <w:r w:rsidR="00E06350" w:rsidRPr="00E726A4">
        <w:rPr>
          <w:szCs w:val="24"/>
        </w:rPr>
        <w:t xml:space="preserve"> decision supports a conclusion that institutionalization is a prerequisite to enforcement of the</w:t>
      </w:r>
      <w:r w:rsidR="00E06350">
        <w:rPr>
          <w:szCs w:val="24"/>
        </w:rPr>
        <w:t xml:space="preserve"> ADA’s integration requirements</w:t>
      </w:r>
      <w:r w:rsidR="00E06350" w:rsidRPr="00E726A4">
        <w:rPr>
          <w:szCs w:val="24"/>
        </w:rPr>
        <w:t>”</w:t>
      </w:r>
      <w:r w:rsidR="00E06350">
        <w:rPr>
          <w:szCs w:val="24"/>
        </w:rPr>
        <w:t>)</w:t>
      </w:r>
      <w:r w:rsidR="00A85581">
        <w:rPr>
          <w:szCs w:val="24"/>
        </w:rPr>
        <w:t xml:space="preserve">; </w:t>
      </w:r>
      <w:r w:rsidR="00A85581" w:rsidRPr="00A85581">
        <w:rPr>
          <w:i/>
          <w:szCs w:val="24"/>
        </w:rPr>
        <w:t>Haddad v. Dudek</w:t>
      </w:r>
      <w:r w:rsidR="00A85581">
        <w:rPr>
          <w:szCs w:val="24"/>
        </w:rPr>
        <w:t>, 784 F.</w:t>
      </w:r>
      <w:r w:rsidR="00BB6763">
        <w:rPr>
          <w:szCs w:val="24"/>
        </w:rPr>
        <w:t xml:space="preserve"> </w:t>
      </w:r>
      <w:r w:rsidR="005870B0">
        <w:rPr>
          <w:szCs w:val="24"/>
        </w:rPr>
        <w:t>Supp. 2d 1308, 1323-</w:t>
      </w:r>
      <w:r w:rsidR="00A85581">
        <w:rPr>
          <w:szCs w:val="24"/>
        </w:rPr>
        <w:t>32 (M.D. Fla. 2011) (denying defendants’ motion to dismiss where plaintiff in community sued to prevent unnecessary institutionalization)</w:t>
      </w:r>
      <w:r w:rsidR="00E06350">
        <w:rPr>
          <w:szCs w:val="24"/>
        </w:rPr>
        <w:t>.</w:t>
      </w:r>
    </w:p>
    <w:p w:rsidR="00DA309F" w:rsidRDefault="00727E16" w:rsidP="00DA309F">
      <w:pPr>
        <w:pStyle w:val="ListParagraph"/>
        <w:numPr>
          <w:ilvl w:val="0"/>
          <w:numId w:val="20"/>
        </w:numPr>
        <w:rPr>
          <w:u w:val="single"/>
        </w:rPr>
      </w:pPr>
      <w:r>
        <w:rPr>
          <w:u w:val="single"/>
        </w:rPr>
        <w:t xml:space="preserve">The </w:t>
      </w:r>
      <w:r w:rsidR="00DA309F" w:rsidRPr="00DA309F">
        <w:rPr>
          <w:u w:val="single"/>
        </w:rPr>
        <w:t>E</w:t>
      </w:r>
      <w:r w:rsidR="00DA309F">
        <w:rPr>
          <w:u w:val="single"/>
        </w:rPr>
        <w:t>arly and Periodic Screening, D</w:t>
      </w:r>
      <w:r w:rsidR="00A76EFF">
        <w:rPr>
          <w:u w:val="single"/>
        </w:rPr>
        <w:t>iagnosis</w:t>
      </w:r>
      <w:r w:rsidR="00DA309F">
        <w:rPr>
          <w:u w:val="single"/>
        </w:rPr>
        <w:t xml:space="preserve"> and Treatment</w:t>
      </w:r>
      <w:r w:rsidR="00DA309F" w:rsidRPr="00DA309F">
        <w:rPr>
          <w:u w:val="single"/>
        </w:rPr>
        <w:t xml:space="preserve"> Requirements of the Medicaid Act</w:t>
      </w:r>
    </w:p>
    <w:p w:rsidR="00DA309F" w:rsidRDefault="00DA309F" w:rsidP="00DA309F">
      <w:pPr>
        <w:pStyle w:val="ListParagraph"/>
        <w:rPr>
          <w:u w:val="single"/>
        </w:rPr>
      </w:pPr>
    </w:p>
    <w:p w:rsidR="0023624B" w:rsidRPr="00FB5A6C" w:rsidRDefault="00F12A24" w:rsidP="00F12A24">
      <w:pPr>
        <w:spacing w:line="480" w:lineRule="auto"/>
        <w:ind w:firstLine="720"/>
        <w:rPr>
          <w:szCs w:val="24"/>
        </w:rPr>
      </w:pPr>
      <w:r w:rsidRPr="00F12A24">
        <w:rPr>
          <w:szCs w:val="24"/>
        </w:rPr>
        <w:t xml:space="preserve">Under the Early and Periodic Screening, Diagnosis and Treatment (“EPSDT”) </w:t>
      </w:r>
      <w:r>
        <w:rPr>
          <w:szCs w:val="24"/>
        </w:rPr>
        <w:t>requirements</w:t>
      </w:r>
      <w:r w:rsidRPr="00F12A24">
        <w:rPr>
          <w:szCs w:val="24"/>
        </w:rPr>
        <w:t xml:space="preserve"> of the Medicaid Act, </w:t>
      </w:r>
      <w:r w:rsidR="00727E16">
        <w:rPr>
          <w:szCs w:val="24"/>
        </w:rPr>
        <w:t>states</w:t>
      </w:r>
      <w:r w:rsidRPr="00F12A24">
        <w:rPr>
          <w:szCs w:val="24"/>
        </w:rPr>
        <w:t xml:space="preserve"> must provide coverage to categorically Medicaid-eligible individuals under the age of twenty-one for all medically necessary treatment services described in the Medicaid Act at 42 U.S.C. § </w:t>
      </w:r>
      <w:proofErr w:type="gramStart"/>
      <w:r w:rsidRPr="00F12A24">
        <w:rPr>
          <w:szCs w:val="24"/>
        </w:rPr>
        <w:t>1396d(</w:t>
      </w:r>
      <w:proofErr w:type="gramEnd"/>
      <w:r w:rsidRPr="00F12A24">
        <w:rPr>
          <w:szCs w:val="24"/>
        </w:rPr>
        <w:t>a), which sets forth</w:t>
      </w:r>
      <w:r w:rsidR="0047133C">
        <w:rPr>
          <w:szCs w:val="24"/>
        </w:rPr>
        <w:t xml:space="preserve"> a number of</w:t>
      </w:r>
      <w:r w:rsidRPr="00F12A24">
        <w:rPr>
          <w:szCs w:val="24"/>
        </w:rPr>
        <w:t xml:space="preserve"> </w:t>
      </w:r>
      <w:r w:rsidR="00727D9A">
        <w:rPr>
          <w:szCs w:val="24"/>
        </w:rPr>
        <w:t>services that may be made available under a State Medicaid Plan</w:t>
      </w:r>
      <w:r w:rsidRPr="00F12A24">
        <w:rPr>
          <w:szCs w:val="24"/>
        </w:rPr>
        <w:t>.  42 U.S.C. § 1396a(a)(43)</w:t>
      </w:r>
      <w:r w:rsidR="005B5F11" w:rsidRPr="00F12A24">
        <w:rPr>
          <w:szCs w:val="24"/>
        </w:rPr>
        <w:fldChar w:fldCharType="begin"/>
      </w:r>
      <w:r w:rsidRPr="00F12A24">
        <w:rPr>
          <w:szCs w:val="24"/>
        </w:rPr>
        <w:instrText xml:space="preserve"> TA \l "42 U.S.C. § 1396a(a)(43)" \s "42 U.S.C. § 1396a(a)(43)" \c 2 </w:instrText>
      </w:r>
      <w:r w:rsidR="005B5F11" w:rsidRPr="00F12A24">
        <w:rPr>
          <w:szCs w:val="24"/>
        </w:rPr>
        <w:fldChar w:fldCharType="end"/>
      </w:r>
      <w:r w:rsidR="005870B0">
        <w:rPr>
          <w:szCs w:val="24"/>
        </w:rPr>
        <w:t>; 42 U.S.C. § </w:t>
      </w:r>
      <w:r w:rsidRPr="00F12A24">
        <w:rPr>
          <w:szCs w:val="24"/>
        </w:rPr>
        <w:t>1396d(a)(4)</w:t>
      </w:r>
      <w:r w:rsidR="005B5F11" w:rsidRPr="00F12A24">
        <w:rPr>
          <w:szCs w:val="24"/>
        </w:rPr>
        <w:fldChar w:fldCharType="begin"/>
      </w:r>
      <w:r w:rsidRPr="00F12A24">
        <w:rPr>
          <w:szCs w:val="24"/>
        </w:rPr>
        <w:instrText xml:space="preserve"> TA \l "42 U.S.C. § 1396d(a)(4)" \s "42 U.S.C. § 1396d(a)(4)" \c 2 </w:instrText>
      </w:r>
      <w:r w:rsidR="005B5F11" w:rsidRPr="00F12A24">
        <w:rPr>
          <w:szCs w:val="24"/>
        </w:rPr>
        <w:fldChar w:fldCharType="end"/>
      </w:r>
      <w:r w:rsidRPr="00F12A24">
        <w:rPr>
          <w:szCs w:val="24"/>
        </w:rPr>
        <w:t>; 42 U.S.C. § 1396d(r)</w:t>
      </w:r>
      <w:r w:rsidR="005B5F11" w:rsidRPr="00F12A24">
        <w:rPr>
          <w:szCs w:val="24"/>
        </w:rPr>
        <w:fldChar w:fldCharType="begin"/>
      </w:r>
      <w:r w:rsidRPr="00F12A24">
        <w:rPr>
          <w:szCs w:val="24"/>
        </w:rPr>
        <w:instrText xml:space="preserve"> TA \s "1396d(r)(5)" </w:instrText>
      </w:r>
      <w:r w:rsidR="005B5F11" w:rsidRPr="00F12A24">
        <w:rPr>
          <w:szCs w:val="24"/>
        </w:rPr>
        <w:fldChar w:fldCharType="end"/>
      </w:r>
      <w:r w:rsidRPr="00F12A24">
        <w:rPr>
          <w:szCs w:val="24"/>
        </w:rPr>
        <w:t>(1)-(5).  The treatment to be provided for is defined by 42 U.S.C. § 1396d(r) and includes</w:t>
      </w:r>
      <w:r w:rsidR="00920BF0">
        <w:rPr>
          <w:szCs w:val="24"/>
        </w:rPr>
        <w:t xml:space="preserve"> dental, hearing and vision services and</w:t>
      </w:r>
      <w:r w:rsidRPr="00F12A24">
        <w:rPr>
          <w:szCs w:val="24"/>
        </w:rPr>
        <w:t xml:space="preserve"> “[s]</w:t>
      </w:r>
      <w:proofErr w:type="spellStart"/>
      <w:r w:rsidRPr="00F12A24">
        <w:rPr>
          <w:szCs w:val="24"/>
        </w:rPr>
        <w:t>uch</w:t>
      </w:r>
      <w:proofErr w:type="spellEnd"/>
      <w:r w:rsidRPr="00F12A24">
        <w:rPr>
          <w:szCs w:val="24"/>
        </w:rPr>
        <w:t xml:space="preserve"> other necessary health care, diagnostic services, treatment, and other mea</w:t>
      </w:r>
      <w:r w:rsidR="005870B0">
        <w:rPr>
          <w:szCs w:val="24"/>
        </w:rPr>
        <w:t>sures described in [42 U.S.C. § </w:t>
      </w:r>
      <w:proofErr w:type="gramStart"/>
      <w:r w:rsidRPr="00F12A24">
        <w:rPr>
          <w:szCs w:val="24"/>
        </w:rPr>
        <w:t>1396d(</w:t>
      </w:r>
      <w:proofErr w:type="gramEnd"/>
      <w:r w:rsidRPr="00F12A24">
        <w:rPr>
          <w:szCs w:val="24"/>
        </w:rPr>
        <w:t xml:space="preserve">a)]. . . to correct or ameliorate defects and physical and mental illnesses and conditions discovered by the screening services, whether or not such services are [otherwise] covered under the </w:t>
      </w:r>
      <w:r w:rsidR="00BB6763">
        <w:rPr>
          <w:szCs w:val="24"/>
        </w:rPr>
        <w:t>S</w:t>
      </w:r>
      <w:r w:rsidRPr="00F12A24">
        <w:rPr>
          <w:szCs w:val="24"/>
        </w:rPr>
        <w:t xml:space="preserve">tate plan.”  </w:t>
      </w:r>
      <w:proofErr w:type="gramStart"/>
      <w:r w:rsidRPr="00F12A24">
        <w:rPr>
          <w:szCs w:val="24"/>
        </w:rPr>
        <w:t>42 U.S.C. §</w:t>
      </w:r>
      <w:r w:rsidR="00BB6763">
        <w:rPr>
          <w:szCs w:val="24"/>
        </w:rPr>
        <w:t xml:space="preserve"> </w:t>
      </w:r>
      <w:r w:rsidRPr="00F12A24">
        <w:rPr>
          <w:szCs w:val="24"/>
        </w:rPr>
        <w:t>1396d(r)</w:t>
      </w:r>
      <w:r w:rsidR="005B5F11" w:rsidRPr="00F12A24">
        <w:rPr>
          <w:szCs w:val="24"/>
        </w:rPr>
        <w:fldChar w:fldCharType="begin"/>
      </w:r>
      <w:r w:rsidRPr="00F12A24">
        <w:rPr>
          <w:szCs w:val="24"/>
        </w:rPr>
        <w:instrText xml:space="preserve"> TA \l "42 U.S.C. § 1396d(r)" \s "42 U.S.C. § 1396d(r)" \c 2 </w:instrText>
      </w:r>
      <w:r w:rsidR="005B5F11" w:rsidRPr="00F12A24">
        <w:rPr>
          <w:szCs w:val="24"/>
        </w:rPr>
        <w:fldChar w:fldCharType="end"/>
      </w:r>
      <w:r w:rsidR="00BB6763">
        <w:rPr>
          <w:szCs w:val="24"/>
        </w:rPr>
        <w:t>(5); 42 C.F.R. § 440.</w:t>
      </w:r>
      <w:r w:rsidR="0028306F">
        <w:rPr>
          <w:szCs w:val="24"/>
        </w:rPr>
        <w:t>4</w:t>
      </w:r>
      <w:r w:rsidRPr="00F12A24">
        <w:rPr>
          <w:szCs w:val="24"/>
        </w:rPr>
        <w:t>0</w:t>
      </w:r>
      <w:r w:rsidR="00EE0B44">
        <w:rPr>
          <w:szCs w:val="24"/>
        </w:rPr>
        <w:t>.</w:t>
      </w:r>
      <w:proofErr w:type="gramEnd"/>
      <w:r w:rsidR="00EE0B44">
        <w:rPr>
          <w:szCs w:val="24"/>
        </w:rPr>
        <w:t xml:space="preserve">  </w:t>
      </w:r>
      <w:r w:rsidR="00920BF0">
        <w:rPr>
          <w:szCs w:val="24"/>
        </w:rPr>
        <w:t xml:space="preserve">Under § 1396d(r)(5), states must “cover every type </w:t>
      </w:r>
      <w:r w:rsidR="00FB5A6C">
        <w:rPr>
          <w:szCs w:val="24"/>
        </w:rPr>
        <w:t>of health care or service necessary for EPSDT corrective or ameliorative purposes that is allowable under § 1396</w:t>
      </w:r>
      <w:r w:rsidR="00727D9A">
        <w:rPr>
          <w:szCs w:val="24"/>
        </w:rPr>
        <w:t>d</w:t>
      </w:r>
      <w:r w:rsidR="00FB5A6C">
        <w:rPr>
          <w:szCs w:val="24"/>
        </w:rPr>
        <w:t xml:space="preserve">(a),” </w:t>
      </w:r>
      <w:r w:rsidR="00FB5A6C">
        <w:rPr>
          <w:i/>
          <w:szCs w:val="24"/>
        </w:rPr>
        <w:t>S.D. ex rel. Dickson v. Hood</w:t>
      </w:r>
      <w:r w:rsidR="00FB5A6C">
        <w:rPr>
          <w:szCs w:val="24"/>
        </w:rPr>
        <w:t>, 391 F.3d 581, 590 (5th Ci</w:t>
      </w:r>
      <w:r w:rsidR="000711FA">
        <w:rPr>
          <w:szCs w:val="24"/>
        </w:rPr>
        <w:t xml:space="preserve">r. 2004), including </w:t>
      </w:r>
      <w:r w:rsidR="00727D9A">
        <w:rPr>
          <w:szCs w:val="24"/>
        </w:rPr>
        <w:t xml:space="preserve">private duty </w:t>
      </w:r>
      <w:r w:rsidR="00FB5A6C">
        <w:rPr>
          <w:szCs w:val="24"/>
        </w:rPr>
        <w:t>nursing</w:t>
      </w:r>
      <w:r w:rsidR="00727D9A">
        <w:rPr>
          <w:szCs w:val="24"/>
        </w:rPr>
        <w:t xml:space="preserve"> services</w:t>
      </w:r>
      <w:r w:rsidR="00FB5A6C">
        <w:rPr>
          <w:szCs w:val="24"/>
        </w:rPr>
        <w:t xml:space="preserve">.  </w:t>
      </w:r>
      <w:r w:rsidR="004960ED" w:rsidRPr="004960ED">
        <w:rPr>
          <w:i/>
          <w:szCs w:val="24"/>
        </w:rPr>
        <w:t>See</w:t>
      </w:r>
      <w:r w:rsidR="00727D9A">
        <w:rPr>
          <w:szCs w:val="24"/>
        </w:rPr>
        <w:t xml:space="preserve"> 42 U.S.C. § </w:t>
      </w:r>
      <w:proofErr w:type="gramStart"/>
      <w:r w:rsidR="00727D9A">
        <w:rPr>
          <w:szCs w:val="24"/>
        </w:rPr>
        <w:t>1396d(</w:t>
      </w:r>
      <w:proofErr w:type="gramEnd"/>
      <w:r w:rsidR="00727D9A">
        <w:rPr>
          <w:szCs w:val="24"/>
        </w:rPr>
        <w:t>a)(8).</w:t>
      </w:r>
    </w:p>
    <w:p w:rsidR="004A5031" w:rsidRDefault="00FB5A6C" w:rsidP="00F12A24">
      <w:pPr>
        <w:spacing w:line="480" w:lineRule="auto"/>
        <w:ind w:firstLine="720"/>
        <w:rPr>
          <w:szCs w:val="24"/>
        </w:rPr>
      </w:pPr>
      <w:r>
        <w:rPr>
          <w:szCs w:val="24"/>
        </w:rPr>
        <w:t xml:space="preserve">A state </w:t>
      </w:r>
      <w:r w:rsidR="002C54FB">
        <w:rPr>
          <w:szCs w:val="24"/>
        </w:rPr>
        <w:t>has discretion to develop a reasonable definition of “medical necessity</w:t>
      </w:r>
      <w:r>
        <w:rPr>
          <w:szCs w:val="24"/>
        </w:rPr>
        <w:t>,</w:t>
      </w:r>
      <w:r w:rsidR="002C54FB">
        <w:rPr>
          <w:szCs w:val="24"/>
        </w:rPr>
        <w:t>”</w:t>
      </w:r>
      <w:r>
        <w:rPr>
          <w:szCs w:val="24"/>
        </w:rPr>
        <w:t xml:space="preserve"> </w:t>
      </w:r>
      <w:r w:rsidR="00B703A8">
        <w:rPr>
          <w:szCs w:val="24"/>
        </w:rPr>
        <w:t>but the services provided</w:t>
      </w:r>
      <w:r w:rsidR="0023624B" w:rsidRPr="0023624B">
        <w:rPr>
          <w:szCs w:val="24"/>
        </w:rPr>
        <w:t xml:space="preserve"> must be sufficient in amount, duration, and scope to reasonably achieve </w:t>
      </w:r>
      <w:r w:rsidR="00B703A8">
        <w:rPr>
          <w:szCs w:val="24"/>
        </w:rPr>
        <w:t>their</w:t>
      </w:r>
      <w:r w:rsidR="0023624B" w:rsidRPr="0023624B">
        <w:rPr>
          <w:szCs w:val="24"/>
        </w:rPr>
        <w:t xml:space="preserve"> desired </w:t>
      </w:r>
      <w:r w:rsidR="0023624B" w:rsidRPr="00B703A8">
        <w:rPr>
          <w:szCs w:val="24"/>
        </w:rPr>
        <w:t xml:space="preserve">purpose, including providing treatment </w:t>
      </w:r>
      <w:r w:rsidR="00A70F24">
        <w:rPr>
          <w:szCs w:val="24"/>
        </w:rPr>
        <w:t>“</w:t>
      </w:r>
      <w:r w:rsidR="0023624B" w:rsidRPr="00B703A8">
        <w:rPr>
          <w:szCs w:val="24"/>
        </w:rPr>
        <w:t>to correct or ameliorate defects and chronic conditions</w:t>
      </w:r>
      <w:r w:rsidR="00A70F24">
        <w:rPr>
          <w:szCs w:val="24"/>
        </w:rPr>
        <w:t>” of EPSDT-eligible children</w:t>
      </w:r>
      <w:r w:rsidR="0023624B" w:rsidRPr="00B703A8">
        <w:rPr>
          <w:szCs w:val="24"/>
        </w:rPr>
        <w:t>.</w:t>
      </w:r>
      <w:r w:rsidR="0023624B">
        <w:rPr>
          <w:szCs w:val="24"/>
        </w:rPr>
        <w:t xml:space="preserve">  </w:t>
      </w:r>
      <w:r w:rsidR="00BB6763">
        <w:rPr>
          <w:szCs w:val="24"/>
        </w:rPr>
        <w:t xml:space="preserve">42 C.F.R. § 441.50 (describing purpose of EPSDT services); </w:t>
      </w:r>
      <w:r w:rsidR="00BB6763" w:rsidRPr="00BB6763">
        <w:rPr>
          <w:i/>
          <w:szCs w:val="24"/>
        </w:rPr>
        <w:t>see</w:t>
      </w:r>
      <w:r w:rsidR="00BB6763">
        <w:rPr>
          <w:szCs w:val="24"/>
        </w:rPr>
        <w:t xml:space="preserve"> </w:t>
      </w:r>
      <w:r w:rsidRPr="00EE0B44">
        <w:rPr>
          <w:i/>
          <w:szCs w:val="24"/>
        </w:rPr>
        <w:t>Moore ex rel. Moore v. Reese</w:t>
      </w:r>
      <w:r>
        <w:rPr>
          <w:szCs w:val="24"/>
        </w:rPr>
        <w:t xml:space="preserve">, 637 F.3d 1220, </w:t>
      </w:r>
      <w:r w:rsidR="0023624B">
        <w:rPr>
          <w:szCs w:val="24"/>
        </w:rPr>
        <w:t>1255</w:t>
      </w:r>
      <w:r w:rsidR="00B703A8">
        <w:rPr>
          <w:szCs w:val="24"/>
        </w:rPr>
        <w:t>, 1261</w:t>
      </w:r>
      <w:r>
        <w:rPr>
          <w:szCs w:val="24"/>
        </w:rPr>
        <w:t xml:space="preserve"> (11th Cir. 2011)</w:t>
      </w:r>
      <w:r w:rsidR="00BB6763">
        <w:rPr>
          <w:szCs w:val="24"/>
        </w:rPr>
        <w:t xml:space="preserve">.  </w:t>
      </w:r>
      <w:r w:rsidR="007D1AFE">
        <w:rPr>
          <w:szCs w:val="24"/>
        </w:rPr>
        <w:t>Imposing res</w:t>
      </w:r>
      <w:r w:rsidR="000711FA">
        <w:rPr>
          <w:szCs w:val="24"/>
        </w:rPr>
        <w:t>trictions</w:t>
      </w:r>
      <w:r w:rsidR="007D1AFE">
        <w:rPr>
          <w:szCs w:val="24"/>
        </w:rPr>
        <w:t xml:space="preserve"> </w:t>
      </w:r>
      <w:r w:rsidR="004A337D">
        <w:rPr>
          <w:szCs w:val="24"/>
        </w:rPr>
        <w:t>on</w:t>
      </w:r>
      <w:r w:rsidR="007D1AFE">
        <w:rPr>
          <w:szCs w:val="24"/>
        </w:rPr>
        <w:t xml:space="preserve"> </w:t>
      </w:r>
      <w:r w:rsidR="004A337D">
        <w:rPr>
          <w:szCs w:val="24"/>
        </w:rPr>
        <w:t>the</w:t>
      </w:r>
      <w:r w:rsidR="000711FA">
        <w:rPr>
          <w:szCs w:val="24"/>
        </w:rPr>
        <w:t xml:space="preserve"> number of hours of skilled</w:t>
      </w:r>
      <w:r w:rsidR="004A337D">
        <w:rPr>
          <w:szCs w:val="24"/>
        </w:rPr>
        <w:t xml:space="preserve"> nursing care available to</w:t>
      </w:r>
      <w:r w:rsidR="00727D9A">
        <w:rPr>
          <w:szCs w:val="24"/>
        </w:rPr>
        <w:t xml:space="preserve"> a </w:t>
      </w:r>
      <w:r w:rsidR="004A337D">
        <w:rPr>
          <w:szCs w:val="24"/>
        </w:rPr>
        <w:t>child</w:t>
      </w:r>
      <w:r w:rsidR="00727D9A">
        <w:rPr>
          <w:szCs w:val="24"/>
        </w:rPr>
        <w:t xml:space="preserve"> that are not based on the needs of that child</w:t>
      </w:r>
      <w:r w:rsidR="004A337D">
        <w:rPr>
          <w:szCs w:val="24"/>
        </w:rPr>
        <w:t xml:space="preserve"> is inconsistent with the EPSDT provisions of the Medicaid Act. </w:t>
      </w:r>
      <w:r w:rsidR="005870B0">
        <w:rPr>
          <w:szCs w:val="24"/>
        </w:rPr>
        <w:t xml:space="preserve"> </w:t>
      </w:r>
      <w:r w:rsidR="00453189">
        <w:rPr>
          <w:i/>
          <w:szCs w:val="24"/>
        </w:rPr>
        <w:t>See Moore</w:t>
      </w:r>
      <w:r w:rsidR="00BB6763">
        <w:rPr>
          <w:i/>
          <w:szCs w:val="24"/>
        </w:rPr>
        <w:t xml:space="preserve"> ex rel. Moore</w:t>
      </w:r>
      <w:r w:rsidR="00453189">
        <w:rPr>
          <w:i/>
          <w:szCs w:val="24"/>
        </w:rPr>
        <w:t xml:space="preserve"> v. Cook</w:t>
      </w:r>
      <w:r w:rsidR="00453189">
        <w:rPr>
          <w:szCs w:val="24"/>
        </w:rPr>
        <w:t xml:space="preserve">, No. </w:t>
      </w:r>
      <w:r w:rsidR="00BB6763">
        <w:rPr>
          <w:szCs w:val="24"/>
        </w:rPr>
        <w:t>1:</w:t>
      </w:r>
      <w:r w:rsidR="00453189">
        <w:rPr>
          <w:szCs w:val="24"/>
        </w:rPr>
        <w:t xml:space="preserve">07-CV-631-TWT, 2012 WL 1380220, </w:t>
      </w:r>
      <w:r w:rsidR="00BB6763">
        <w:rPr>
          <w:szCs w:val="24"/>
        </w:rPr>
        <w:t xml:space="preserve">at </w:t>
      </w:r>
      <w:r w:rsidR="00453189">
        <w:rPr>
          <w:szCs w:val="24"/>
        </w:rPr>
        <w:t xml:space="preserve">*10 (N.D. Ga. Apr. </w:t>
      </w:r>
      <w:r w:rsidR="00BB6763">
        <w:rPr>
          <w:szCs w:val="24"/>
        </w:rPr>
        <w:t>20</w:t>
      </w:r>
      <w:r w:rsidR="00453189">
        <w:rPr>
          <w:szCs w:val="24"/>
        </w:rPr>
        <w:t xml:space="preserve">, 2012) (finding that reduction in nursing care hours </w:t>
      </w:r>
      <w:r w:rsidR="00A76EFF">
        <w:rPr>
          <w:szCs w:val="24"/>
        </w:rPr>
        <w:t xml:space="preserve">provided </w:t>
      </w:r>
      <w:r w:rsidR="00453189">
        <w:rPr>
          <w:szCs w:val="24"/>
        </w:rPr>
        <w:t xml:space="preserve">to a child violated the </w:t>
      </w:r>
      <w:r w:rsidR="00727D9A">
        <w:rPr>
          <w:szCs w:val="24"/>
        </w:rPr>
        <w:t xml:space="preserve">EPSDT provisions of the </w:t>
      </w:r>
      <w:r w:rsidR="00453189">
        <w:rPr>
          <w:szCs w:val="24"/>
        </w:rPr>
        <w:t xml:space="preserve">Medicaid Act where his condition was not improving, and the reduction was based on a policy and practice to wean care and shift the burden of skilled care to the child’s parent); </w:t>
      </w:r>
      <w:r w:rsidR="00453189">
        <w:rPr>
          <w:i/>
          <w:szCs w:val="24"/>
        </w:rPr>
        <w:t xml:space="preserve">Royal </w:t>
      </w:r>
      <w:r w:rsidR="00F50143">
        <w:rPr>
          <w:i/>
          <w:szCs w:val="24"/>
        </w:rPr>
        <w:t xml:space="preserve">ex rel. Royal </w:t>
      </w:r>
      <w:r w:rsidR="00453189">
        <w:rPr>
          <w:i/>
          <w:szCs w:val="24"/>
        </w:rPr>
        <w:t>v. Cook</w:t>
      </w:r>
      <w:r w:rsidR="00453189">
        <w:rPr>
          <w:szCs w:val="24"/>
        </w:rPr>
        <w:t xml:space="preserve">, No. </w:t>
      </w:r>
      <w:r w:rsidR="00F50143">
        <w:rPr>
          <w:szCs w:val="24"/>
        </w:rPr>
        <w:t>1:</w:t>
      </w:r>
      <w:r w:rsidR="00453189">
        <w:rPr>
          <w:szCs w:val="24"/>
        </w:rPr>
        <w:t>08-CV-2930-TWT, 2012 WL 2326115,</w:t>
      </w:r>
      <w:r w:rsidR="005108AF">
        <w:rPr>
          <w:szCs w:val="24"/>
        </w:rPr>
        <w:t xml:space="preserve"> at</w:t>
      </w:r>
      <w:r w:rsidR="00453189">
        <w:rPr>
          <w:szCs w:val="24"/>
        </w:rPr>
        <w:t xml:space="preserve"> *9 (N.D. Ga. June 19, 2012) (same).</w:t>
      </w:r>
      <w:r w:rsidR="004A337D">
        <w:rPr>
          <w:szCs w:val="24"/>
        </w:rPr>
        <w:t xml:space="preserve">  States must ensure that each child receives all the </w:t>
      </w:r>
      <w:r w:rsidR="000711FA">
        <w:rPr>
          <w:szCs w:val="24"/>
        </w:rPr>
        <w:t xml:space="preserve">covered </w:t>
      </w:r>
      <w:r w:rsidR="004A337D">
        <w:rPr>
          <w:szCs w:val="24"/>
        </w:rPr>
        <w:t xml:space="preserve">services he is identified as needing, consistent with the EPSDT </w:t>
      </w:r>
      <w:r w:rsidR="003F492D">
        <w:rPr>
          <w:szCs w:val="24"/>
        </w:rPr>
        <w:t>def</w:t>
      </w:r>
      <w:r w:rsidR="00F50143">
        <w:rPr>
          <w:szCs w:val="24"/>
        </w:rPr>
        <w:t xml:space="preserve">inition of medical necessity in </w:t>
      </w:r>
      <w:r w:rsidR="003F492D">
        <w:rPr>
          <w:szCs w:val="24"/>
        </w:rPr>
        <w:t xml:space="preserve">§1396d(r)(5).  </w:t>
      </w:r>
    </w:p>
    <w:p w:rsidR="004B6BD4" w:rsidRPr="00493EF2" w:rsidRDefault="004B6BD4" w:rsidP="009E3A1C">
      <w:pPr>
        <w:widowControl w:val="0"/>
        <w:spacing w:line="480" w:lineRule="auto"/>
        <w:jc w:val="center"/>
        <w:rPr>
          <w:b/>
          <w:szCs w:val="24"/>
        </w:rPr>
      </w:pPr>
      <w:r w:rsidRPr="00493EF2">
        <w:rPr>
          <w:b/>
          <w:szCs w:val="24"/>
        </w:rPr>
        <w:t>FACTUAL BACKGROUND</w:t>
      </w:r>
    </w:p>
    <w:p w:rsidR="0032159B" w:rsidRDefault="00703DE8" w:rsidP="009E3A1C">
      <w:pPr>
        <w:widowControl w:val="0"/>
        <w:spacing w:line="480" w:lineRule="auto"/>
        <w:rPr>
          <w:szCs w:val="24"/>
        </w:rPr>
      </w:pPr>
      <w:r>
        <w:rPr>
          <w:szCs w:val="24"/>
        </w:rPr>
        <w:tab/>
        <w:t xml:space="preserve">Plaintiffs in the instant lawsuit are </w:t>
      </w:r>
      <w:r w:rsidR="00890E9B">
        <w:rPr>
          <w:szCs w:val="24"/>
        </w:rPr>
        <w:t>eight</w:t>
      </w:r>
      <w:r>
        <w:rPr>
          <w:szCs w:val="24"/>
        </w:rPr>
        <w:t xml:space="preserve"> medically fragile children currently living </w:t>
      </w:r>
      <w:r w:rsidR="003E2C8F">
        <w:rPr>
          <w:szCs w:val="24"/>
        </w:rPr>
        <w:t>in a nursing facility</w:t>
      </w:r>
      <w:r w:rsidR="00890E9B">
        <w:rPr>
          <w:szCs w:val="24"/>
        </w:rPr>
        <w:t xml:space="preserve"> or at </w:t>
      </w:r>
      <w:r>
        <w:rPr>
          <w:szCs w:val="24"/>
        </w:rPr>
        <w:t>ho</w:t>
      </w:r>
      <w:r w:rsidR="003D3DC0">
        <w:rPr>
          <w:szCs w:val="24"/>
        </w:rPr>
        <w:t xml:space="preserve">me with </w:t>
      </w:r>
      <w:r w:rsidR="00AB3942">
        <w:rPr>
          <w:szCs w:val="24"/>
        </w:rPr>
        <w:t>family</w:t>
      </w:r>
      <w:r w:rsidR="003D3DC0">
        <w:rPr>
          <w:szCs w:val="24"/>
        </w:rPr>
        <w:t>. (</w:t>
      </w:r>
      <w:r w:rsidRPr="00703DE8">
        <w:rPr>
          <w:i/>
          <w:szCs w:val="24"/>
        </w:rPr>
        <w:t>See</w:t>
      </w:r>
      <w:r w:rsidR="00B742BB">
        <w:rPr>
          <w:szCs w:val="24"/>
        </w:rPr>
        <w:t xml:space="preserve"> Compl. </w:t>
      </w:r>
      <w:proofErr w:type="gramStart"/>
      <w:r w:rsidR="00B742BB">
        <w:rPr>
          <w:szCs w:val="24"/>
        </w:rPr>
        <w:t>¶ 1</w:t>
      </w:r>
      <w:r w:rsidR="001125EB">
        <w:rPr>
          <w:szCs w:val="24"/>
        </w:rPr>
        <w:t>)</w:t>
      </w:r>
      <w:r w:rsidR="005108AF">
        <w:rPr>
          <w:szCs w:val="24"/>
        </w:rPr>
        <w:t>.</w:t>
      </w:r>
      <w:proofErr w:type="gramEnd"/>
      <w:r w:rsidR="00435F5C">
        <w:rPr>
          <w:szCs w:val="24"/>
        </w:rPr>
        <w:t xml:space="preserve">  </w:t>
      </w:r>
      <w:r w:rsidR="00E85F41">
        <w:rPr>
          <w:szCs w:val="24"/>
        </w:rPr>
        <w:t xml:space="preserve">Defendants are Elizabeth Dudek, the Secretary of the Florida Agency for Health Care Administration (“AHCA”), Harry Frank Farmer, Jr., State Surgeon General and head of the Florida Department of Health (“DOH”), Kristina Wiggins, Deputy Secretary of DOH and Director of Florida Children’s Medical Services (“CMS”), </w:t>
      </w:r>
      <w:r w:rsidR="00630843">
        <w:rPr>
          <w:szCs w:val="24"/>
        </w:rPr>
        <w:t>and eQHealt</w:t>
      </w:r>
      <w:r w:rsidR="0053484C">
        <w:rPr>
          <w:szCs w:val="24"/>
        </w:rPr>
        <w:t>h</w:t>
      </w:r>
      <w:r w:rsidR="00630843">
        <w:rPr>
          <w:szCs w:val="24"/>
        </w:rPr>
        <w:t>, a Louisiana non-profit corporation that contracts with the State of Florida to review determinations that health care ser</w:t>
      </w:r>
      <w:r w:rsidR="008C09FD">
        <w:rPr>
          <w:szCs w:val="24"/>
        </w:rPr>
        <w:t xml:space="preserve">vices are medically necessary. </w:t>
      </w:r>
      <w:r w:rsidR="005A031A">
        <w:rPr>
          <w:szCs w:val="24"/>
        </w:rPr>
        <w:t>(</w:t>
      </w:r>
      <w:r w:rsidR="008C09FD" w:rsidRPr="008C09FD">
        <w:rPr>
          <w:i/>
          <w:szCs w:val="24"/>
        </w:rPr>
        <w:t>See</w:t>
      </w:r>
      <w:r w:rsidR="00836823">
        <w:rPr>
          <w:szCs w:val="24"/>
        </w:rPr>
        <w:t xml:space="preserve"> Compl. ¶¶ 32-35</w:t>
      </w:r>
      <w:r w:rsidR="005A031A">
        <w:rPr>
          <w:szCs w:val="24"/>
        </w:rPr>
        <w:t>)</w:t>
      </w:r>
      <w:r w:rsidR="005108AF">
        <w:rPr>
          <w:szCs w:val="24"/>
        </w:rPr>
        <w:t>.</w:t>
      </w:r>
      <w:r w:rsidR="00630843">
        <w:rPr>
          <w:szCs w:val="24"/>
        </w:rPr>
        <w:t xml:space="preserve">  </w:t>
      </w:r>
    </w:p>
    <w:p w:rsidR="00AE2C5E" w:rsidRDefault="001451DD" w:rsidP="009E3A1C">
      <w:pPr>
        <w:widowControl w:val="0"/>
        <w:spacing w:line="480" w:lineRule="auto"/>
        <w:ind w:firstLine="720"/>
        <w:rPr>
          <w:szCs w:val="24"/>
        </w:rPr>
      </w:pPr>
      <w:r>
        <w:rPr>
          <w:szCs w:val="24"/>
        </w:rPr>
        <w:t xml:space="preserve">Plaintiff T.H. </w:t>
      </w:r>
      <w:r w:rsidR="00AE2C5E">
        <w:rPr>
          <w:szCs w:val="24"/>
        </w:rPr>
        <w:t xml:space="preserve">has traumatic brain injury and </w:t>
      </w:r>
      <w:r>
        <w:rPr>
          <w:szCs w:val="24"/>
        </w:rPr>
        <w:t>medical complications arising from shaken baby syndrome</w:t>
      </w:r>
      <w:r w:rsidR="00AE2C5E">
        <w:rPr>
          <w:szCs w:val="24"/>
        </w:rPr>
        <w:t xml:space="preserve">.  </w:t>
      </w:r>
      <w:proofErr w:type="gramStart"/>
      <w:r>
        <w:rPr>
          <w:szCs w:val="24"/>
        </w:rPr>
        <w:t>(</w:t>
      </w:r>
      <w:proofErr w:type="spellStart"/>
      <w:r>
        <w:rPr>
          <w:szCs w:val="24"/>
        </w:rPr>
        <w:t>Compl</w:t>
      </w:r>
      <w:proofErr w:type="spellEnd"/>
      <w:r>
        <w:rPr>
          <w:szCs w:val="24"/>
        </w:rPr>
        <w:t>.</w:t>
      </w:r>
      <w:proofErr w:type="gramEnd"/>
      <w:r>
        <w:rPr>
          <w:szCs w:val="24"/>
        </w:rPr>
        <w:t xml:space="preserve"> </w:t>
      </w:r>
      <w:proofErr w:type="gramStart"/>
      <w:r>
        <w:rPr>
          <w:szCs w:val="24"/>
        </w:rPr>
        <w:t>¶ 1</w:t>
      </w:r>
      <w:r w:rsidR="00F50143">
        <w:rPr>
          <w:szCs w:val="24"/>
        </w:rPr>
        <w:t>0</w:t>
      </w:r>
      <w:r>
        <w:rPr>
          <w:szCs w:val="24"/>
        </w:rPr>
        <w:t>8)</w:t>
      </w:r>
      <w:r w:rsidR="005108AF">
        <w:rPr>
          <w:szCs w:val="24"/>
        </w:rPr>
        <w:t>.</w:t>
      </w:r>
      <w:proofErr w:type="gramEnd"/>
      <w:r>
        <w:rPr>
          <w:szCs w:val="24"/>
        </w:rPr>
        <w:t xml:space="preserve">  She has been determined to be medically appropriate for</w:t>
      </w:r>
      <w:r w:rsidR="00AB3942">
        <w:rPr>
          <w:szCs w:val="24"/>
        </w:rPr>
        <w:t>,</w:t>
      </w:r>
      <w:r>
        <w:rPr>
          <w:szCs w:val="24"/>
        </w:rPr>
        <w:t xml:space="preserve"> and has previously lived in</w:t>
      </w:r>
      <w:r w:rsidR="00AB3942">
        <w:rPr>
          <w:szCs w:val="24"/>
        </w:rPr>
        <w:t>,</w:t>
      </w:r>
      <w:r>
        <w:rPr>
          <w:szCs w:val="24"/>
        </w:rPr>
        <w:t xml:space="preserve"> the community, but</w:t>
      </w:r>
      <w:r w:rsidR="00AE2C5E">
        <w:rPr>
          <w:szCs w:val="24"/>
        </w:rPr>
        <w:t xml:space="preserve"> she is currently institutionalized on a children’s wing of a large geriatric nursing facility.  </w:t>
      </w:r>
      <w:proofErr w:type="gramStart"/>
      <w:r w:rsidR="00F50143">
        <w:rPr>
          <w:szCs w:val="24"/>
        </w:rPr>
        <w:t>(</w:t>
      </w:r>
      <w:r w:rsidR="00F50143" w:rsidRPr="00F50143">
        <w:rPr>
          <w:i/>
          <w:szCs w:val="24"/>
        </w:rPr>
        <w:t>Id</w:t>
      </w:r>
      <w:r w:rsidR="00F50143">
        <w:rPr>
          <w:szCs w:val="24"/>
        </w:rPr>
        <w:t>. ¶¶ 108, 119, 122, 126)</w:t>
      </w:r>
      <w:r w:rsidR="005108AF">
        <w:rPr>
          <w:szCs w:val="24"/>
        </w:rPr>
        <w:t>.</w:t>
      </w:r>
      <w:proofErr w:type="gramEnd"/>
      <w:r w:rsidR="00F50143">
        <w:rPr>
          <w:szCs w:val="24"/>
        </w:rPr>
        <w:t xml:space="preserve">  </w:t>
      </w:r>
      <w:r w:rsidR="00A70F24">
        <w:rPr>
          <w:szCs w:val="24"/>
        </w:rPr>
        <w:t>T.H.</w:t>
      </w:r>
      <w:r w:rsidR="00727D9A">
        <w:rPr>
          <w:szCs w:val="24"/>
        </w:rPr>
        <w:t xml:space="preserve"> alleges that her</w:t>
      </w:r>
      <w:r w:rsidR="00A70F24">
        <w:rPr>
          <w:szCs w:val="24"/>
        </w:rPr>
        <w:t xml:space="preserve"> medical foster care family wants to bring her home to them, but</w:t>
      </w:r>
      <w:r w:rsidR="00727D9A">
        <w:rPr>
          <w:szCs w:val="24"/>
        </w:rPr>
        <w:t xml:space="preserve"> that</w:t>
      </w:r>
      <w:r w:rsidR="00A70F24">
        <w:rPr>
          <w:szCs w:val="24"/>
        </w:rPr>
        <w:t xml:space="preserve"> </w:t>
      </w:r>
      <w:r>
        <w:rPr>
          <w:szCs w:val="24"/>
        </w:rPr>
        <w:t>Defendants</w:t>
      </w:r>
      <w:r w:rsidR="00AB3942">
        <w:rPr>
          <w:szCs w:val="24"/>
        </w:rPr>
        <w:t>’</w:t>
      </w:r>
      <w:r w:rsidR="00A70F24">
        <w:rPr>
          <w:szCs w:val="24"/>
        </w:rPr>
        <w:t xml:space="preserve"> policies and practices</w:t>
      </w:r>
      <w:r>
        <w:rPr>
          <w:szCs w:val="24"/>
        </w:rPr>
        <w:t xml:space="preserve"> have </w:t>
      </w:r>
      <w:r w:rsidR="00AE2C5E">
        <w:rPr>
          <w:szCs w:val="24"/>
        </w:rPr>
        <w:t>denied her sufficient medically nec</w:t>
      </w:r>
      <w:r w:rsidR="00A70F24">
        <w:rPr>
          <w:szCs w:val="24"/>
        </w:rPr>
        <w:t>essary services at home</w:t>
      </w:r>
      <w:r w:rsidR="00AE2C5E">
        <w:rPr>
          <w:szCs w:val="24"/>
        </w:rPr>
        <w:t xml:space="preserve"> such that she has been forced to live in a nursing facility for the past five years.  </w:t>
      </w:r>
      <w:proofErr w:type="gramStart"/>
      <w:r>
        <w:rPr>
          <w:szCs w:val="24"/>
        </w:rPr>
        <w:t>(</w:t>
      </w:r>
      <w:r w:rsidRPr="00AB3942">
        <w:rPr>
          <w:i/>
          <w:szCs w:val="24"/>
        </w:rPr>
        <w:t>See</w:t>
      </w:r>
      <w:r>
        <w:rPr>
          <w:szCs w:val="24"/>
        </w:rPr>
        <w:t xml:space="preserve"> </w:t>
      </w:r>
      <w:r w:rsidR="00F50143" w:rsidRPr="00F50143">
        <w:rPr>
          <w:i/>
          <w:szCs w:val="24"/>
        </w:rPr>
        <w:t>id</w:t>
      </w:r>
      <w:r>
        <w:rPr>
          <w:szCs w:val="24"/>
        </w:rPr>
        <w:t>.</w:t>
      </w:r>
      <w:proofErr w:type="gramEnd"/>
      <w:r>
        <w:rPr>
          <w:szCs w:val="24"/>
        </w:rPr>
        <w:t xml:space="preserve"> </w:t>
      </w:r>
      <w:proofErr w:type="gramStart"/>
      <w:r>
        <w:rPr>
          <w:szCs w:val="24"/>
        </w:rPr>
        <w:t>¶¶</w:t>
      </w:r>
      <w:r w:rsidR="00835EBC">
        <w:rPr>
          <w:szCs w:val="24"/>
        </w:rPr>
        <w:t xml:space="preserve"> </w:t>
      </w:r>
      <w:r>
        <w:rPr>
          <w:szCs w:val="24"/>
        </w:rPr>
        <w:t>11</w:t>
      </w:r>
      <w:r w:rsidR="00F50143">
        <w:rPr>
          <w:szCs w:val="24"/>
        </w:rPr>
        <w:t>9</w:t>
      </w:r>
      <w:r>
        <w:rPr>
          <w:szCs w:val="24"/>
        </w:rPr>
        <w:t>-2</w:t>
      </w:r>
      <w:r w:rsidR="00F50143">
        <w:rPr>
          <w:szCs w:val="24"/>
        </w:rPr>
        <w:t>6</w:t>
      </w:r>
      <w:r>
        <w:rPr>
          <w:szCs w:val="24"/>
        </w:rPr>
        <w:t>)</w:t>
      </w:r>
      <w:r w:rsidR="005108AF">
        <w:rPr>
          <w:szCs w:val="24"/>
        </w:rPr>
        <w:t>.</w:t>
      </w:r>
      <w:proofErr w:type="gramEnd"/>
      <w:r>
        <w:rPr>
          <w:szCs w:val="24"/>
        </w:rPr>
        <w:t xml:space="preserve">  </w:t>
      </w:r>
    </w:p>
    <w:p w:rsidR="00703DE8" w:rsidRDefault="001451DD" w:rsidP="009E3A1C">
      <w:pPr>
        <w:widowControl w:val="0"/>
        <w:spacing w:line="480" w:lineRule="auto"/>
        <w:ind w:firstLine="720"/>
        <w:rPr>
          <w:szCs w:val="24"/>
        </w:rPr>
      </w:pPr>
      <w:r>
        <w:rPr>
          <w:szCs w:val="24"/>
        </w:rPr>
        <w:t xml:space="preserve">Like Plaintiff T.H., </w:t>
      </w:r>
      <w:r w:rsidR="0032159B">
        <w:rPr>
          <w:szCs w:val="24"/>
        </w:rPr>
        <w:t>Plaintiffs</w:t>
      </w:r>
      <w:r>
        <w:rPr>
          <w:szCs w:val="24"/>
        </w:rPr>
        <w:t xml:space="preserve"> A.C., A.R., C.V., M.D., C.M., B.M., and T.F. have medically complex diagnoses, but </w:t>
      </w:r>
      <w:r w:rsidR="00A76EFF">
        <w:rPr>
          <w:szCs w:val="24"/>
        </w:rPr>
        <w:t xml:space="preserve">they </w:t>
      </w:r>
      <w:r>
        <w:rPr>
          <w:szCs w:val="24"/>
        </w:rPr>
        <w:t>currently live in the community with their families or legal guardians.  (Compl. ¶¶ 127, 147, 163, 180, 192, 206, 220).  Each of them</w:t>
      </w:r>
      <w:r w:rsidR="00727D9A">
        <w:rPr>
          <w:szCs w:val="24"/>
        </w:rPr>
        <w:t xml:space="preserve"> alleges they</w:t>
      </w:r>
      <w:r>
        <w:rPr>
          <w:szCs w:val="24"/>
        </w:rPr>
        <w:t xml:space="preserve"> require</w:t>
      </w:r>
      <w:r w:rsidR="00010807">
        <w:rPr>
          <w:szCs w:val="24"/>
        </w:rPr>
        <w:t xml:space="preserve"> </w:t>
      </w:r>
      <w:r w:rsidR="002E5C5B">
        <w:rPr>
          <w:szCs w:val="24"/>
        </w:rPr>
        <w:t>ongoing medical assistance</w:t>
      </w:r>
      <w:r w:rsidR="00AE2C5E">
        <w:rPr>
          <w:szCs w:val="24"/>
        </w:rPr>
        <w:t>, including private duty nursing services, which</w:t>
      </w:r>
      <w:r w:rsidR="0032159B">
        <w:rPr>
          <w:szCs w:val="24"/>
        </w:rPr>
        <w:t xml:space="preserve"> has been prescribed by their physicians</w:t>
      </w:r>
      <w:r w:rsidR="00C47D7F">
        <w:rPr>
          <w:szCs w:val="24"/>
        </w:rPr>
        <w:t xml:space="preserve">.  </w:t>
      </w:r>
      <w:r w:rsidR="005A031A">
        <w:rPr>
          <w:szCs w:val="24"/>
        </w:rPr>
        <w:t>(</w:t>
      </w:r>
      <w:r w:rsidR="0032159B" w:rsidRPr="0032159B">
        <w:rPr>
          <w:i/>
          <w:szCs w:val="24"/>
        </w:rPr>
        <w:t>See</w:t>
      </w:r>
      <w:r w:rsidR="00C47D7F">
        <w:rPr>
          <w:szCs w:val="24"/>
        </w:rPr>
        <w:t xml:space="preserve"> </w:t>
      </w:r>
      <w:r w:rsidR="00C47D7F" w:rsidRPr="00C47D7F">
        <w:rPr>
          <w:i/>
          <w:szCs w:val="24"/>
        </w:rPr>
        <w:t>id.</w:t>
      </w:r>
      <w:r w:rsidR="00836823">
        <w:rPr>
          <w:szCs w:val="24"/>
        </w:rPr>
        <w:t xml:space="preserve"> ¶</w:t>
      </w:r>
      <w:r>
        <w:rPr>
          <w:szCs w:val="24"/>
        </w:rPr>
        <w:t>¶</w:t>
      </w:r>
      <w:r w:rsidR="00836823">
        <w:rPr>
          <w:szCs w:val="24"/>
        </w:rPr>
        <w:t xml:space="preserve"> 14</w:t>
      </w:r>
      <w:r>
        <w:rPr>
          <w:szCs w:val="24"/>
        </w:rPr>
        <w:t xml:space="preserve">, 137, 155, </w:t>
      </w:r>
      <w:r w:rsidR="000A45A7">
        <w:rPr>
          <w:szCs w:val="24"/>
        </w:rPr>
        <w:t>171, 186, 198, 212</w:t>
      </w:r>
      <w:r w:rsidR="005A031A">
        <w:rPr>
          <w:szCs w:val="24"/>
        </w:rPr>
        <w:t>)</w:t>
      </w:r>
      <w:r w:rsidR="000A45A7">
        <w:rPr>
          <w:szCs w:val="24"/>
        </w:rPr>
        <w:t>.</w:t>
      </w:r>
      <w:r w:rsidR="0032159B">
        <w:rPr>
          <w:szCs w:val="24"/>
        </w:rPr>
        <w:t xml:space="preserve"> </w:t>
      </w:r>
      <w:r w:rsidR="002E5C5B">
        <w:rPr>
          <w:szCs w:val="24"/>
        </w:rPr>
        <w:t xml:space="preserve"> </w:t>
      </w:r>
      <w:r w:rsidR="00A93B2C">
        <w:rPr>
          <w:szCs w:val="24"/>
        </w:rPr>
        <w:t>Private duty nursing services are “medically-necessary skilled nursing services that may be provided in a child’s home or other authorized settings to support the care required by the child’s</w:t>
      </w:r>
      <w:r w:rsidR="00C47D7F">
        <w:rPr>
          <w:szCs w:val="24"/>
        </w:rPr>
        <w:t xml:space="preserve"> complex medical conditions.”  </w:t>
      </w:r>
      <w:r w:rsidR="005A031A">
        <w:rPr>
          <w:szCs w:val="24"/>
        </w:rPr>
        <w:t>(</w:t>
      </w:r>
      <w:r w:rsidR="00A93B2C" w:rsidRPr="004469D0">
        <w:rPr>
          <w:i/>
          <w:szCs w:val="24"/>
        </w:rPr>
        <w:t>See</w:t>
      </w:r>
      <w:r w:rsidR="00836823">
        <w:rPr>
          <w:szCs w:val="24"/>
        </w:rPr>
        <w:t xml:space="preserve"> Compl. ¶</w:t>
      </w:r>
      <w:r w:rsidR="00835EBC">
        <w:rPr>
          <w:szCs w:val="24"/>
        </w:rPr>
        <w:t xml:space="preserve"> </w:t>
      </w:r>
      <w:r w:rsidR="00836823">
        <w:rPr>
          <w:szCs w:val="24"/>
        </w:rPr>
        <w:t>15</w:t>
      </w:r>
      <w:r w:rsidR="005A031A">
        <w:rPr>
          <w:szCs w:val="24"/>
        </w:rPr>
        <w:t>)</w:t>
      </w:r>
      <w:r w:rsidR="00A93B2C">
        <w:rPr>
          <w:szCs w:val="24"/>
        </w:rPr>
        <w:t xml:space="preserve">; </w:t>
      </w:r>
      <w:r w:rsidR="00C47D7F">
        <w:rPr>
          <w:i/>
          <w:szCs w:val="24"/>
        </w:rPr>
        <w:t>s</w:t>
      </w:r>
      <w:r w:rsidR="00C47D7F" w:rsidRPr="00C47D7F">
        <w:rPr>
          <w:i/>
          <w:szCs w:val="24"/>
        </w:rPr>
        <w:t>ee also</w:t>
      </w:r>
      <w:r w:rsidR="00C47D7F">
        <w:rPr>
          <w:szCs w:val="24"/>
        </w:rPr>
        <w:t xml:space="preserve"> </w:t>
      </w:r>
      <w:r w:rsidR="00A93B2C">
        <w:rPr>
          <w:szCs w:val="24"/>
        </w:rPr>
        <w:t>Agency for Health Care Administration,</w:t>
      </w:r>
      <w:r w:rsidR="00493650">
        <w:rPr>
          <w:szCs w:val="24"/>
        </w:rPr>
        <w:t xml:space="preserve"> </w:t>
      </w:r>
      <w:r w:rsidR="00493650" w:rsidRPr="00B42341">
        <w:rPr>
          <w:szCs w:val="24"/>
          <w:u w:val="single"/>
        </w:rPr>
        <w:t>Home</w:t>
      </w:r>
      <w:r w:rsidR="00A93B2C" w:rsidRPr="00B42341">
        <w:rPr>
          <w:szCs w:val="24"/>
          <w:u w:val="single"/>
        </w:rPr>
        <w:t xml:space="preserve"> Health Services Coverage and Limitations Handbook</w:t>
      </w:r>
      <w:r w:rsidR="00A93B2C">
        <w:rPr>
          <w:szCs w:val="24"/>
        </w:rPr>
        <w:t>, at 2-17</w:t>
      </w:r>
      <w:r w:rsidR="00B42341">
        <w:rPr>
          <w:szCs w:val="24"/>
        </w:rPr>
        <w:t xml:space="preserve"> (2008)</w:t>
      </w:r>
      <w:r w:rsidR="00A93B2C">
        <w:rPr>
          <w:szCs w:val="24"/>
        </w:rPr>
        <w:t>, incorporated by reference in Rule 59G-4.001,</w:t>
      </w:r>
      <w:r w:rsidR="005108AF">
        <w:rPr>
          <w:szCs w:val="24"/>
        </w:rPr>
        <w:t xml:space="preserve"> Fla. Admin. </w:t>
      </w:r>
      <w:proofErr w:type="gramStart"/>
      <w:r w:rsidR="005108AF">
        <w:rPr>
          <w:szCs w:val="24"/>
        </w:rPr>
        <w:t>Code.</w:t>
      </w:r>
      <w:proofErr w:type="gramEnd"/>
    </w:p>
    <w:p w:rsidR="00884985" w:rsidRDefault="000A438B" w:rsidP="009E3A1C">
      <w:pPr>
        <w:widowControl w:val="0"/>
        <w:spacing w:line="480" w:lineRule="auto"/>
        <w:ind w:firstLine="720"/>
        <w:rPr>
          <w:szCs w:val="24"/>
        </w:rPr>
      </w:pPr>
      <w:r>
        <w:rPr>
          <w:szCs w:val="24"/>
        </w:rPr>
        <w:t>Pursuant to Defendants’ policies, e</w:t>
      </w:r>
      <w:r w:rsidR="00A70F24">
        <w:rPr>
          <w:szCs w:val="24"/>
        </w:rPr>
        <w:t xml:space="preserve">very six months, </w:t>
      </w:r>
      <w:r>
        <w:rPr>
          <w:szCs w:val="24"/>
        </w:rPr>
        <w:t xml:space="preserve">recipients of private duty nursing services </w:t>
      </w:r>
      <w:r w:rsidR="00AF70AF">
        <w:rPr>
          <w:szCs w:val="24"/>
        </w:rPr>
        <w:t>must request re-authorization of services, and Defendants review those requests to</w:t>
      </w:r>
      <w:r w:rsidR="00A70F24">
        <w:rPr>
          <w:szCs w:val="24"/>
        </w:rPr>
        <w:t xml:space="preserve"> (1)</w:t>
      </w:r>
      <w:r w:rsidR="00AF70AF">
        <w:rPr>
          <w:szCs w:val="24"/>
        </w:rPr>
        <w:t xml:space="preserve"> determine whether the services are medically necessary and otherwise allow</w:t>
      </w:r>
      <w:r w:rsidR="00A70F24">
        <w:rPr>
          <w:szCs w:val="24"/>
        </w:rPr>
        <w:t>able under Medicaid rules and (2)</w:t>
      </w:r>
      <w:r w:rsidR="00AF70AF">
        <w:rPr>
          <w:szCs w:val="24"/>
        </w:rPr>
        <w:t xml:space="preserve"> ensure the quality of the services meet</w:t>
      </w:r>
      <w:r w:rsidR="00A76EFF">
        <w:rPr>
          <w:szCs w:val="24"/>
        </w:rPr>
        <w:t>s</w:t>
      </w:r>
      <w:r w:rsidR="00AF70AF">
        <w:rPr>
          <w:szCs w:val="24"/>
        </w:rPr>
        <w:t xml:space="preserve"> professionally recognized standards.  </w:t>
      </w:r>
      <w:proofErr w:type="gramStart"/>
      <w:r w:rsidR="00AF70AF">
        <w:rPr>
          <w:szCs w:val="24"/>
        </w:rPr>
        <w:t>(</w:t>
      </w:r>
      <w:proofErr w:type="spellStart"/>
      <w:r w:rsidR="00AF70AF">
        <w:rPr>
          <w:szCs w:val="24"/>
        </w:rPr>
        <w:t>Defs</w:t>
      </w:r>
      <w:proofErr w:type="spellEnd"/>
      <w:r w:rsidR="00AF70AF">
        <w:rPr>
          <w:szCs w:val="24"/>
        </w:rPr>
        <w:t>.’</w:t>
      </w:r>
      <w:proofErr w:type="gramEnd"/>
      <w:r w:rsidR="00B42341">
        <w:rPr>
          <w:szCs w:val="24"/>
        </w:rPr>
        <w:t xml:space="preserve"> </w:t>
      </w:r>
      <w:proofErr w:type="gramStart"/>
      <w:r w:rsidR="00B42341">
        <w:rPr>
          <w:szCs w:val="24"/>
        </w:rPr>
        <w:t>Mot.</w:t>
      </w:r>
      <w:proofErr w:type="gramEnd"/>
      <w:r w:rsidR="00B42341">
        <w:rPr>
          <w:szCs w:val="24"/>
        </w:rPr>
        <w:t xml:space="preserve"> </w:t>
      </w:r>
      <w:proofErr w:type="gramStart"/>
      <w:r w:rsidR="00B42341">
        <w:rPr>
          <w:szCs w:val="24"/>
        </w:rPr>
        <w:t>to</w:t>
      </w:r>
      <w:proofErr w:type="gramEnd"/>
      <w:r w:rsidR="00B42341">
        <w:rPr>
          <w:szCs w:val="24"/>
        </w:rPr>
        <w:t xml:space="preserve"> Dismiss (“</w:t>
      </w:r>
      <w:proofErr w:type="spellStart"/>
      <w:r w:rsidR="00B42341">
        <w:rPr>
          <w:szCs w:val="24"/>
        </w:rPr>
        <w:t>Defs</w:t>
      </w:r>
      <w:proofErr w:type="spellEnd"/>
      <w:r w:rsidR="00B42341">
        <w:rPr>
          <w:szCs w:val="24"/>
        </w:rPr>
        <w:t xml:space="preserve">.’ </w:t>
      </w:r>
      <w:proofErr w:type="gramStart"/>
      <w:r w:rsidR="00B42341">
        <w:rPr>
          <w:szCs w:val="24"/>
        </w:rPr>
        <w:t>Mot.”), ECF No. 32, at</w:t>
      </w:r>
      <w:r w:rsidR="00AF70AF">
        <w:rPr>
          <w:szCs w:val="24"/>
        </w:rPr>
        <w:t xml:space="preserve"> 7)</w:t>
      </w:r>
      <w:r w:rsidR="005108AF">
        <w:rPr>
          <w:szCs w:val="24"/>
        </w:rPr>
        <w:t>.</w:t>
      </w:r>
      <w:proofErr w:type="gramEnd"/>
      <w:r w:rsidR="00AF70AF">
        <w:rPr>
          <w:szCs w:val="24"/>
        </w:rPr>
        <w:t xml:space="preserve">   Florida’s definition of “medical necess</w:t>
      </w:r>
      <w:r w:rsidR="00B42341">
        <w:rPr>
          <w:szCs w:val="24"/>
        </w:rPr>
        <w:t>ity</w:t>
      </w:r>
      <w:r w:rsidR="00AF70AF">
        <w:rPr>
          <w:szCs w:val="24"/>
        </w:rPr>
        <w:t xml:space="preserve">” includes the requirement that services must </w:t>
      </w:r>
      <w:r w:rsidR="00B42341">
        <w:rPr>
          <w:szCs w:val="24"/>
        </w:rPr>
        <w:t>“[</w:t>
      </w:r>
      <w:r w:rsidR="00AF70AF">
        <w:rPr>
          <w:szCs w:val="24"/>
        </w:rPr>
        <w:t>b</w:t>
      </w:r>
      <w:r w:rsidR="00B42341">
        <w:rPr>
          <w:szCs w:val="24"/>
        </w:rPr>
        <w:t>]</w:t>
      </w:r>
      <w:r w:rsidR="00AF70AF">
        <w:rPr>
          <w:szCs w:val="24"/>
        </w:rPr>
        <w:t>e furnished in a manner not primarily intended for the convenience of the recipient, the recipient’s caretaker, or the provider.”</w:t>
      </w:r>
      <w:r w:rsidR="00B42341">
        <w:rPr>
          <w:szCs w:val="24"/>
        </w:rPr>
        <w:t xml:space="preserve">  Fla. Admin. Code </w:t>
      </w:r>
      <w:proofErr w:type="gramStart"/>
      <w:r w:rsidR="00B42341">
        <w:rPr>
          <w:szCs w:val="24"/>
        </w:rPr>
        <w:t>R. 59G-1.010</w:t>
      </w:r>
      <w:r w:rsidR="00AF70AF">
        <w:rPr>
          <w:szCs w:val="24"/>
        </w:rPr>
        <w:t>(166)</w:t>
      </w:r>
      <w:proofErr w:type="gramEnd"/>
      <w:r w:rsidR="00AF70AF">
        <w:rPr>
          <w:szCs w:val="24"/>
        </w:rPr>
        <w:t xml:space="preserve">.   </w:t>
      </w:r>
      <w:r w:rsidR="00884985">
        <w:rPr>
          <w:szCs w:val="24"/>
        </w:rPr>
        <w:t xml:space="preserve">Plaintiffs allege that, </w:t>
      </w:r>
      <w:r w:rsidR="00B90DEB">
        <w:rPr>
          <w:szCs w:val="24"/>
        </w:rPr>
        <w:t xml:space="preserve">through application of </w:t>
      </w:r>
      <w:r w:rsidR="00884985">
        <w:rPr>
          <w:szCs w:val="24"/>
        </w:rPr>
        <w:t>this</w:t>
      </w:r>
      <w:r w:rsidR="00B90DEB">
        <w:rPr>
          <w:szCs w:val="24"/>
        </w:rPr>
        <w:t xml:space="preserve"> definition</w:t>
      </w:r>
      <w:r w:rsidR="00884985">
        <w:rPr>
          <w:szCs w:val="24"/>
        </w:rPr>
        <w:t xml:space="preserve">, Defendants have </w:t>
      </w:r>
      <w:r w:rsidR="00B90DEB">
        <w:t xml:space="preserve">established a </w:t>
      </w:r>
      <w:r w:rsidR="00884985">
        <w:rPr>
          <w:szCs w:val="24"/>
        </w:rPr>
        <w:t xml:space="preserve">practice of </w:t>
      </w:r>
      <w:r w:rsidR="00B90DEB">
        <w:rPr>
          <w:szCs w:val="24"/>
        </w:rPr>
        <w:t xml:space="preserve">routinely and </w:t>
      </w:r>
      <w:r w:rsidR="00A70F24">
        <w:rPr>
          <w:szCs w:val="24"/>
        </w:rPr>
        <w:t xml:space="preserve">improperly </w:t>
      </w:r>
      <w:r w:rsidR="00884985">
        <w:rPr>
          <w:szCs w:val="24"/>
        </w:rPr>
        <w:t xml:space="preserve">denying medically necessary services and </w:t>
      </w:r>
      <w:r w:rsidR="00B90DEB">
        <w:rPr>
          <w:szCs w:val="24"/>
        </w:rPr>
        <w:t xml:space="preserve">that results in </w:t>
      </w:r>
      <w:r w:rsidR="00884985">
        <w:rPr>
          <w:szCs w:val="24"/>
        </w:rPr>
        <w:t>shifting to parents</w:t>
      </w:r>
      <w:r w:rsidR="000711FA">
        <w:rPr>
          <w:szCs w:val="24"/>
        </w:rPr>
        <w:t xml:space="preserve"> and caregivers</w:t>
      </w:r>
      <w:r w:rsidR="00884985">
        <w:rPr>
          <w:szCs w:val="24"/>
        </w:rPr>
        <w:t xml:space="preserve"> the burden of providin</w:t>
      </w:r>
      <w:r w:rsidR="000711FA">
        <w:rPr>
          <w:szCs w:val="24"/>
        </w:rPr>
        <w:t>g skilled care, even though these caregivers</w:t>
      </w:r>
      <w:r w:rsidR="00884985">
        <w:rPr>
          <w:szCs w:val="24"/>
        </w:rPr>
        <w:t xml:space="preserve"> do not have the ability to provide such care.  </w:t>
      </w:r>
      <w:proofErr w:type="gramStart"/>
      <w:r w:rsidR="00B42341">
        <w:rPr>
          <w:szCs w:val="24"/>
        </w:rPr>
        <w:t>(</w:t>
      </w:r>
      <w:r w:rsidR="00B42341" w:rsidRPr="00B42341">
        <w:rPr>
          <w:i/>
          <w:szCs w:val="24"/>
        </w:rPr>
        <w:t>See</w:t>
      </w:r>
      <w:r w:rsidR="00B42341">
        <w:rPr>
          <w:szCs w:val="24"/>
        </w:rPr>
        <w:t xml:space="preserve"> </w:t>
      </w:r>
      <w:proofErr w:type="spellStart"/>
      <w:r w:rsidR="00B42341">
        <w:rPr>
          <w:szCs w:val="24"/>
        </w:rPr>
        <w:t>Compl</w:t>
      </w:r>
      <w:proofErr w:type="spellEnd"/>
      <w:r w:rsidR="00B42341">
        <w:rPr>
          <w:szCs w:val="24"/>
        </w:rPr>
        <w:t>.</w:t>
      </w:r>
      <w:proofErr w:type="gramEnd"/>
      <w:r w:rsidR="00B42341">
        <w:rPr>
          <w:szCs w:val="24"/>
        </w:rPr>
        <w:t xml:space="preserve"> </w:t>
      </w:r>
      <w:proofErr w:type="gramStart"/>
      <w:r w:rsidR="00B42341">
        <w:rPr>
          <w:szCs w:val="24"/>
        </w:rPr>
        <w:t>¶ 243)</w:t>
      </w:r>
      <w:r w:rsidR="005108AF">
        <w:rPr>
          <w:szCs w:val="24"/>
        </w:rPr>
        <w:t>.</w:t>
      </w:r>
      <w:proofErr w:type="gramEnd"/>
    </w:p>
    <w:p w:rsidR="00B0058F" w:rsidRDefault="00884985" w:rsidP="009E3A1C">
      <w:pPr>
        <w:widowControl w:val="0"/>
        <w:spacing w:line="480" w:lineRule="auto"/>
        <w:ind w:firstLine="720"/>
        <w:rPr>
          <w:szCs w:val="24"/>
        </w:rPr>
      </w:pPr>
      <w:r>
        <w:rPr>
          <w:szCs w:val="24"/>
        </w:rPr>
        <w:t>For example, A.R., a 10-year-old child with traumatic brain injury</w:t>
      </w:r>
      <w:r w:rsidR="00AD4F7C">
        <w:rPr>
          <w:szCs w:val="24"/>
        </w:rPr>
        <w:t xml:space="preserve"> who lives at home with her mother and two siblings</w:t>
      </w:r>
      <w:r>
        <w:rPr>
          <w:szCs w:val="24"/>
        </w:rPr>
        <w:t>,</w:t>
      </w:r>
      <w:r w:rsidR="00727D9A">
        <w:rPr>
          <w:szCs w:val="24"/>
        </w:rPr>
        <w:t xml:space="preserve"> alleges that she</w:t>
      </w:r>
      <w:r>
        <w:rPr>
          <w:szCs w:val="24"/>
        </w:rPr>
        <w:t xml:space="preserve"> has had her requests for prescribed medically necessary services denied</w:t>
      </w:r>
      <w:r w:rsidR="00862125">
        <w:rPr>
          <w:szCs w:val="24"/>
        </w:rPr>
        <w:t>,</w:t>
      </w:r>
      <w:r>
        <w:rPr>
          <w:szCs w:val="24"/>
        </w:rPr>
        <w:t xml:space="preserve"> </w:t>
      </w:r>
      <w:r w:rsidR="00AD4F7C">
        <w:rPr>
          <w:szCs w:val="24"/>
        </w:rPr>
        <w:t xml:space="preserve">and her services thereby reduced, </w:t>
      </w:r>
      <w:r>
        <w:rPr>
          <w:szCs w:val="24"/>
        </w:rPr>
        <w:t>during at least four reviews since 2010.</w:t>
      </w:r>
      <w:r w:rsidR="00862125">
        <w:rPr>
          <w:szCs w:val="24"/>
        </w:rPr>
        <w:t xml:space="preserve">  </w:t>
      </w:r>
      <w:proofErr w:type="gramStart"/>
      <w:r w:rsidR="00862125">
        <w:rPr>
          <w:szCs w:val="24"/>
        </w:rPr>
        <w:t>(</w:t>
      </w:r>
      <w:proofErr w:type="spellStart"/>
      <w:r w:rsidR="00862125">
        <w:rPr>
          <w:szCs w:val="24"/>
        </w:rPr>
        <w:t>Compl</w:t>
      </w:r>
      <w:proofErr w:type="spellEnd"/>
      <w:r w:rsidR="00862125">
        <w:rPr>
          <w:szCs w:val="24"/>
        </w:rPr>
        <w:t>.</w:t>
      </w:r>
      <w:proofErr w:type="gramEnd"/>
      <w:r w:rsidR="00862125">
        <w:rPr>
          <w:szCs w:val="24"/>
        </w:rPr>
        <w:t xml:space="preserve"> </w:t>
      </w:r>
      <w:proofErr w:type="gramStart"/>
      <w:r w:rsidR="00862125">
        <w:rPr>
          <w:szCs w:val="24"/>
        </w:rPr>
        <w:t>¶ 157)</w:t>
      </w:r>
      <w:r w:rsidR="005108AF">
        <w:rPr>
          <w:szCs w:val="24"/>
        </w:rPr>
        <w:t>.</w:t>
      </w:r>
      <w:proofErr w:type="gramEnd"/>
      <w:r w:rsidR="00AD4F7C">
        <w:rPr>
          <w:szCs w:val="24"/>
        </w:rPr>
        <w:t xml:space="preserve"> </w:t>
      </w:r>
      <w:r>
        <w:rPr>
          <w:szCs w:val="24"/>
        </w:rPr>
        <w:t xml:space="preserve"> </w:t>
      </w:r>
      <w:r w:rsidR="00AD4F7C">
        <w:rPr>
          <w:szCs w:val="24"/>
        </w:rPr>
        <w:t xml:space="preserve">These reductions have allegedly occurred without any change in A.R.’s medical condition and were not based on A.R.’s individual needs, or a reasonable determination of medical necessity.  </w:t>
      </w:r>
      <w:proofErr w:type="gramStart"/>
      <w:r w:rsidR="00AD4F7C">
        <w:rPr>
          <w:szCs w:val="24"/>
        </w:rPr>
        <w:t>(</w:t>
      </w:r>
      <w:proofErr w:type="spellStart"/>
      <w:r w:rsidR="00AD4F7C">
        <w:rPr>
          <w:szCs w:val="24"/>
        </w:rPr>
        <w:t>Compl</w:t>
      </w:r>
      <w:proofErr w:type="spellEnd"/>
      <w:r w:rsidR="00AD4F7C">
        <w:rPr>
          <w:szCs w:val="24"/>
        </w:rPr>
        <w:t>.</w:t>
      </w:r>
      <w:proofErr w:type="gramEnd"/>
      <w:r w:rsidR="00AD4F7C">
        <w:rPr>
          <w:szCs w:val="24"/>
        </w:rPr>
        <w:t xml:space="preserve"> </w:t>
      </w:r>
      <w:proofErr w:type="gramStart"/>
      <w:r w:rsidR="00AD4F7C">
        <w:rPr>
          <w:szCs w:val="24"/>
        </w:rPr>
        <w:t>¶ 159)</w:t>
      </w:r>
      <w:r w:rsidR="005108AF">
        <w:rPr>
          <w:szCs w:val="24"/>
        </w:rPr>
        <w:t>.</w:t>
      </w:r>
      <w:proofErr w:type="gramEnd"/>
      <w:r w:rsidR="00AD4F7C">
        <w:rPr>
          <w:szCs w:val="24"/>
        </w:rPr>
        <w:t xml:space="preserve">   A.R. alleges that without sufficient medically necessary services, her family will no longer be able to care for her at home, and she will be forced to enter a nursing home.  </w:t>
      </w:r>
      <w:proofErr w:type="gramStart"/>
      <w:r w:rsidR="00AD4F7C">
        <w:rPr>
          <w:szCs w:val="24"/>
        </w:rPr>
        <w:t>(</w:t>
      </w:r>
      <w:proofErr w:type="spellStart"/>
      <w:r w:rsidR="00AD4F7C">
        <w:rPr>
          <w:szCs w:val="24"/>
        </w:rPr>
        <w:t>Compl</w:t>
      </w:r>
      <w:proofErr w:type="spellEnd"/>
      <w:r w:rsidR="00AD4F7C">
        <w:rPr>
          <w:szCs w:val="24"/>
        </w:rPr>
        <w:t>.</w:t>
      </w:r>
      <w:proofErr w:type="gramEnd"/>
      <w:r w:rsidR="00AD4F7C">
        <w:rPr>
          <w:szCs w:val="24"/>
        </w:rPr>
        <w:t xml:space="preserve"> </w:t>
      </w:r>
      <w:proofErr w:type="gramStart"/>
      <w:r w:rsidR="00AD4F7C">
        <w:rPr>
          <w:szCs w:val="24"/>
        </w:rPr>
        <w:t>¶¶ 160-61)</w:t>
      </w:r>
      <w:r w:rsidR="005108AF">
        <w:rPr>
          <w:szCs w:val="24"/>
        </w:rPr>
        <w:t>.</w:t>
      </w:r>
      <w:proofErr w:type="gramEnd"/>
      <w:r w:rsidR="00AD4F7C">
        <w:rPr>
          <w:szCs w:val="24"/>
        </w:rPr>
        <w:t xml:space="preserve">  </w:t>
      </w:r>
    </w:p>
    <w:p w:rsidR="00AD4F7C" w:rsidRDefault="00B0058F" w:rsidP="009E3A1C">
      <w:pPr>
        <w:widowControl w:val="0"/>
        <w:spacing w:line="480" w:lineRule="auto"/>
        <w:ind w:firstLine="720"/>
        <w:rPr>
          <w:szCs w:val="24"/>
        </w:rPr>
      </w:pPr>
      <w:r>
        <w:rPr>
          <w:szCs w:val="24"/>
        </w:rPr>
        <w:t xml:space="preserve">The other named plaintiffs living at home allege that they have similarly faced reductions in medically necessary services at least one or more times, despite the lack of any improvement in their medical condition or increase in their caregivers’ ability to provide care. </w:t>
      </w:r>
      <w:r w:rsidR="00670065">
        <w:rPr>
          <w:szCs w:val="24"/>
        </w:rPr>
        <w:t xml:space="preserve"> </w:t>
      </w:r>
      <w:proofErr w:type="gramStart"/>
      <w:r w:rsidR="00670065">
        <w:rPr>
          <w:szCs w:val="24"/>
        </w:rPr>
        <w:t>(</w:t>
      </w:r>
      <w:r w:rsidR="00670065" w:rsidRPr="00670065">
        <w:rPr>
          <w:i/>
          <w:szCs w:val="24"/>
        </w:rPr>
        <w:t>See</w:t>
      </w:r>
      <w:r w:rsidR="00835EBC">
        <w:rPr>
          <w:szCs w:val="24"/>
        </w:rPr>
        <w:t xml:space="preserve"> </w:t>
      </w:r>
      <w:proofErr w:type="spellStart"/>
      <w:r w:rsidR="00835EBC">
        <w:rPr>
          <w:szCs w:val="24"/>
        </w:rPr>
        <w:t>Compl</w:t>
      </w:r>
      <w:proofErr w:type="spellEnd"/>
      <w:r w:rsidR="00835EBC">
        <w:rPr>
          <w:szCs w:val="24"/>
        </w:rPr>
        <w:t>.</w:t>
      </w:r>
      <w:proofErr w:type="gramEnd"/>
      <w:r w:rsidR="00835EBC">
        <w:rPr>
          <w:szCs w:val="24"/>
        </w:rPr>
        <w:t xml:space="preserve"> </w:t>
      </w:r>
      <w:proofErr w:type="gramStart"/>
      <w:r w:rsidR="00835EBC">
        <w:rPr>
          <w:szCs w:val="24"/>
        </w:rPr>
        <w:t>¶¶ </w:t>
      </w:r>
      <w:r w:rsidR="00670065">
        <w:rPr>
          <w:szCs w:val="24"/>
        </w:rPr>
        <w:t>127, 137-43, 147, 156-59, 163,</w:t>
      </w:r>
      <w:r w:rsidR="00835EBC">
        <w:rPr>
          <w:szCs w:val="24"/>
        </w:rPr>
        <w:t xml:space="preserve"> </w:t>
      </w:r>
      <w:r w:rsidR="00670065">
        <w:rPr>
          <w:szCs w:val="24"/>
        </w:rPr>
        <w:t>172-76, 180, 187-90, 192, 199-202, 206, 213-16, 220, 227-30).</w:t>
      </w:r>
      <w:proofErr w:type="gramEnd"/>
      <w:r w:rsidR="00670065">
        <w:rPr>
          <w:szCs w:val="24"/>
        </w:rPr>
        <w:t xml:space="preserve">   </w:t>
      </w:r>
      <w:r>
        <w:rPr>
          <w:szCs w:val="24"/>
        </w:rPr>
        <w:t xml:space="preserve"> They allege that they are thereby denied medically necessary services mandated under the EPSDT provisions of the Medicaid Act and placed at risk of unnecessary isolation in a nursing facility.</w:t>
      </w:r>
      <w:r w:rsidR="00670065">
        <w:rPr>
          <w:szCs w:val="24"/>
        </w:rPr>
        <w:t xml:space="preserve">  </w:t>
      </w:r>
      <w:proofErr w:type="gramStart"/>
      <w:r w:rsidR="00670065">
        <w:rPr>
          <w:szCs w:val="24"/>
        </w:rPr>
        <w:t>(</w:t>
      </w:r>
      <w:r w:rsidR="00670065" w:rsidRPr="00670065">
        <w:rPr>
          <w:i/>
          <w:szCs w:val="24"/>
        </w:rPr>
        <w:t>See id</w:t>
      </w:r>
      <w:r w:rsidR="00670065">
        <w:rPr>
          <w:szCs w:val="24"/>
        </w:rPr>
        <w:t>.</w:t>
      </w:r>
      <w:proofErr w:type="gramEnd"/>
      <w:r w:rsidR="00670065">
        <w:rPr>
          <w:szCs w:val="24"/>
        </w:rPr>
        <w:t xml:space="preserve"> </w:t>
      </w:r>
      <w:proofErr w:type="gramStart"/>
      <w:r w:rsidR="00670065">
        <w:rPr>
          <w:szCs w:val="24"/>
        </w:rPr>
        <w:t>¶¶ 144-45, 160-61, 177-78, 190, 203-04, 218,</w:t>
      </w:r>
      <w:r w:rsidR="00541350">
        <w:rPr>
          <w:szCs w:val="24"/>
        </w:rPr>
        <w:t xml:space="preserve"> 231-32, 242-43).</w:t>
      </w:r>
      <w:proofErr w:type="gramEnd"/>
      <w:r w:rsidR="00670065">
        <w:rPr>
          <w:szCs w:val="24"/>
        </w:rPr>
        <w:t xml:space="preserve">  </w:t>
      </w:r>
      <w:r>
        <w:rPr>
          <w:szCs w:val="24"/>
        </w:rPr>
        <w:t xml:space="preserve">     </w:t>
      </w:r>
      <w:r w:rsidR="00AD4F7C">
        <w:rPr>
          <w:szCs w:val="24"/>
        </w:rPr>
        <w:t xml:space="preserve">   </w:t>
      </w:r>
    </w:p>
    <w:p w:rsidR="006D633D" w:rsidRPr="00493EF2" w:rsidRDefault="00BC4D20" w:rsidP="009E3A1C">
      <w:pPr>
        <w:pStyle w:val="Para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b/>
        </w:rPr>
      </w:pPr>
      <w:r w:rsidRPr="00493EF2">
        <w:rPr>
          <w:b/>
        </w:rPr>
        <w:t>ARGUMENT</w:t>
      </w:r>
    </w:p>
    <w:p w:rsidR="006C284F" w:rsidRDefault="00A417FC" w:rsidP="00593AB9">
      <w:pPr>
        <w:spacing w:line="480" w:lineRule="auto"/>
        <w:ind w:firstLine="720"/>
      </w:pPr>
      <w:r>
        <w:t>To survive a motion to dismiss under Rule 12(b</w:t>
      </w:r>
      <w:proofErr w:type="gramStart"/>
      <w:r>
        <w:t>)(</w:t>
      </w:r>
      <w:proofErr w:type="gramEnd"/>
      <w:r>
        <w:t>6), “a complaint must contain sufficient factual matter, accepted as true, to ‘state a claim to relief that is plausible on its face.</w:t>
      </w:r>
      <w:r w:rsidR="00835EBC">
        <w:t>’</w:t>
      </w:r>
      <w:r>
        <w:t xml:space="preserve">”  </w:t>
      </w:r>
      <w:r w:rsidRPr="0042440B">
        <w:rPr>
          <w:i/>
        </w:rPr>
        <w:t>Ashcroft v. Iqbal</w:t>
      </w:r>
      <w:r>
        <w:t>, 556 U.S. 662, 678 (2009) (</w:t>
      </w:r>
      <w:r w:rsidRPr="00F049EE">
        <w:t>quoting</w:t>
      </w:r>
      <w:r w:rsidRPr="0042440B">
        <w:rPr>
          <w:i/>
        </w:rPr>
        <w:t xml:space="preserve"> Bell Atlantic Corp. v. Twombly</w:t>
      </w:r>
      <w:r>
        <w:t xml:space="preserve">, 550 U.S. 544, 570 (2007)).  </w:t>
      </w:r>
      <w:r w:rsidR="000139C1">
        <w:rPr>
          <w:szCs w:val="24"/>
        </w:rPr>
        <w:t>The Court must</w:t>
      </w:r>
      <w:r w:rsidR="000139C1" w:rsidRPr="000139C1">
        <w:rPr>
          <w:szCs w:val="24"/>
        </w:rPr>
        <w:t xml:space="preserve"> take the factual allegations in the complaint as true and construe them in the light most favorable to the plaintiffs. </w:t>
      </w:r>
      <w:r w:rsidR="000139C1">
        <w:rPr>
          <w:szCs w:val="24"/>
        </w:rPr>
        <w:t xml:space="preserve"> </w:t>
      </w:r>
      <w:r w:rsidR="000139C1" w:rsidRPr="000139C1">
        <w:rPr>
          <w:i/>
          <w:szCs w:val="24"/>
        </w:rPr>
        <w:t>Edwards v. Prime, Inc.</w:t>
      </w:r>
      <w:r w:rsidR="000139C1" w:rsidRPr="000139C1">
        <w:rPr>
          <w:szCs w:val="24"/>
        </w:rPr>
        <w:t>, 602 F.3d 1276, 1291 (11th Cir. 2010)</w:t>
      </w:r>
      <w:r w:rsidR="000139C1">
        <w:rPr>
          <w:szCs w:val="24"/>
        </w:rPr>
        <w:t xml:space="preserve"> (</w:t>
      </w:r>
      <w:r w:rsidR="000139C1" w:rsidRPr="005108AF">
        <w:rPr>
          <w:szCs w:val="24"/>
        </w:rPr>
        <w:t>citing</w:t>
      </w:r>
      <w:r w:rsidR="000139C1">
        <w:rPr>
          <w:szCs w:val="24"/>
        </w:rPr>
        <w:t xml:space="preserve"> </w:t>
      </w:r>
      <w:r w:rsidR="000139C1" w:rsidRPr="000139C1">
        <w:rPr>
          <w:i/>
          <w:iCs/>
          <w:szCs w:val="24"/>
        </w:rPr>
        <w:t>Rivell v. Private Health Care Sys., Inc.,</w:t>
      </w:r>
      <w:r w:rsidR="000139C1" w:rsidRPr="000139C1">
        <w:rPr>
          <w:szCs w:val="24"/>
        </w:rPr>
        <w:t xml:space="preserve"> 520 F.3d 1308, 1309 (11th Cir.</w:t>
      </w:r>
      <w:r w:rsidR="00835EBC">
        <w:rPr>
          <w:szCs w:val="24"/>
        </w:rPr>
        <w:t xml:space="preserve"> </w:t>
      </w:r>
      <w:r w:rsidR="000139C1" w:rsidRPr="000139C1">
        <w:rPr>
          <w:szCs w:val="24"/>
        </w:rPr>
        <w:t>2008)</w:t>
      </w:r>
      <w:r w:rsidR="00862125">
        <w:rPr>
          <w:szCs w:val="24"/>
        </w:rPr>
        <w:t>)</w:t>
      </w:r>
      <w:r w:rsidR="000139C1">
        <w:rPr>
          <w:szCs w:val="24"/>
        </w:rPr>
        <w:t>.</w:t>
      </w:r>
      <w:r w:rsidR="000139C1" w:rsidRPr="000139C1">
        <w:t xml:space="preserve"> </w:t>
      </w:r>
      <w:r w:rsidR="000139C1">
        <w:t xml:space="preserve">The Complaint must provide factual allegations that are “enough to raise a right to relief above the speculative level.” </w:t>
      </w:r>
      <w:r w:rsidR="000139C1" w:rsidRPr="000139C1">
        <w:rPr>
          <w:i/>
        </w:rPr>
        <w:t>Edwards</w:t>
      </w:r>
      <w:r w:rsidR="000139C1">
        <w:t>, 602 F.3d at 1291</w:t>
      </w:r>
      <w:r w:rsidR="00862125">
        <w:t xml:space="preserve"> </w:t>
      </w:r>
      <w:r w:rsidR="000139C1">
        <w:t>(</w:t>
      </w:r>
      <w:r w:rsidR="000139C1" w:rsidRPr="00F049EE">
        <w:t>quoting</w:t>
      </w:r>
      <w:r w:rsidR="000139C1">
        <w:t xml:space="preserve"> </w:t>
      </w:r>
      <w:proofErr w:type="spellStart"/>
      <w:r w:rsidR="000139C1" w:rsidRPr="000139C1">
        <w:rPr>
          <w:rStyle w:val="Emphasis"/>
        </w:rPr>
        <w:t>Rivell</w:t>
      </w:r>
      <w:proofErr w:type="spellEnd"/>
      <w:r w:rsidR="000139C1" w:rsidRPr="005B2859">
        <w:rPr>
          <w:rStyle w:val="Emphasis"/>
          <w:i w:val="0"/>
        </w:rPr>
        <w:t>,</w:t>
      </w:r>
      <w:r w:rsidR="000139C1" w:rsidRPr="000139C1">
        <w:t xml:space="preserve"> 520 F.3d at 1309</w:t>
      </w:r>
      <w:r w:rsidR="000139C1">
        <w:t xml:space="preserve"> (internal citations omitted))</w:t>
      </w:r>
      <w:r w:rsidR="000139C1" w:rsidRPr="000139C1">
        <w:t>.</w:t>
      </w:r>
      <w:r w:rsidR="000139C1">
        <w:t xml:space="preserve">  </w:t>
      </w:r>
      <w:r w:rsidR="00593AB9">
        <w:t>The</w:t>
      </w:r>
      <w:r w:rsidR="00A70F24">
        <w:t xml:space="preserve"> Complaint</w:t>
      </w:r>
      <w:r w:rsidR="000139C1">
        <w:t xml:space="preserve"> surpasses this threshold analysis</w:t>
      </w:r>
      <w:r w:rsidR="00593AB9">
        <w:t xml:space="preserve"> as to each of Plaintiffs’ claims</w:t>
      </w:r>
      <w:r w:rsidR="000139C1">
        <w:t xml:space="preserve">.  </w:t>
      </w:r>
    </w:p>
    <w:p w:rsidR="00593AB9" w:rsidRDefault="00C52952" w:rsidP="00593AB9">
      <w:pPr>
        <w:pStyle w:val="ListParagraph"/>
        <w:numPr>
          <w:ilvl w:val="0"/>
          <w:numId w:val="21"/>
        </w:numPr>
        <w:rPr>
          <w:u w:val="single"/>
        </w:rPr>
      </w:pPr>
      <w:r>
        <w:rPr>
          <w:u w:val="single"/>
        </w:rPr>
        <w:t xml:space="preserve">The Complaint </w:t>
      </w:r>
      <w:r w:rsidR="00C14090">
        <w:rPr>
          <w:u w:val="single"/>
        </w:rPr>
        <w:t>P</w:t>
      </w:r>
      <w:r w:rsidR="00593AB9" w:rsidRPr="00593AB9">
        <w:rPr>
          <w:u w:val="single"/>
        </w:rPr>
        <w:t>roperly State</w:t>
      </w:r>
      <w:r>
        <w:rPr>
          <w:u w:val="single"/>
        </w:rPr>
        <w:t>s</w:t>
      </w:r>
      <w:r w:rsidR="00593AB9" w:rsidRPr="00593AB9">
        <w:rPr>
          <w:u w:val="single"/>
        </w:rPr>
        <w:t xml:space="preserve"> A Claim Under Title II of the ADA and </w:t>
      </w:r>
      <w:r>
        <w:rPr>
          <w:u w:val="single"/>
        </w:rPr>
        <w:t>Section 504</w:t>
      </w:r>
    </w:p>
    <w:p w:rsidR="00593AB9" w:rsidRPr="00593AB9" w:rsidRDefault="00593AB9" w:rsidP="00593AB9">
      <w:pPr>
        <w:pStyle w:val="ListParagraph"/>
        <w:ind w:left="1080"/>
        <w:rPr>
          <w:u w:val="single"/>
        </w:rPr>
      </w:pPr>
    </w:p>
    <w:p w:rsidR="00C27E65" w:rsidRDefault="0058229A" w:rsidP="00482AC9">
      <w:pPr>
        <w:spacing w:line="480" w:lineRule="auto"/>
        <w:ind w:firstLine="720"/>
        <w:rPr>
          <w:szCs w:val="24"/>
        </w:rPr>
      </w:pPr>
      <w:r>
        <w:rPr>
          <w:bCs/>
          <w:szCs w:val="24"/>
        </w:rPr>
        <w:t xml:space="preserve">  </w:t>
      </w:r>
      <w:r w:rsidR="00C14090">
        <w:rPr>
          <w:szCs w:val="24"/>
        </w:rPr>
        <w:t xml:space="preserve">Defendants argue that Plaintiffs have failed to state a claim that they are at risk of unnecessary institutionalization </w:t>
      </w:r>
      <w:r w:rsidR="00A70F24">
        <w:rPr>
          <w:szCs w:val="24"/>
        </w:rPr>
        <w:t xml:space="preserve">in violation of the ADA and Section 504 </w:t>
      </w:r>
      <w:r w:rsidR="00C14090">
        <w:rPr>
          <w:szCs w:val="24"/>
        </w:rPr>
        <w:t>because they have failed to identify “</w:t>
      </w:r>
      <w:r w:rsidR="00C14090" w:rsidRPr="00C41364">
        <w:rPr>
          <w:szCs w:val="24"/>
        </w:rPr>
        <w:t xml:space="preserve">some kind of policy or financial barrier </w:t>
      </w:r>
      <w:r w:rsidR="00C14090">
        <w:rPr>
          <w:szCs w:val="24"/>
        </w:rPr>
        <w:t xml:space="preserve">that </w:t>
      </w:r>
      <w:r w:rsidR="00C14090" w:rsidRPr="00C41364">
        <w:rPr>
          <w:szCs w:val="24"/>
        </w:rPr>
        <w:t>makes services available in institutions</w:t>
      </w:r>
      <w:r w:rsidR="00725CB2">
        <w:rPr>
          <w:szCs w:val="24"/>
        </w:rPr>
        <w:t>,</w:t>
      </w:r>
      <w:r w:rsidR="00C14090" w:rsidRPr="00C41364">
        <w:rPr>
          <w:szCs w:val="24"/>
        </w:rPr>
        <w:t xml:space="preserve"> but not in the community.”  </w:t>
      </w:r>
      <w:proofErr w:type="gramStart"/>
      <w:r w:rsidR="00A70F24">
        <w:rPr>
          <w:szCs w:val="24"/>
        </w:rPr>
        <w:t>(</w:t>
      </w:r>
      <w:proofErr w:type="spellStart"/>
      <w:r w:rsidR="00C14090">
        <w:rPr>
          <w:bCs/>
          <w:szCs w:val="24"/>
        </w:rPr>
        <w:t>Defs</w:t>
      </w:r>
      <w:proofErr w:type="spellEnd"/>
      <w:r w:rsidR="00C14090">
        <w:rPr>
          <w:bCs/>
          <w:szCs w:val="24"/>
        </w:rPr>
        <w:t>.’</w:t>
      </w:r>
      <w:proofErr w:type="gramEnd"/>
      <w:r w:rsidR="00C14090">
        <w:rPr>
          <w:bCs/>
          <w:szCs w:val="24"/>
        </w:rPr>
        <w:t xml:space="preserve"> </w:t>
      </w:r>
      <w:proofErr w:type="gramStart"/>
      <w:r w:rsidR="00C14090">
        <w:rPr>
          <w:bCs/>
          <w:szCs w:val="24"/>
        </w:rPr>
        <w:t>Mot.</w:t>
      </w:r>
      <w:proofErr w:type="gramEnd"/>
      <w:r w:rsidR="00C14090">
        <w:rPr>
          <w:bCs/>
          <w:szCs w:val="24"/>
        </w:rPr>
        <w:t xml:space="preserve"> </w:t>
      </w:r>
      <w:proofErr w:type="gramStart"/>
      <w:r w:rsidR="00C14090">
        <w:rPr>
          <w:bCs/>
          <w:szCs w:val="24"/>
        </w:rPr>
        <w:t>at</w:t>
      </w:r>
      <w:proofErr w:type="gramEnd"/>
      <w:r w:rsidR="00C14090">
        <w:rPr>
          <w:bCs/>
          <w:szCs w:val="24"/>
        </w:rPr>
        <w:t xml:space="preserve"> 10</w:t>
      </w:r>
      <w:r w:rsidR="00A70F24">
        <w:rPr>
          <w:szCs w:val="24"/>
        </w:rPr>
        <w:t>)</w:t>
      </w:r>
      <w:r w:rsidR="005108AF">
        <w:rPr>
          <w:szCs w:val="24"/>
        </w:rPr>
        <w:t>.</w:t>
      </w:r>
      <w:r w:rsidR="00C14090" w:rsidRPr="00C41364">
        <w:rPr>
          <w:szCs w:val="24"/>
        </w:rPr>
        <w:t xml:space="preserve">  </w:t>
      </w:r>
      <w:r w:rsidR="000711FA">
        <w:rPr>
          <w:szCs w:val="24"/>
        </w:rPr>
        <w:t xml:space="preserve">Contrary to Defendants’ assertion, </w:t>
      </w:r>
      <w:r w:rsidR="00C14090">
        <w:rPr>
          <w:szCs w:val="24"/>
        </w:rPr>
        <w:t xml:space="preserve">Plaintiffs have more than adequately identified a State policy that places them at risk of unnecessary institutionalization in violation of the ADA.  They </w:t>
      </w:r>
      <w:r w:rsidR="002022B4">
        <w:rPr>
          <w:szCs w:val="24"/>
        </w:rPr>
        <w:t>allege that the State has implemented and applied a medical ne</w:t>
      </w:r>
      <w:r w:rsidR="00F702ED">
        <w:rPr>
          <w:szCs w:val="24"/>
        </w:rPr>
        <w:t>cessity standard that</w:t>
      </w:r>
      <w:r w:rsidR="002022B4">
        <w:rPr>
          <w:szCs w:val="24"/>
        </w:rPr>
        <w:t xml:space="preserve"> deprives them of sufficient medically necessary services in the community, such that they are a</w:t>
      </w:r>
      <w:r w:rsidR="00B0058F">
        <w:rPr>
          <w:szCs w:val="24"/>
        </w:rPr>
        <w:t>t serious risk of entering a</w:t>
      </w:r>
      <w:r w:rsidR="002022B4">
        <w:rPr>
          <w:szCs w:val="24"/>
        </w:rPr>
        <w:t xml:space="preserve"> nursing </w:t>
      </w:r>
      <w:r w:rsidR="00725CB2">
        <w:rPr>
          <w:szCs w:val="24"/>
        </w:rPr>
        <w:t>facility</w:t>
      </w:r>
      <w:r w:rsidR="00B0058F">
        <w:rPr>
          <w:szCs w:val="24"/>
        </w:rPr>
        <w:t xml:space="preserve"> to obtain the services they need</w:t>
      </w:r>
      <w:r w:rsidR="002022B4">
        <w:rPr>
          <w:szCs w:val="24"/>
        </w:rPr>
        <w:t xml:space="preserve">.  </w:t>
      </w:r>
      <w:proofErr w:type="gramStart"/>
      <w:r w:rsidR="002022B4">
        <w:rPr>
          <w:szCs w:val="24"/>
        </w:rPr>
        <w:t>(</w:t>
      </w:r>
      <w:proofErr w:type="spellStart"/>
      <w:r w:rsidR="002022B4">
        <w:rPr>
          <w:szCs w:val="24"/>
        </w:rPr>
        <w:t>Compl</w:t>
      </w:r>
      <w:proofErr w:type="spellEnd"/>
      <w:r w:rsidR="002022B4">
        <w:rPr>
          <w:szCs w:val="24"/>
        </w:rPr>
        <w:t>.</w:t>
      </w:r>
      <w:proofErr w:type="gramEnd"/>
      <w:r w:rsidR="002022B4">
        <w:rPr>
          <w:szCs w:val="24"/>
        </w:rPr>
        <w:t xml:space="preserve">  </w:t>
      </w:r>
      <w:proofErr w:type="gramStart"/>
      <w:r w:rsidR="002022B4">
        <w:rPr>
          <w:szCs w:val="24"/>
        </w:rPr>
        <w:t xml:space="preserve">¶ </w:t>
      </w:r>
      <w:r w:rsidR="002B5C4E">
        <w:rPr>
          <w:szCs w:val="24"/>
        </w:rPr>
        <w:t>7, 12-13, 285-86</w:t>
      </w:r>
      <w:r w:rsidR="002022B4">
        <w:rPr>
          <w:szCs w:val="24"/>
        </w:rPr>
        <w:t>)</w:t>
      </w:r>
      <w:r w:rsidR="005108AF">
        <w:rPr>
          <w:szCs w:val="24"/>
        </w:rPr>
        <w:t>.</w:t>
      </w:r>
      <w:proofErr w:type="gramEnd"/>
      <w:r w:rsidR="005B16A1">
        <w:rPr>
          <w:szCs w:val="24"/>
        </w:rPr>
        <w:t xml:space="preserve">  </w:t>
      </w:r>
      <w:r w:rsidR="002022B4">
        <w:rPr>
          <w:szCs w:val="24"/>
        </w:rPr>
        <w:t>Numer</w:t>
      </w:r>
      <w:r w:rsidR="00F41F55">
        <w:rPr>
          <w:szCs w:val="24"/>
        </w:rPr>
        <w:t>ous courts</w:t>
      </w:r>
      <w:r w:rsidR="002022B4">
        <w:rPr>
          <w:szCs w:val="24"/>
        </w:rPr>
        <w:t xml:space="preserve"> have found a violation of th</w:t>
      </w:r>
      <w:r w:rsidR="00B0058F">
        <w:rPr>
          <w:szCs w:val="24"/>
        </w:rPr>
        <w:t>e ADA’s integration mandate</w:t>
      </w:r>
      <w:r w:rsidR="002022B4">
        <w:rPr>
          <w:szCs w:val="24"/>
        </w:rPr>
        <w:t xml:space="preserve"> where </w:t>
      </w:r>
      <w:r w:rsidR="00D25A6B">
        <w:rPr>
          <w:szCs w:val="24"/>
        </w:rPr>
        <w:t>a state has</w:t>
      </w:r>
      <w:r w:rsidR="002022B4">
        <w:rPr>
          <w:szCs w:val="24"/>
        </w:rPr>
        <w:t xml:space="preserve"> offered services to Medicaid recipients in the community and in insti</w:t>
      </w:r>
      <w:r w:rsidR="00B0058F">
        <w:rPr>
          <w:szCs w:val="24"/>
        </w:rPr>
        <w:t>tutions, but has restricted</w:t>
      </w:r>
      <w:r w:rsidR="002022B4">
        <w:rPr>
          <w:szCs w:val="24"/>
        </w:rPr>
        <w:t xml:space="preserve"> services in the community to such an extent that it has placed persons at risk of unnecessary institutionalization. </w:t>
      </w:r>
      <w:r w:rsidR="00D25A6B">
        <w:rPr>
          <w:szCs w:val="24"/>
        </w:rPr>
        <w:tab/>
      </w:r>
      <w:r w:rsidR="00F41F55">
        <w:rPr>
          <w:szCs w:val="24"/>
        </w:rPr>
        <w:t xml:space="preserve"> </w:t>
      </w:r>
      <w:r w:rsidR="00D25A6B">
        <w:rPr>
          <w:szCs w:val="24"/>
        </w:rPr>
        <w:t>In</w:t>
      </w:r>
      <w:r w:rsidR="00A00CE6" w:rsidRPr="00A00CE6">
        <w:rPr>
          <w:i/>
          <w:szCs w:val="24"/>
        </w:rPr>
        <w:t xml:space="preserve"> Royal ex rel. Royal v. Cook</w:t>
      </w:r>
      <w:r w:rsidR="00A00CE6">
        <w:rPr>
          <w:szCs w:val="24"/>
        </w:rPr>
        <w:t xml:space="preserve">, </w:t>
      </w:r>
      <w:r w:rsidR="00725CB2">
        <w:rPr>
          <w:szCs w:val="24"/>
        </w:rPr>
        <w:t xml:space="preserve">No. 1:08-CV-2930-TWT, </w:t>
      </w:r>
      <w:r w:rsidR="00A00CE6">
        <w:rPr>
          <w:szCs w:val="24"/>
        </w:rPr>
        <w:t xml:space="preserve">2012 WL 2326115, </w:t>
      </w:r>
      <w:r w:rsidR="00725CB2">
        <w:rPr>
          <w:szCs w:val="24"/>
        </w:rPr>
        <w:t xml:space="preserve">at </w:t>
      </w:r>
      <w:r w:rsidR="00A00CE6">
        <w:rPr>
          <w:szCs w:val="24"/>
        </w:rPr>
        <w:t>*10</w:t>
      </w:r>
      <w:r w:rsidR="004C6995">
        <w:rPr>
          <w:szCs w:val="24"/>
        </w:rPr>
        <w:t xml:space="preserve">, </w:t>
      </w:r>
      <w:r w:rsidR="00D25A6B">
        <w:rPr>
          <w:szCs w:val="24"/>
        </w:rPr>
        <w:t xml:space="preserve"> (N.D. Ga. Jun</w:t>
      </w:r>
      <w:r w:rsidR="00725CB2">
        <w:rPr>
          <w:szCs w:val="24"/>
        </w:rPr>
        <w:t>e</w:t>
      </w:r>
      <w:r w:rsidR="00D25A6B">
        <w:rPr>
          <w:szCs w:val="24"/>
        </w:rPr>
        <w:t xml:space="preserve"> 19, 2012),</w:t>
      </w:r>
      <w:r w:rsidR="00B352F5">
        <w:rPr>
          <w:szCs w:val="24"/>
        </w:rPr>
        <w:t xml:space="preserve"> </w:t>
      </w:r>
      <w:r w:rsidR="00725CB2">
        <w:rPr>
          <w:szCs w:val="24"/>
        </w:rPr>
        <w:t xml:space="preserve">for example, </w:t>
      </w:r>
      <w:r w:rsidR="004C6995">
        <w:rPr>
          <w:szCs w:val="24"/>
        </w:rPr>
        <w:t xml:space="preserve">a </w:t>
      </w:r>
      <w:r w:rsidR="00A76EFF">
        <w:rPr>
          <w:szCs w:val="24"/>
        </w:rPr>
        <w:t xml:space="preserve">child with a medically complex </w:t>
      </w:r>
      <w:r w:rsidR="00FC3EBB">
        <w:rPr>
          <w:szCs w:val="24"/>
        </w:rPr>
        <w:t>condition</w:t>
      </w:r>
      <w:r w:rsidR="00482AC9">
        <w:rPr>
          <w:szCs w:val="24"/>
        </w:rPr>
        <w:t xml:space="preserve"> </w:t>
      </w:r>
      <w:r w:rsidR="00A00CE6">
        <w:rPr>
          <w:szCs w:val="24"/>
        </w:rPr>
        <w:t xml:space="preserve">sued </w:t>
      </w:r>
      <w:r w:rsidR="00D25A6B">
        <w:rPr>
          <w:szCs w:val="24"/>
        </w:rPr>
        <w:t>the Georgia</w:t>
      </w:r>
      <w:r w:rsidR="00B352F5">
        <w:rPr>
          <w:szCs w:val="24"/>
        </w:rPr>
        <w:t xml:space="preserve"> </w:t>
      </w:r>
      <w:r w:rsidR="00A00CE6">
        <w:rPr>
          <w:szCs w:val="24"/>
        </w:rPr>
        <w:t xml:space="preserve">Medicaid </w:t>
      </w:r>
      <w:r w:rsidR="004C6995">
        <w:rPr>
          <w:szCs w:val="24"/>
        </w:rPr>
        <w:t>agency</w:t>
      </w:r>
      <w:r w:rsidR="00A00CE6">
        <w:rPr>
          <w:szCs w:val="24"/>
        </w:rPr>
        <w:t xml:space="preserve">, alleging that </w:t>
      </w:r>
      <w:r w:rsidR="00D25A6B">
        <w:rPr>
          <w:szCs w:val="24"/>
        </w:rPr>
        <w:t>its</w:t>
      </w:r>
      <w:r w:rsidR="00A00CE6">
        <w:rPr>
          <w:szCs w:val="24"/>
        </w:rPr>
        <w:t xml:space="preserve"> reduction of in-home nursing services</w:t>
      </w:r>
      <w:r w:rsidR="00482AC9">
        <w:rPr>
          <w:szCs w:val="24"/>
        </w:rPr>
        <w:t>, which had</w:t>
      </w:r>
      <w:r w:rsidR="00A00CE6">
        <w:rPr>
          <w:szCs w:val="24"/>
        </w:rPr>
        <w:t xml:space="preserve"> been prescribed by his </w:t>
      </w:r>
      <w:r w:rsidR="00482AC9">
        <w:rPr>
          <w:szCs w:val="24"/>
        </w:rPr>
        <w:t>physician,</w:t>
      </w:r>
      <w:r w:rsidR="00A00CE6">
        <w:rPr>
          <w:szCs w:val="24"/>
        </w:rPr>
        <w:t xml:space="preserve"> </w:t>
      </w:r>
      <w:r w:rsidR="004C6995">
        <w:rPr>
          <w:szCs w:val="24"/>
        </w:rPr>
        <w:t>placed him at risk of institutionalization in violation of the ADA</w:t>
      </w:r>
      <w:r w:rsidR="00A00CE6">
        <w:rPr>
          <w:szCs w:val="24"/>
        </w:rPr>
        <w:t xml:space="preserve">.  </w:t>
      </w:r>
      <w:r w:rsidR="00A00CE6" w:rsidRPr="004C6995">
        <w:rPr>
          <w:i/>
          <w:szCs w:val="24"/>
        </w:rPr>
        <w:t>See id.</w:t>
      </w:r>
      <w:r w:rsidR="00A00CE6">
        <w:rPr>
          <w:szCs w:val="24"/>
        </w:rPr>
        <w:t xml:space="preserve"> at </w:t>
      </w:r>
      <w:r w:rsidR="004C6995">
        <w:rPr>
          <w:szCs w:val="24"/>
        </w:rPr>
        <w:t xml:space="preserve">*1, *8-9.  After receiving 84 hours of in-home nursing care per week for more than seven years, the </w:t>
      </w:r>
      <w:r w:rsidR="001714B0">
        <w:rPr>
          <w:szCs w:val="24"/>
        </w:rPr>
        <w:t>child</w:t>
      </w:r>
      <w:r w:rsidR="004C6995">
        <w:rPr>
          <w:szCs w:val="24"/>
        </w:rPr>
        <w:t xml:space="preserve"> received notice from the agency </w:t>
      </w:r>
      <w:r w:rsidR="00482AC9">
        <w:rPr>
          <w:szCs w:val="24"/>
        </w:rPr>
        <w:t>informing</w:t>
      </w:r>
      <w:r w:rsidR="004C6995">
        <w:rPr>
          <w:szCs w:val="24"/>
        </w:rPr>
        <w:t xml:space="preserve"> him </w:t>
      </w:r>
      <w:r w:rsidR="00482AC9">
        <w:rPr>
          <w:szCs w:val="24"/>
        </w:rPr>
        <w:t xml:space="preserve">that </w:t>
      </w:r>
      <w:r w:rsidR="004C6995">
        <w:rPr>
          <w:szCs w:val="24"/>
        </w:rPr>
        <w:t xml:space="preserve">his approved hours of in-home nursing had been reduced to 70 hours per week.  </w:t>
      </w:r>
      <w:r w:rsidR="00725CB2" w:rsidRPr="00725CB2">
        <w:rPr>
          <w:i/>
          <w:szCs w:val="24"/>
        </w:rPr>
        <w:t>See</w:t>
      </w:r>
      <w:r w:rsidR="00725CB2">
        <w:rPr>
          <w:szCs w:val="24"/>
        </w:rPr>
        <w:t xml:space="preserve"> </w:t>
      </w:r>
      <w:r w:rsidR="00725CB2" w:rsidRPr="00725CB2">
        <w:rPr>
          <w:i/>
          <w:szCs w:val="24"/>
        </w:rPr>
        <w:t>i</w:t>
      </w:r>
      <w:r w:rsidR="004C6995" w:rsidRPr="004C6995">
        <w:rPr>
          <w:i/>
          <w:szCs w:val="24"/>
        </w:rPr>
        <w:t>d</w:t>
      </w:r>
      <w:r w:rsidR="004C6995">
        <w:rPr>
          <w:szCs w:val="24"/>
        </w:rPr>
        <w:t xml:space="preserve">. </w:t>
      </w:r>
      <w:proofErr w:type="gramStart"/>
      <w:r w:rsidR="004C6995" w:rsidRPr="005B16A1">
        <w:rPr>
          <w:szCs w:val="24"/>
        </w:rPr>
        <w:t>at</w:t>
      </w:r>
      <w:proofErr w:type="gramEnd"/>
      <w:r w:rsidR="004C6995">
        <w:rPr>
          <w:szCs w:val="24"/>
        </w:rPr>
        <w:t xml:space="preserve"> *1</w:t>
      </w:r>
      <w:r>
        <w:rPr>
          <w:szCs w:val="24"/>
        </w:rPr>
        <w:t>.</w:t>
      </w:r>
      <w:r w:rsidR="004C6995">
        <w:rPr>
          <w:szCs w:val="24"/>
        </w:rPr>
        <w:t xml:space="preserve">  The notice stated, in part, “skilled nursing care services will be reduced when the medical condition of the member stabilizes </w:t>
      </w:r>
      <w:r w:rsidR="004C6995" w:rsidRPr="004F500A">
        <w:rPr>
          <w:i/>
          <w:szCs w:val="24"/>
        </w:rPr>
        <w:t>to give more of the responsibility of the care of the [recipient] to the parent(s) and or caregiver(s)</w:t>
      </w:r>
      <w:r w:rsidR="004C6995">
        <w:rPr>
          <w:szCs w:val="24"/>
        </w:rPr>
        <w:t xml:space="preserve">.”  </w:t>
      </w:r>
      <w:r w:rsidR="004C6995" w:rsidRPr="004C6995">
        <w:rPr>
          <w:i/>
          <w:szCs w:val="24"/>
        </w:rPr>
        <w:t>Id</w:t>
      </w:r>
      <w:r w:rsidR="004C6995">
        <w:rPr>
          <w:szCs w:val="24"/>
        </w:rPr>
        <w:t>. at *2</w:t>
      </w:r>
      <w:r w:rsidR="004F500A">
        <w:rPr>
          <w:szCs w:val="24"/>
        </w:rPr>
        <w:t xml:space="preserve"> (emphasis added)</w:t>
      </w:r>
      <w:r w:rsidR="004C6995">
        <w:rPr>
          <w:szCs w:val="24"/>
        </w:rPr>
        <w:t xml:space="preserve">.  </w:t>
      </w:r>
      <w:r w:rsidR="001714B0">
        <w:rPr>
          <w:szCs w:val="24"/>
        </w:rPr>
        <w:t>After a</w:t>
      </w:r>
      <w:r w:rsidR="004F500A">
        <w:rPr>
          <w:szCs w:val="24"/>
        </w:rPr>
        <w:t>n evidentiary</w:t>
      </w:r>
      <w:r w:rsidR="001714B0">
        <w:rPr>
          <w:szCs w:val="24"/>
        </w:rPr>
        <w:t xml:space="preserve"> hearing, the court found the reduction of in-home nursing care would “deprive [the child] of essential services necessary to maintain his life and health[,]” and found that</w:t>
      </w:r>
      <w:r w:rsidR="004F500A">
        <w:rPr>
          <w:szCs w:val="24"/>
        </w:rPr>
        <w:t xml:space="preserve"> the</w:t>
      </w:r>
      <w:r w:rsidR="001714B0">
        <w:rPr>
          <w:szCs w:val="24"/>
        </w:rPr>
        <w:t xml:space="preserve"> child’s caregiver would have to retire or quit his job to meet the deficit in skilled care caused by the reduction.  </w:t>
      </w:r>
      <w:proofErr w:type="gramStart"/>
      <w:r w:rsidR="001714B0" w:rsidRPr="001714B0">
        <w:rPr>
          <w:i/>
          <w:szCs w:val="24"/>
        </w:rPr>
        <w:t xml:space="preserve">Id. </w:t>
      </w:r>
      <w:r w:rsidR="001714B0" w:rsidRPr="005B16A1">
        <w:rPr>
          <w:szCs w:val="24"/>
        </w:rPr>
        <w:t>at</w:t>
      </w:r>
      <w:r w:rsidR="001714B0">
        <w:rPr>
          <w:szCs w:val="24"/>
        </w:rPr>
        <w:t xml:space="preserve"> *7.</w:t>
      </w:r>
      <w:proofErr w:type="gramEnd"/>
      <w:r w:rsidR="001714B0">
        <w:rPr>
          <w:szCs w:val="24"/>
        </w:rPr>
        <w:t xml:space="preserve">  </w:t>
      </w:r>
      <w:r w:rsidR="00482AC9">
        <w:rPr>
          <w:szCs w:val="24"/>
        </w:rPr>
        <w:t>T</w:t>
      </w:r>
      <w:r w:rsidR="00B352F5">
        <w:rPr>
          <w:szCs w:val="24"/>
        </w:rPr>
        <w:t>he court held that the state agency had violated the ADA</w:t>
      </w:r>
      <w:r w:rsidR="006D1665">
        <w:rPr>
          <w:szCs w:val="24"/>
        </w:rPr>
        <w:t>,</w:t>
      </w:r>
      <w:r w:rsidR="004F500A">
        <w:rPr>
          <w:szCs w:val="24"/>
        </w:rPr>
        <w:t xml:space="preserve"> and enjoined the agency from implementing the reduction</w:t>
      </w:r>
      <w:r w:rsidR="00B352F5">
        <w:rPr>
          <w:szCs w:val="24"/>
        </w:rPr>
        <w:t xml:space="preserve">, </w:t>
      </w:r>
      <w:r w:rsidR="00F408D2">
        <w:rPr>
          <w:szCs w:val="24"/>
        </w:rPr>
        <w:t>finding</w:t>
      </w:r>
      <w:r w:rsidR="00482AC9">
        <w:rPr>
          <w:szCs w:val="24"/>
        </w:rPr>
        <w:t xml:space="preserve"> </w:t>
      </w:r>
      <w:r w:rsidR="00A76EFF">
        <w:rPr>
          <w:szCs w:val="24"/>
        </w:rPr>
        <w:t xml:space="preserve">that </w:t>
      </w:r>
      <w:r w:rsidR="00B352F5">
        <w:rPr>
          <w:szCs w:val="24"/>
        </w:rPr>
        <w:t xml:space="preserve">the reduction </w:t>
      </w:r>
      <w:r w:rsidR="00A76EFF">
        <w:rPr>
          <w:szCs w:val="24"/>
        </w:rPr>
        <w:t xml:space="preserve">was </w:t>
      </w:r>
      <w:r w:rsidR="00482AC9">
        <w:rPr>
          <w:szCs w:val="24"/>
        </w:rPr>
        <w:t xml:space="preserve">unreasonable in light of the skill and availability of the caregiver and </w:t>
      </w:r>
      <w:r w:rsidR="004F500A">
        <w:rPr>
          <w:szCs w:val="24"/>
        </w:rPr>
        <w:t>that it would place</w:t>
      </w:r>
      <w:r w:rsidR="00B352F5">
        <w:rPr>
          <w:szCs w:val="24"/>
        </w:rPr>
        <w:t xml:space="preserve"> </w:t>
      </w:r>
      <w:r w:rsidR="001714B0">
        <w:rPr>
          <w:szCs w:val="24"/>
        </w:rPr>
        <w:t xml:space="preserve">the child </w:t>
      </w:r>
      <w:r w:rsidR="00B352F5">
        <w:rPr>
          <w:szCs w:val="24"/>
        </w:rPr>
        <w:t xml:space="preserve">“at high risk of premature entry into institutional isolation.”  </w:t>
      </w:r>
      <w:r w:rsidR="00B352F5" w:rsidRPr="00B352F5">
        <w:rPr>
          <w:i/>
          <w:szCs w:val="24"/>
        </w:rPr>
        <w:t>Id</w:t>
      </w:r>
      <w:r w:rsidR="001714B0">
        <w:rPr>
          <w:szCs w:val="24"/>
        </w:rPr>
        <w:t xml:space="preserve">. at *9. </w:t>
      </w:r>
      <w:r w:rsidR="00B352F5">
        <w:rPr>
          <w:szCs w:val="24"/>
        </w:rPr>
        <w:t xml:space="preserve"> </w:t>
      </w:r>
    </w:p>
    <w:p w:rsidR="00412070" w:rsidRDefault="00C27E65" w:rsidP="00482AC9">
      <w:pPr>
        <w:spacing w:line="480" w:lineRule="auto"/>
        <w:ind w:firstLine="720"/>
        <w:rPr>
          <w:szCs w:val="24"/>
        </w:rPr>
      </w:pPr>
      <w:r>
        <w:rPr>
          <w:szCs w:val="24"/>
        </w:rPr>
        <w:t xml:space="preserve">Here, Plaintiffs’ claims are </w:t>
      </w:r>
      <w:r w:rsidR="00727D9A">
        <w:rPr>
          <w:szCs w:val="24"/>
        </w:rPr>
        <w:t>virtually identical</w:t>
      </w:r>
      <w:r w:rsidR="00B82D3F">
        <w:rPr>
          <w:szCs w:val="24"/>
        </w:rPr>
        <w:t>—</w:t>
      </w:r>
      <w:r>
        <w:rPr>
          <w:szCs w:val="24"/>
        </w:rPr>
        <w:t>their physicians have prescribed an amount of in-home nursing services determined to be medically necessary, but the State has</w:t>
      </w:r>
      <w:r w:rsidR="00E65C95">
        <w:rPr>
          <w:szCs w:val="24"/>
        </w:rPr>
        <w:t xml:space="preserve"> allegedly</w:t>
      </w:r>
      <w:r>
        <w:rPr>
          <w:szCs w:val="24"/>
        </w:rPr>
        <w:t xml:space="preserve"> implemented a p</w:t>
      </w:r>
      <w:r w:rsidR="00E65C95">
        <w:rPr>
          <w:szCs w:val="24"/>
        </w:rPr>
        <w:t>olicy to reduce those services, not based on medically necess</w:t>
      </w:r>
      <w:r w:rsidR="002C54FB">
        <w:rPr>
          <w:szCs w:val="24"/>
        </w:rPr>
        <w:t>it</w:t>
      </w:r>
      <w:r w:rsidR="00E65C95">
        <w:rPr>
          <w:szCs w:val="24"/>
        </w:rPr>
        <w:t>y, but based on</w:t>
      </w:r>
      <w:r>
        <w:rPr>
          <w:szCs w:val="24"/>
        </w:rPr>
        <w:t xml:space="preserve"> an effort to shift care to plaintiffs’ families.  </w:t>
      </w:r>
      <w:r w:rsidR="009D0676" w:rsidRPr="00B51274">
        <w:rPr>
          <w:szCs w:val="24"/>
        </w:rPr>
        <w:t>(</w:t>
      </w:r>
      <w:r w:rsidR="009D0676" w:rsidRPr="00B51274">
        <w:rPr>
          <w:i/>
          <w:szCs w:val="24"/>
        </w:rPr>
        <w:t>See</w:t>
      </w:r>
      <w:r w:rsidR="009D0676" w:rsidRPr="00B51274">
        <w:rPr>
          <w:szCs w:val="24"/>
        </w:rPr>
        <w:t xml:space="preserve"> Compl.</w:t>
      </w:r>
      <w:r w:rsidR="009D0676" w:rsidRPr="00F109BE">
        <w:rPr>
          <w:szCs w:val="24"/>
        </w:rPr>
        <w:t xml:space="preserve"> </w:t>
      </w:r>
      <w:proofErr w:type="gramStart"/>
      <w:r w:rsidR="009D0676" w:rsidRPr="00BC7221">
        <w:rPr>
          <w:szCs w:val="24"/>
        </w:rPr>
        <w:t>¶¶ 17-</w:t>
      </w:r>
      <w:r w:rsidR="009D0676">
        <w:rPr>
          <w:szCs w:val="24"/>
        </w:rPr>
        <w:t>19</w:t>
      </w:r>
      <w:r w:rsidR="009D0676" w:rsidRPr="00BC7221">
        <w:rPr>
          <w:szCs w:val="24"/>
        </w:rPr>
        <w:t xml:space="preserve">, 144-45, </w:t>
      </w:r>
      <w:r w:rsidR="009D0676">
        <w:rPr>
          <w:szCs w:val="24"/>
        </w:rPr>
        <w:t>158-</w:t>
      </w:r>
      <w:r w:rsidR="009D0676" w:rsidRPr="00BC7221">
        <w:rPr>
          <w:szCs w:val="24"/>
        </w:rPr>
        <w:t>61,</w:t>
      </w:r>
      <w:r w:rsidR="009D0676">
        <w:rPr>
          <w:szCs w:val="24"/>
        </w:rPr>
        <w:t xml:space="preserve"> 173-</w:t>
      </w:r>
      <w:r w:rsidR="009D0676" w:rsidRPr="00BC7221">
        <w:rPr>
          <w:szCs w:val="24"/>
        </w:rPr>
        <w:t>78, 1</w:t>
      </w:r>
      <w:r w:rsidR="009D0676">
        <w:rPr>
          <w:szCs w:val="24"/>
        </w:rPr>
        <w:t>88-</w:t>
      </w:r>
      <w:r w:rsidR="00725CB2">
        <w:rPr>
          <w:szCs w:val="24"/>
        </w:rPr>
        <w:t xml:space="preserve">90, </w:t>
      </w:r>
      <w:r w:rsidR="009D0676" w:rsidRPr="00BC7221">
        <w:rPr>
          <w:szCs w:val="24"/>
        </w:rPr>
        <w:t>20</w:t>
      </w:r>
      <w:r w:rsidR="009D0676">
        <w:rPr>
          <w:szCs w:val="24"/>
        </w:rPr>
        <w:t>0</w:t>
      </w:r>
      <w:r w:rsidR="009D0676" w:rsidRPr="00BC7221">
        <w:rPr>
          <w:szCs w:val="24"/>
        </w:rPr>
        <w:t>-04, 21</w:t>
      </w:r>
      <w:r w:rsidR="009D0676">
        <w:rPr>
          <w:szCs w:val="24"/>
        </w:rPr>
        <w:t>4</w:t>
      </w:r>
      <w:r w:rsidR="009D0676" w:rsidRPr="00BC7221">
        <w:rPr>
          <w:szCs w:val="24"/>
        </w:rPr>
        <w:t xml:space="preserve">-18, </w:t>
      </w:r>
      <w:r w:rsidR="009D0676">
        <w:rPr>
          <w:szCs w:val="24"/>
        </w:rPr>
        <w:t>228</w:t>
      </w:r>
      <w:r w:rsidR="009D0676" w:rsidRPr="00BC7221">
        <w:rPr>
          <w:szCs w:val="24"/>
        </w:rPr>
        <w:t>-32</w:t>
      </w:r>
      <w:r w:rsidR="009D0676" w:rsidRPr="00F109BE">
        <w:rPr>
          <w:szCs w:val="24"/>
        </w:rPr>
        <w:t>)</w:t>
      </w:r>
      <w:r w:rsidR="005108AF">
        <w:rPr>
          <w:szCs w:val="24"/>
        </w:rPr>
        <w:t>.</w:t>
      </w:r>
      <w:proofErr w:type="gramEnd"/>
      <w:r w:rsidR="00787191">
        <w:rPr>
          <w:szCs w:val="24"/>
        </w:rPr>
        <w:t xml:space="preserve"> </w:t>
      </w:r>
      <w:r w:rsidR="009D0676">
        <w:rPr>
          <w:szCs w:val="24"/>
        </w:rPr>
        <w:t xml:space="preserve">  </w:t>
      </w:r>
      <w:r>
        <w:rPr>
          <w:szCs w:val="24"/>
        </w:rPr>
        <w:t>Plainti</w:t>
      </w:r>
      <w:r w:rsidR="009D0676">
        <w:rPr>
          <w:szCs w:val="24"/>
        </w:rPr>
        <w:t xml:space="preserve">ffs allege that the attempted reductions </w:t>
      </w:r>
      <w:r>
        <w:rPr>
          <w:szCs w:val="24"/>
        </w:rPr>
        <w:t xml:space="preserve">are the product of </w:t>
      </w:r>
      <w:r w:rsidR="00727D9A">
        <w:rPr>
          <w:szCs w:val="24"/>
        </w:rPr>
        <w:t>a flawed policy</w:t>
      </w:r>
      <w:r>
        <w:rPr>
          <w:szCs w:val="24"/>
        </w:rPr>
        <w:t xml:space="preserve"> </w:t>
      </w:r>
      <w:r w:rsidR="00B23C06">
        <w:rPr>
          <w:szCs w:val="24"/>
        </w:rPr>
        <w:t xml:space="preserve">and would </w:t>
      </w:r>
      <w:r w:rsidR="00727D9A">
        <w:rPr>
          <w:szCs w:val="24"/>
        </w:rPr>
        <w:t xml:space="preserve">result in the </w:t>
      </w:r>
      <w:r w:rsidR="00A60D67">
        <w:rPr>
          <w:szCs w:val="24"/>
        </w:rPr>
        <w:t>reduction of authorized hours to a level that does</w:t>
      </w:r>
      <w:r>
        <w:rPr>
          <w:szCs w:val="24"/>
        </w:rPr>
        <w:t xml:space="preserve"> not accurately reflect the amount of care that their caregivers </w:t>
      </w:r>
      <w:r w:rsidR="009D0676">
        <w:rPr>
          <w:szCs w:val="24"/>
        </w:rPr>
        <w:t>are able to</w:t>
      </w:r>
      <w:r>
        <w:rPr>
          <w:szCs w:val="24"/>
        </w:rPr>
        <w:t xml:space="preserve"> safely supply.</w:t>
      </w:r>
      <w:r w:rsidR="009D0676">
        <w:rPr>
          <w:szCs w:val="24"/>
        </w:rPr>
        <w:t xml:space="preserve">  </w:t>
      </w:r>
      <w:r w:rsidR="009D0676" w:rsidRPr="00B51274">
        <w:rPr>
          <w:szCs w:val="24"/>
        </w:rPr>
        <w:t>(</w:t>
      </w:r>
      <w:r w:rsidR="009D0676" w:rsidRPr="00B51274">
        <w:rPr>
          <w:i/>
          <w:szCs w:val="24"/>
        </w:rPr>
        <w:t>See</w:t>
      </w:r>
      <w:r w:rsidR="009D0676">
        <w:rPr>
          <w:szCs w:val="24"/>
        </w:rPr>
        <w:t xml:space="preserve"> </w:t>
      </w:r>
      <w:r w:rsidR="009D0676" w:rsidRPr="009D0676">
        <w:rPr>
          <w:i/>
          <w:szCs w:val="24"/>
        </w:rPr>
        <w:t>id</w:t>
      </w:r>
      <w:r w:rsidR="009D0676">
        <w:rPr>
          <w:szCs w:val="24"/>
        </w:rPr>
        <w:t>.</w:t>
      </w:r>
      <w:r w:rsidR="009D0676" w:rsidRPr="00F109BE">
        <w:rPr>
          <w:szCs w:val="24"/>
        </w:rPr>
        <w:t>)</w:t>
      </w:r>
      <w:r w:rsidR="009D0676">
        <w:rPr>
          <w:szCs w:val="24"/>
        </w:rPr>
        <w:t xml:space="preserve">  They allege that these threatened reductions </w:t>
      </w:r>
      <w:r w:rsidR="00B06393">
        <w:rPr>
          <w:szCs w:val="24"/>
        </w:rPr>
        <w:t xml:space="preserve">put them </w:t>
      </w:r>
      <w:r w:rsidR="009D0676">
        <w:rPr>
          <w:szCs w:val="24"/>
        </w:rPr>
        <w:t>at serious risk of placement in a nursing facility in order to meet their care needs.  (</w:t>
      </w:r>
      <w:r w:rsidR="009D0676" w:rsidRPr="00C47D7F">
        <w:rPr>
          <w:i/>
          <w:szCs w:val="24"/>
        </w:rPr>
        <w:t>See</w:t>
      </w:r>
      <w:r w:rsidR="009D0676">
        <w:rPr>
          <w:szCs w:val="24"/>
        </w:rPr>
        <w:t xml:space="preserve"> Compl. ¶¶ 264-74)</w:t>
      </w:r>
      <w:r w:rsidR="00370156">
        <w:rPr>
          <w:szCs w:val="24"/>
        </w:rPr>
        <w:t>;</w:t>
      </w:r>
      <w:r w:rsidR="00370156" w:rsidRPr="00370156">
        <w:rPr>
          <w:i/>
          <w:szCs w:val="24"/>
        </w:rPr>
        <w:t xml:space="preserve"> </w:t>
      </w:r>
      <w:r w:rsidR="00370156" w:rsidRPr="007379CC">
        <w:rPr>
          <w:i/>
          <w:szCs w:val="24"/>
        </w:rPr>
        <w:t>see also</w:t>
      </w:r>
      <w:r w:rsidR="00370156">
        <w:rPr>
          <w:szCs w:val="24"/>
        </w:rPr>
        <w:t xml:space="preserve"> </w:t>
      </w:r>
      <w:r w:rsidR="00370156" w:rsidRPr="00B51274">
        <w:rPr>
          <w:i/>
        </w:rPr>
        <w:t>Hunter</w:t>
      </w:r>
      <w:r w:rsidR="00725CB2">
        <w:rPr>
          <w:i/>
        </w:rPr>
        <w:t xml:space="preserve"> ex rel. </w:t>
      </w:r>
      <w:proofErr w:type="spellStart"/>
      <w:r w:rsidR="00725CB2">
        <w:rPr>
          <w:i/>
        </w:rPr>
        <w:t>Lynah</w:t>
      </w:r>
      <w:proofErr w:type="spellEnd"/>
      <w:r w:rsidR="00370156" w:rsidRPr="00B51274">
        <w:rPr>
          <w:i/>
        </w:rPr>
        <w:t xml:space="preserve"> v. Cook</w:t>
      </w:r>
      <w:r w:rsidR="00370156">
        <w:t>,</w:t>
      </w:r>
      <w:r w:rsidR="00725CB2">
        <w:t xml:space="preserve"> No. 1:08-CV-2930-TWT, </w:t>
      </w:r>
      <w:r w:rsidR="00370156">
        <w:t xml:space="preserve">2011 WL 45000009, </w:t>
      </w:r>
      <w:r w:rsidR="005108AF">
        <w:t xml:space="preserve">at </w:t>
      </w:r>
      <w:r w:rsidR="00370156">
        <w:t>*5</w:t>
      </w:r>
      <w:r w:rsidR="00725CB2">
        <w:t xml:space="preserve"> (N.D. Ga. Sept. 27, 2011)</w:t>
      </w:r>
      <w:r w:rsidR="00370156">
        <w:t xml:space="preserve"> (granting plaintiffs’ motion to amend complaint to add ADA claim alleging plaintiffs “will be forced into institutional nursing facilities if they are denied the in-home duty nursing services requested by their physicians”).</w:t>
      </w:r>
      <w:r w:rsidR="00370156">
        <w:rPr>
          <w:szCs w:val="24"/>
        </w:rPr>
        <w:t xml:space="preserve">  </w:t>
      </w:r>
    </w:p>
    <w:p w:rsidR="00412070" w:rsidRDefault="007A1E66" w:rsidP="00412070">
      <w:pPr>
        <w:spacing w:line="480" w:lineRule="auto"/>
        <w:ind w:firstLine="720"/>
        <w:rPr>
          <w:szCs w:val="24"/>
        </w:rPr>
      </w:pPr>
      <w:r>
        <w:rPr>
          <w:szCs w:val="24"/>
        </w:rPr>
        <w:t>Similarly, i</w:t>
      </w:r>
      <w:r w:rsidR="00412070">
        <w:rPr>
          <w:szCs w:val="24"/>
        </w:rPr>
        <w:t xml:space="preserve">n </w:t>
      </w:r>
      <w:r w:rsidR="00412070" w:rsidRPr="00B352F5">
        <w:rPr>
          <w:i/>
          <w:szCs w:val="24"/>
        </w:rPr>
        <w:t>Cruz v. Dudek</w:t>
      </w:r>
      <w:r w:rsidR="00412070">
        <w:rPr>
          <w:szCs w:val="24"/>
        </w:rPr>
        <w:t>, this Court granted a preliminary injunction requiring AHCA to</w:t>
      </w:r>
      <w:r w:rsidR="006D1665">
        <w:rPr>
          <w:szCs w:val="24"/>
        </w:rPr>
        <w:t xml:space="preserve"> provide plaintiff </w:t>
      </w:r>
      <w:r w:rsidR="00412070" w:rsidRPr="00FC3EBB">
        <w:rPr>
          <w:szCs w:val="24"/>
        </w:rPr>
        <w:t>M</w:t>
      </w:r>
      <w:r w:rsidR="00B06393" w:rsidRPr="00FC3EBB">
        <w:rPr>
          <w:szCs w:val="24"/>
        </w:rPr>
        <w:t xml:space="preserve">edicaid </w:t>
      </w:r>
      <w:proofErr w:type="gramStart"/>
      <w:r w:rsidR="00412070" w:rsidRPr="00FC3EBB">
        <w:rPr>
          <w:szCs w:val="24"/>
        </w:rPr>
        <w:t>recipients</w:t>
      </w:r>
      <w:proofErr w:type="gramEnd"/>
      <w:r w:rsidR="00412070">
        <w:rPr>
          <w:szCs w:val="24"/>
        </w:rPr>
        <w:t xml:space="preserve"> sufficient home-based services to prevent their institutionalization where they had shown that they were at risk of institutionalization while receiving limited home-based services offered by the agency. </w:t>
      </w:r>
      <w:r w:rsidR="006D1665">
        <w:rPr>
          <w:szCs w:val="24"/>
        </w:rPr>
        <w:t xml:space="preserve"> </w:t>
      </w:r>
      <w:r w:rsidR="00725CB2" w:rsidRPr="00725CB2">
        <w:rPr>
          <w:i/>
          <w:szCs w:val="24"/>
        </w:rPr>
        <w:t>See</w:t>
      </w:r>
      <w:r w:rsidR="00725CB2">
        <w:rPr>
          <w:szCs w:val="24"/>
        </w:rPr>
        <w:t xml:space="preserve"> </w:t>
      </w:r>
      <w:r w:rsidR="00412070" w:rsidRPr="00175395">
        <w:rPr>
          <w:i/>
          <w:szCs w:val="24"/>
        </w:rPr>
        <w:t>Cruz v. Dudek</w:t>
      </w:r>
      <w:r w:rsidR="00412070">
        <w:rPr>
          <w:szCs w:val="24"/>
        </w:rPr>
        <w:t>, No. 10-23048</w:t>
      </w:r>
      <w:r w:rsidR="00725CB2">
        <w:rPr>
          <w:szCs w:val="24"/>
        </w:rPr>
        <w:t>-CIV</w:t>
      </w:r>
      <w:r w:rsidR="00412070">
        <w:rPr>
          <w:szCs w:val="24"/>
        </w:rPr>
        <w:t>,</w:t>
      </w:r>
      <w:r w:rsidR="00725CB2">
        <w:rPr>
          <w:szCs w:val="24"/>
        </w:rPr>
        <w:t xml:space="preserve"> 2010 WL 4284955, at *1 (S.D. Fla. Oct. 12, 2010)</w:t>
      </w:r>
      <w:r w:rsidR="005108AF">
        <w:rPr>
          <w:szCs w:val="24"/>
        </w:rPr>
        <w:t>,</w:t>
      </w:r>
      <w:r w:rsidR="00725CB2">
        <w:rPr>
          <w:szCs w:val="24"/>
        </w:rPr>
        <w:t xml:space="preserve"> </w:t>
      </w:r>
      <w:r w:rsidR="00725CB2" w:rsidRPr="00725CB2">
        <w:rPr>
          <w:i/>
          <w:szCs w:val="24"/>
        </w:rPr>
        <w:t>adopted by</w:t>
      </w:r>
      <w:r w:rsidR="00412070">
        <w:rPr>
          <w:szCs w:val="24"/>
        </w:rPr>
        <w:t xml:space="preserve"> Order Adopting Magistrate’s Report &amp; Recommendations,</w:t>
      </w:r>
      <w:r w:rsidR="00725CB2">
        <w:rPr>
          <w:szCs w:val="24"/>
        </w:rPr>
        <w:t xml:space="preserve"> </w:t>
      </w:r>
      <w:r w:rsidR="00725CB2" w:rsidRPr="00725CB2">
        <w:rPr>
          <w:i/>
          <w:szCs w:val="24"/>
        </w:rPr>
        <w:t>Cruz v. Dudek</w:t>
      </w:r>
      <w:r w:rsidR="00725CB2">
        <w:rPr>
          <w:szCs w:val="24"/>
        </w:rPr>
        <w:t>, No. 10-23048-CIV, ECF No. 57,</w:t>
      </w:r>
      <w:r w:rsidR="00412070">
        <w:rPr>
          <w:szCs w:val="24"/>
        </w:rPr>
        <w:t xml:space="preserve"> at 2-3</w:t>
      </w:r>
      <w:r w:rsidR="00412070" w:rsidRPr="00FC62F3">
        <w:rPr>
          <w:szCs w:val="24"/>
        </w:rPr>
        <w:t xml:space="preserve"> (S.D. Fla. </w:t>
      </w:r>
      <w:r w:rsidR="00412070">
        <w:rPr>
          <w:szCs w:val="24"/>
        </w:rPr>
        <w:t>Nov. 24, 2010).  The services they sought</w:t>
      </w:r>
      <w:r w:rsidR="00F049EE">
        <w:rPr>
          <w:szCs w:val="24"/>
        </w:rPr>
        <w:t>—</w:t>
      </w:r>
      <w:r w:rsidR="007379CC">
        <w:rPr>
          <w:szCs w:val="24"/>
        </w:rPr>
        <w:t>assistance</w:t>
      </w:r>
      <w:r w:rsidR="00725CB2">
        <w:rPr>
          <w:szCs w:val="24"/>
        </w:rPr>
        <w:t xml:space="preserve"> </w:t>
      </w:r>
      <w:r w:rsidR="007379CC">
        <w:rPr>
          <w:szCs w:val="24"/>
        </w:rPr>
        <w:t xml:space="preserve"> from skilled and unskilled personnel with t</w:t>
      </w:r>
      <w:r w:rsidR="00F049EE">
        <w:rPr>
          <w:szCs w:val="24"/>
        </w:rPr>
        <w:t>heir activities of daily living—</w:t>
      </w:r>
      <w:r w:rsidR="00D73B3F">
        <w:rPr>
          <w:szCs w:val="24"/>
        </w:rPr>
        <w:t>were</w:t>
      </w:r>
      <w:r w:rsidR="007379CC">
        <w:rPr>
          <w:szCs w:val="24"/>
        </w:rPr>
        <w:t xml:space="preserve"> available through the State’s Medicaid program both in-home and in a nursing facility setting.  </w:t>
      </w:r>
      <w:r w:rsidR="007379CC" w:rsidRPr="007379CC">
        <w:rPr>
          <w:i/>
          <w:szCs w:val="24"/>
        </w:rPr>
        <w:t>See id</w:t>
      </w:r>
      <w:r w:rsidR="007379CC">
        <w:rPr>
          <w:szCs w:val="24"/>
        </w:rPr>
        <w:t xml:space="preserve">.  But the State’s administration of the home-based care program denied them access to a sufficient amount of personnel hours to meet their needs, placing them at risk of institutionalization to receive the care they needed.  </w:t>
      </w:r>
      <w:r w:rsidR="00D73B3F" w:rsidRPr="00D73B3F">
        <w:rPr>
          <w:i/>
          <w:szCs w:val="24"/>
        </w:rPr>
        <w:t>See i</w:t>
      </w:r>
      <w:r w:rsidR="007379CC" w:rsidRPr="00D73B3F">
        <w:rPr>
          <w:i/>
          <w:szCs w:val="24"/>
        </w:rPr>
        <w:t>d</w:t>
      </w:r>
      <w:r w:rsidR="00725CB2">
        <w:rPr>
          <w:i/>
          <w:szCs w:val="24"/>
        </w:rPr>
        <w:t>.</w:t>
      </w:r>
      <w:r w:rsidR="007379CC">
        <w:rPr>
          <w:i/>
          <w:szCs w:val="24"/>
        </w:rPr>
        <w:t>;</w:t>
      </w:r>
      <w:r w:rsidR="00725CB2">
        <w:rPr>
          <w:i/>
          <w:szCs w:val="24"/>
        </w:rPr>
        <w:t xml:space="preserve"> </w:t>
      </w:r>
      <w:r w:rsidR="00412070" w:rsidRPr="0058229A">
        <w:rPr>
          <w:i/>
          <w:szCs w:val="24"/>
        </w:rPr>
        <w:t>accord</w:t>
      </w:r>
      <w:r w:rsidR="00412070">
        <w:rPr>
          <w:szCs w:val="24"/>
        </w:rPr>
        <w:t xml:space="preserve"> </w:t>
      </w:r>
      <w:r w:rsidR="00412070" w:rsidRPr="00A85581">
        <w:rPr>
          <w:i/>
          <w:szCs w:val="24"/>
        </w:rPr>
        <w:t xml:space="preserve">Haddad v. </w:t>
      </w:r>
      <w:proofErr w:type="spellStart"/>
      <w:r w:rsidR="00412070" w:rsidRPr="00A85581">
        <w:rPr>
          <w:i/>
          <w:szCs w:val="24"/>
        </w:rPr>
        <w:t>Dudek</w:t>
      </w:r>
      <w:proofErr w:type="spellEnd"/>
      <w:r w:rsidR="00412070">
        <w:rPr>
          <w:szCs w:val="24"/>
        </w:rPr>
        <w:t>, 784 F.</w:t>
      </w:r>
      <w:r w:rsidR="006D1665">
        <w:rPr>
          <w:szCs w:val="24"/>
        </w:rPr>
        <w:t xml:space="preserve"> </w:t>
      </w:r>
      <w:r w:rsidR="00412070">
        <w:rPr>
          <w:szCs w:val="24"/>
        </w:rPr>
        <w:t>Supp. 2d 1308, 1317 (M.D. Fla. 2011) (denying motion to d</w:t>
      </w:r>
      <w:r w:rsidR="00FC3EBB">
        <w:rPr>
          <w:szCs w:val="24"/>
        </w:rPr>
        <w:t xml:space="preserve">ismiss where plaintiff Medicaid </w:t>
      </w:r>
      <w:r w:rsidR="00412070">
        <w:rPr>
          <w:szCs w:val="24"/>
        </w:rPr>
        <w:t xml:space="preserve">recipient “alleged that </w:t>
      </w:r>
      <w:r w:rsidR="00412070">
        <w:t>denial of Medicaid funding f</w:t>
      </w:r>
      <w:r w:rsidR="006D1665">
        <w:t>or the community-based services . . .</w:t>
      </w:r>
      <w:r w:rsidR="00412070">
        <w:t xml:space="preserve"> [and] requirement conditioning receipt of [such] services on her entering a nursing home for sixty days against her will, constitute unlawful discrimination in violation </w:t>
      </w:r>
      <w:r w:rsidR="007379CC">
        <w:t>of the ADA and the Rehab Act”).</w:t>
      </w:r>
    </w:p>
    <w:p w:rsidR="00B352F5" w:rsidRPr="0058229A" w:rsidRDefault="007379CC" w:rsidP="00482AC9">
      <w:pPr>
        <w:spacing w:line="480" w:lineRule="auto"/>
        <w:ind w:firstLine="720"/>
        <w:rPr>
          <w:bCs/>
          <w:szCs w:val="24"/>
        </w:rPr>
      </w:pPr>
      <w:r>
        <w:rPr>
          <w:szCs w:val="24"/>
        </w:rPr>
        <w:t xml:space="preserve">Here, as in </w:t>
      </w:r>
      <w:r w:rsidRPr="007379CC">
        <w:rPr>
          <w:i/>
          <w:szCs w:val="24"/>
        </w:rPr>
        <w:t>Cruz</w:t>
      </w:r>
      <w:r>
        <w:rPr>
          <w:i/>
          <w:szCs w:val="24"/>
        </w:rPr>
        <w:t xml:space="preserve"> </w:t>
      </w:r>
      <w:r w:rsidRPr="007379CC">
        <w:rPr>
          <w:szCs w:val="24"/>
        </w:rPr>
        <w:t>and</w:t>
      </w:r>
      <w:r>
        <w:rPr>
          <w:i/>
          <w:szCs w:val="24"/>
        </w:rPr>
        <w:t xml:space="preserve"> Haddad</w:t>
      </w:r>
      <w:r>
        <w:rPr>
          <w:szCs w:val="24"/>
        </w:rPr>
        <w:t>, a</w:t>
      </w:r>
      <w:r w:rsidR="00412070">
        <w:rPr>
          <w:szCs w:val="24"/>
        </w:rPr>
        <w:t xml:space="preserve">lthough the </w:t>
      </w:r>
      <w:r w:rsidR="00412070" w:rsidRPr="001303EB">
        <w:rPr>
          <w:i/>
          <w:szCs w:val="24"/>
        </w:rPr>
        <w:t>type</w:t>
      </w:r>
      <w:r w:rsidR="00412070">
        <w:rPr>
          <w:szCs w:val="24"/>
        </w:rPr>
        <w:t xml:space="preserve"> of services Plaintiffs seek is available both within and outside of institutional settings, including up to 24-hour nursing care, Defendants’ policies and practices effectively deny Plaintiffs access to services to the extent necessary to meet their needs unless the services are provided in an institutional setting.  </w:t>
      </w:r>
      <w:r w:rsidR="00412070" w:rsidRPr="00B51274">
        <w:rPr>
          <w:szCs w:val="24"/>
        </w:rPr>
        <w:t>(</w:t>
      </w:r>
      <w:r w:rsidR="00412070" w:rsidRPr="00B51274">
        <w:rPr>
          <w:i/>
          <w:szCs w:val="24"/>
        </w:rPr>
        <w:t>See</w:t>
      </w:r>
      <w:r w:rsidR="00412070" w:rsidRPr="00B51274">
        <w:rPr>
          <w:szCs w:val="24"/>
        </w:rPr>
        <w:t xml:space="preserve"> Compl.</w:t>
      </w:r>
      <w:r w:rsidR="00412070" w:rsidRPr="00F109BE">
        <w:rPr>
          <w:szCs w:val="24"/>
        </w:rPr>
        <w:t xml:space="preserve"> </w:t>
      </w:r>
      <w:proofErr w:type="gramStart"/>
      <w:r w:rsidR="00412070" w:rsidRPr="00BC7221">
        <w:rPr>
          <w:szCs w:val="24"/>
        </w:rPr>
        <w:t>¶¶ 17-</w:t>
      </w:r>
      <w:r w:rsidR="00412070">
        <w:rPr>
          <w:szCs w:val="24"/>
        </w:rPr>
        <w:t>19</w:t>
      </w:r>
      <w:r w:rsidR="00412070" w:rsidRPr="00BC7221">
        <w:rPr>
          <w:szCs w:val="24"/>
        </w:rPr>
        <w:t xml:space="preserve">, 144-45, </w:t>
      </w:r>
      <w:r w:rsidR="00412070">
        <w:rPr>
          <w:szCs w:val="24"/>
        </w:rPr>
        <w:t>158-</w:t>
      </w:r>
      <w:r w:rsidR="00412070" w:rsidRPr="00BC7221">
        <w:rPr>
          <w:szCs w:val="24"/>
        </w:rPr>
        <w:t>61,</w:t>
      </w:r>
      <w:r w:rsidR="00412070">
        <w:rPr>
          <w:szCs w:val="24"/>
        </w:rPr>
        <w:t xml:space="preserve"> 173-</w:t>
      </w:r>
      <w:r w:rsidR="00412070" w:rsidRPr="00BC7221">
        <w:rPr>
          <w:szCs w:val="24"/>
        </w:rPr>
        <w:t>78, 1</w:t>
      </w:r>
      <w:r w:rsidR="00412070">
        <w:rPr>
          <w:szCs w:val="24"/>
        </w:rPr>
        <w:t>88-</w:t>
      </w:r>
      <w:r w:rsidR="00412070" w:rsidRPr="00BC7221">
        <w:rPr>
          <w:szCs w:val="24"/>
        </w:rPr>
        <w:t>90, 20</w:t>
      </w:r>
      <w:r w:rsidR="00412070">
        <w:rPr>
          <w:szCs w:val="24"/>
        </w:rPr>
        <w:t>0</w:t>
      </w:r>
      <w:r w:rsidR="00412070" w:rsidRPr="00BC7221">
        <w:rPr>
          <w:szCs w:val="24"/>
        </w:rPr>
        <w:t>-04, 21</w:t>
      </w:r>
      <w:r w:rsidR="00412070">
        <w:rPr>
          <w:szCs w:val="24"/>
        </w:rPr>
        <w:t>4</w:t>
      </w:r>
      <w:r w:rsidR="00412070" w:rsidRPr="00BC7221">
        <w:rPr>
          <w:szCs w:val="24"/>
        </w:rPr>
        <w:t xml:space="preserve">-18, </w:t>
      </w:r>
      <w:r w:rsidR="00412070">
        <w:rPr>
          <w:szCs w:val="24"/>
        </w:rPr>
        <w:t>228</w:t>
      </w:r>
      <w:r w:rsidR="00412070" w:rsidRPr="00BC7221">
        <w:rPr>
          <w:szCs w:val="24"/>
        </w:rPr>
        <w:t>-32</w:t>
      </w:r>
      <w:r w:rsidR="00412070" w:rsidRPr="00F109BE">
        <w:rPr>
          <w:szCs w:val="24"/>
        </w:rPr>
        <w:t>)</w:t>
      </w:r>
      <w:r w:rsidR="005108AF">
        <w:rPr>
          <w:szCs w:val="24"/>
        </w:rPr>
        <w:t>.</w:t>
      </w:r>
      <w:proofErr w:type="gramEnd"/>
      <w:r w:rsidR="00412070" w:rsidRPr="00391C31">
        <w:rPr>
          <w:rStyle w:val="FootnoteReference"/>
          <w:szCs w:val="24"/>
        </w:rPr>
        <w:footnoteReference w:id="7"/>
      </w:r>
      <w:r w:rsidR="00412070">
        <w:rPr>
          <w:szCs w:val="24"/>
        </w:rPr>
        <w:t xml:space="preserve">  </w:t>
      </w:r>
      <w:r>
        <w:rPr>
          <w:szCs w:val="24"/>
        </w:rPr>
        <w:t>T</w:t>
      </w:r>
      <w:r w:rsidR="00412070">
        <w:rPr>
          <w:szCs w:val="24"/>
        </w:rPr>
        <w:t xml:space="preserve">he Complaint pleads ample facts alleging that Defendants’ policies and actions </w:t>
      </w:r>
      <w:r w:rsidR="00FE2DE7">
        <w:rPr>
          <w:szCs w:val="24"/>
        </w:rPr>
        <w:t xml:space="preserve">threaten to reduce, or </w:t>
      </w:r>
      <w:r w:rsidR="00412070">
        <w:rPr>
          <w:szCs w:val="24"/>
        </w:rPr>
        <w:t>ha</w:t>
      </w:r>
      <w:r w:rsidR="00FE2DE7">
        <w:rPr>
          <w:szCs w:val="24"/>
        </w:rPr>
        <w:t xml:space="preserve">ve resulted in the reduction of, </w:t>
      </w:r>
      <w:r w:rsidR="00412070">
        <w:rPr>
          <w:szCs w:val="24"/>
        </w:rPr>
        <w:t>community-based services in a manner that renders the services insufficient to sustain Plaintiffs in the community.</w:t>
      </w:r>
      <w:r w:rsidR="005108AF">
        <w:rPr>
          <w:szCs w:val="24"/>
        </w:rPr>
        <w:t xml:space="preserve"> </w:t>
      </w:r>
      <w:r w:rsidR="00412070" w:rsidRPr="00412070">
        <w:rPr>
          <w:szCs w:val="24"/>
        </w:rPr>
        <w:t xml:space="preserve"> </w:t>
      </w:r>
      <w:proofErr w:type="gramStart"/>
      <w:r w:rsidR="00412070" w:rsidRPr="00B51274">
        <w:rPr>
          <w:szCs w:val="24"/>
        </w:rPr>
        <w:t>(</w:t>
      </w:r>
      <w:r w:rsidR="00412070" w:rsidRPr="00B51274">
        <w:rPr>
          <w:i/>
          <w:szCs w:val="24"/>
        </w:rPr>
        <w:t>See</w:t>
      </w:r>
      <w:r w:rsidR="00412070" w:rsidRPr="00B51274">
        <w:rPr>
          <w:szCs w:val="24"/>
        </w:rPr>
        <w:t xml:space="preserve"> </w:t>
      </w:r>
      <w:r w:rsidR="00412070" w:rsidRPr="00B51274">
        <w:rPr>
          <w:i/>
          <w:szCs w:val="24"/>
        </w:rPr>
        <w:t>id</w:t>
      </w:r>
      <w:r w:rsidR="005108AF">
        <w:rPr>
          <w:i/>
          <w:szCs w:val="24"/>
        </w:rPr>
        <w:t>.</w:t>
      </w:r>
      <w:r w:rsidR="00412070" w:rsidRPr="00B51274">
        <w:rPr>
          <w:szCs w:val="24"/>
        </w:rPr>
        <w:t>)</w:t>
      </w:r>
      <w:r w:rsidR="005108AF">
        <w:rPr>
          <w:szCs w:val="24"/>
        </w:rPr>
        <w:t>.</w:t>
      </w:r>
      <w:proofErr w:type="gramEnd"/>
      <w:r>
        <w:rPr>
          <w:szCs w:val="24"/>
        </w:rPr>
        <w:t xml:space="preserve"> </w:t>
      </w:r>
      <w:r w:rsidR="009D0676">
        <w:rPr>
          <w:szCs w:val="24"/>
        </w:rPr>
        <w:t xml:space="preserve"> </w:t>
      </w:r>
    </w:p>
    <w:p w:rsidR="00AE50CD" w:rsidRDefault="00070798" w:rsidP="00AE50CD">
      <w:pPr>
        <w:spacing w:line="480" w:lineRule="auto"/>
        <w:ind w:firstLine="720"/>
        <w:rPr>
          <w:szCs w:val="24"/>
        </w:rPr>
      </w:pPr>
      <w:r>
        <w:rPr>
          <w:szCs w:val="24"/>
        </w:rPr>
        <w:t xml:space="preserve">For the same reasons, this Court should reject Defendants’ argument that </w:t>
      </w:r>
      <w:r>
        <w:t xml:space="preserve">the ADA is “not the appropriate vehicle for challenging the prudential judgment of medical </w:t>
      </w:r>
      <w:r w:rsidR="00D73B3F">
        <w:t>practitioners</w:t>
      </w:r>
      <w:r>
        <w:t xml:space="preserve">.”  </w:t>
      </w:r>
      <w:proofErr w:type="gramStart"/>
      <w:r w:rsidR="00D73B3F">
        <w:t>(</w:t>
      </w:r>
      <w:proofErr w:type="spellStart"/>
      <w:r>
        <w:t>Defs</w:t>
      </w:r>
      <w:proofErr w:type="spellEnd"/>
      <w:r>
        <w:t>.’</w:t>
      </w:r>
      <w:proofErr w:type="gramEnd"/>
      <w:r>
        <w:t xml:space="preserve"> </w:t>
      </w:r>
      <w:proofErr w:type="gramStart"/>
      <w:r>
        <w:t>Mot.</w:t>
      </w:r>
      <w:proofErr w:type="gramEnd"/>
      <w:r>
        <w:t xml:space="preserve"> </w:t>
      </w:r>
      <w:proofErr w:type="gramStart"/>
      <w:r>
        <w:t>at</w:t>
      </w:r>
      <w:proofErr w:type="gramEnd"/>
      <w:r>
        <w:t xml:space="preserve"> 11</w:t>
      </w:r>
      <w:r w:rsidR="00D73B3F">
        <w:t>)</w:t>
      </w:r>
      <w:r w:rsidR="005108AF">
        <w:t>.</w:t>
      </w:r>
      <w:r>
        <w:t xml:space="preserve">  Plaintiffs’ Complaint does not seek to challenge any individual physician’s determination</w:t>
      </w:r>
      <w:r w:rsidR="00B23C06">
        <w:t xml:space="preserve"> of whether</w:t>
      </w:r>
      <w:r>
        <w:t xml:space="preserve"> a service is medically necessary.</w:t>
      </w:r>
      <w:r w:rsidR="00D4342B">
        <w:t xml:space="preserve">  </w:t>
      </w:r>
      <w:r>
        <w:t xml:space="preserve">Rather, Plaintiffs </w:t>
      </w:r>
      <w:r w:rsidR="00F16881">
        <w:t xml:space="preserve">challenge the State’s policy and practice of denying medically necessary services </w:t>
      </w:r>
      <w:r w:rsidR="00B06393">
        <w:t>based on a</w:t>
      </w:r>
      <w:r w:rsidR="006541C5">
        <w:t xml:space="preserve"> definition of medical necessity </w:t>
      </w:r>
      <w:r w:rsidR="00B06393">
        <w:t xml:space="preserve">that </w:t>
      </w:r>
      <w:r w:rsidR="00003A3D">
        <w:t>causes discrimination by placing them at-risk of institutionalization</w:t>
      </w:r>
      <w:r w:rsidR="00F16881">
        <w:t>.</w:t>
      </w:r>
      <w:r>
        <w:t xml:space="preserve"> </w:t>
      </w:r>
      <w:r w:rsidR="006541C5">
        <w:t xml:space="preserve"> </w:t>
      </w:r>
      <w:r>
        <w:t>(</w:t>
      </w:r>
      <w:r w:rsidRPr="009C16E1">
        <w:rPr>
          <w:i/>
        </w:rPr>
        <w:t>See</w:t>
      </w:r>
      <w:r>
        <w:t xml:space="preserve"> </w:t>
      </w:r>
      <w:proofErr w:type="spellStart"/>
      <w:r>
        <w:t>Compl</w:t>
      </w:r>
      <w:proofErr w:type="spellEnd"/>
      <w:r>
        <w:t xml:space="preserve">. </w:t>
      </w:r>
      <w:proofErr w:type="gramStart"/>
      <w:r>
        <w:t>¶¶ 138, 141, 157-59, 173</w:t>
      </w:r>
      <w:r w:rsidR="00D73B3F">
        <w:t>-76</w:t>
      </w:r>
      <w:r>
        <w:t>, 188</w:t>
      </w:r>
      <w:r w:rsidR="00D73B3F">
        <w:t>-89</w:t>
      </w:r>
      <w:r>
        <w:t>, 200-02, 214-16, 228-30, 243)</w:t>
      </w:r>
      <w:r w:rsidR="005108AF">
        <w:t>.</w:t>
      </w:r>
      <w:proofErr w:type="gramEnd"/>
      <w:r>
        <w:t xml:space="preserve">  </w:t>
      </w:r>
    </w:p>
    <w:p w:rsidR="00AE1DE4" w:rsidRPr="00AE50CD" w:rsidRDefault="00745D11" w:rsidP="00AE50CD">
      <w:pPr>
        <w:pStyle w:val="ListParagraph"/>
        <w:numPr>
          <w:ilvl w:val="0"/>
          <w:numId w:val="21"/>
        </w:numPr>
        <w:rPr>
          <w:u w:val="single"/>
        </w:rPr>
      </w:pPr>
      <w:r w:rsidRPr="00AE50CD">
        <w:rPr>
          <w:u w:val="single"/>
        </w:rPr>
        <w:t xml:space="preserve">The Complaint </w:t>
      </w:r>
      <w:r w:rsidR="007D1AFE">
        <w:rPr>
          <w:u w:val="single"/>
        </w:rPr>
        <w:t xml:space="preserve">States </w:t>
      </w:r>
      <w:r w:rsidR="00A06DAE">
        <w:rPr>
          <w:u w:val="single"/>
        </w:rPr>
        <w:t>Valid Medicaid Act Claims</w:t>
      </w:r>
    </w:p>
    <w:p w:rsidR="0081410F" w:rsidRPr="00070798" w:rsidRDefault="0081410F" w:rsidP="0081410F">
      <w:pPr>
        <w:pStyle w:val="ListParagraph"/>
        <w:ind w:left="1080"/>
        <w:rPr>
          <w:b/>
          <w:u w:val="single"/>
        </w:rPr>
      </w:pPr>
    </w:p>
    <w:p w:rsidR="00B90DEB" w:rsidRDefault="0085686C" w:rsidP="00D73B3F">
      <w:pPr>
        <w:spacing w:line="480" w:lineRule="auto"/>
        <w:ind w:firstLine="720"/>
      </w:pPr>
      <w:r>
        <w:t>Plaintiffs have alleged that</w:t>
      </w:r>
      <w:r w:rsidR="00AE0844">
        <w:t xml:space="preserve">, through Defendants’ </w:t>
      </w:r>
      <w:r w:rsidR="006541C5">
        <w:t xml:space="preserve">unreasonable </w:t>
      </w:r>
      <w:r w:rsidR="00AE0844">
        <w:t xml:space="preserve">application of </w:t>
      </w:r>
      <w:r>
        <w:t xml:space="preserve">the </w:t>
      </w:r>
      <w:r w:rsidR="00AE0844">
        <w:t xml:space="preserve">State’s definition of medical necessity, </w:t>
      </w:r>
      <w:r w:rsidR="006541C5">
        <w:t>Defendants</w:t>
      </w:r>
      <w:r w:rsidR="00AE0844">
        <w:t xml:space="preserve"> </w:t>
      </w:r>
      <w:r w:rsidR="00166203">
        <w:t>violate</w:t>
      </w:r>
      <w:r w:rsidR="00AE0844">
        <w:t xml:space="preserve"> the EPSDT provisions of the Medicaid Act by failing to</w:t>
      </w:r>
      <w:r w:rsidR="00166203">
        <w:t xml:space="preserve"> ensure the availability of medically necessary services and</w:t>
      </w:r>
      <w:r w:rsidR="00AE0844">
        <w:t xml:space="preserve"> </w:t>
      </w:r>
      <w:r>
        <w:t>“shift</w:t>
      </w:r>
      <w:r w:rsidR="00AE0844">
        <w:t>[</w:t>
      </w:r>
      <w:proofErr w:type="spellStart"/>
      <w:r w:rsidR="00AE0844">
        <w:t>ing</w:t>
      </w:r>
      <w:proofErr w:type="spellEnd"/>
      <w:r w:rsidR="00AE0844">
        <w:t xml:space="preserve">] </w:t>
      </w:r>
      <w:r>
        <w:t xml:space="preserve">the burden for providing skilled nursing services to </w:t>
      </w:r>
      <w:r w:rsidR="00B06393">
        <w:t>[]</w:t>
      </w:r>
      <w:r>
        <w:t xml:space="preserve"> parents or caregivers </w:t>
      </w:r>
      <w:r w:rsidR="00B06393">
        <w:t xml:space="preserve">. . . </w:t>
      </w:r>
      <w:r>
        <w:t xml:space="preserve">who are not skilled nurses.”  </w:t>
      </w:r>
      <w:proofErr w:type="gramStart"/>
      <w:r>
        <w:t>(</w:t>
      </w:r>
      <w:proofErr w:type="spellStart"/>
      <w:r>
        <w:t>Compl</w:t>
      </w:r>
      <w:proofErr w:type="spellEnd"/>
      <w:r>
        <w:t>.</w:t>
      </w:r>
      <w:proofErr w:type="gramEnd"/>
      <w:r>
        <w:t xml:space="preserve"> </w:t>
      </w:r>
      <w:proofErr w:type="gramStart"/>
      <w:r>
        <w:t>¶ 243(c))</w:t>
      </w:r>
      <w:r w:rsidR="005108AF">
        <w:t>.</w:t>
      </w:r>
      <w:proofErr w:type="gramEnd"/>
      <w:r>
        <w:t xml:space="preserve">  </w:t>
      </w:r>
      <w:r w:rsidR="00B90DEB">
        <w:t>The</w:t>
      </w:r>
      <w:r w:rsidR="007D46A6">
        <w:t xml:space="preserve"> Complaint alleges that </w:t>
      </w:r>
      <w:r w:rsidR="00166203">
        <w:t>Defendants</w:t>
      </w:r>
      <w:r w:rsidR="007D46A6">
        <w:t xml:space="preserve"> have</w:t>
      </w:r>
      <w:r w:rsidR="00166203">
        <w:t xml:space="preserve"> den</w:t>
      </w:r>
      <w:r w:rsidR="007D46A6">
        <w:t>ied</w:t>
      </w:r>
      <w:r w:rsidR="00166203">
        <w:t xml:space="preserve"> authorization</w:t>
      </w:r>
      <w:r w:rsidR="007D46A6">
        <w:t>,</w:t>
      </w:r>
      <w:r w:rsidR="00166203">
        <w:t xml:space="preserve"> </w:t>
      </w:r>
      <w:r w:rsidR="007D46A6">
        <w:t xml:space="preserve">sometimes repeatedly over several years, </w:t>
      </w:r>
      <w:r w:rsidR="00166203">
        <w:t xml:space="preserve">for the number of hours of in-home nursing services prescribed by </w:t>
      </w:r>
      <w:r w:rsidR="00B90DEB">
        <w:t>Plaintiffs’</w:t>
      </w:r>
      <w:r w:rsidR="005B7996">
        <w:t xml:space="preserve"> physicians.  </w:t>
      </w:r>
      <w:proofErr w:type="gramStart"/>
      <w:r w:rsidR="005B7996">
        <w:t>(</w:t>
      </w:r>
      <w:proofErr w:type="spellStart"/>
      <w:r w:rsidR="005B7996">
        <w:t>Compl</w:t>
      </w:r>
      <w:proofErr w:type="spellEnd"/>
      <w:r w:rsidR="005B7996">
        <w:t>.</w:t>
      </w:r>
      <w:proofErr w:type="gramEnd"/>
      <w:r w:rsidR="005B7996">
        <w:t xml:space="preserve"> </w:t>
      </w:r>
      <w:proofErr w:type="gramStart"/>
      <w:r w:rsidR="007D46A6">
        <w:t>¶¶ 157-59</w:t>
      </w:r>
      <w:r w:rsidR="00DF25C7">
        <w:t>, 173-76, 188-89, 200-02, 214-16, 228-30).</w:t>
      </w:r>
      <w:proofErr w:type="gramEnd"/>
      <w:r w:rsidR="00DF25C7">
        <w:t xml:space="preserve">  </w:t>
      </w:r>
      <w:r w:rsidR="007D46A6">
        <w:t>It further alleges</w:t>
      </w:r>
      <w:r w:rsidR="00166203">
        <w:t xml:space="preserve"> that </w:t>
      </w:r>
      <w:r w:rsidR="007D46A6">
        <w:t xml:space="preserve">these </w:t>
      </w:r>
      <w:r w:rsidR="00166203">
        <w:t>denial</w:t>
      </w:r>
      <w:r w:rsidR="007D46A6">
        <w:t>s</w:t>
      </w:r>
      <w:r w:rsidR="00166203">
        <w:t xml:space="preserve"> </w:t>
      </w:r>
      <w:r w:rsidR="007D46A6">
        <w:t xml:space="preserve">are </w:t>
      </w:r>
      <w:r w:rsidR="00166203">
        <w:t xml:space="preserve">neither based on </w:t>
      </w:r>
      <w:r w:rsidR="00B90DEB">
        <w:t>Plaintiffs’</w:t>
      </w:r>
      <w:r w:rsidR="00166203">
        <w:t xml:space="preserve"> medical needs </w:t>
      </w:r>
      <w:r w:rsidR="00B90DEB">
        <w:t>nor</w:t>
      </w:r>
      <w:r w:rsidR="00166203">
        <w:t xml:space="preserve"> the ability of their caregivers to supplement </w:t>
      </w:r>
      <w:r w:rsidR="00B90DEB">
        <w:t>necessary</w:t>
      </w:r>
      <w:r w:rsidR="00166203">
        <w:t xml:space="preserve"> care in the absence of </w:t>
      </w:r>
      <w:r w:rsidR="00B90DEB">
        <w:t xml:space="preserve">medically </w:t>
      </w:r>
      <w:r w:rsidR="00166203">
        <w:t xml:space="preserve">prescribed services.  </w:t>
      </w:r>
      <w:proofErr w:type="gramStart"/>
      <w:r w:rsidR="00166203">
        <w:t>(</w:t>
      </w:r>
      <w:proofErr w:type="spellStart"/>
      <w:r w:rsidR="00166203">
        <w:t>Compl</w:t>
      </w:r>
      <w:proofErr w:type="spellEnd"/>
      <w:r w:rsidR="00166203">
        <w:t>.</w:t>
      </w:r>
      <w:proofErr w:type="gramEnd"/>
      <w:r w:rsidR="00DF25C7">
        <w:t xml:space="preserve"> </w:t>
      </w:r>
      <w:proofErr w:type="gramStart"/>
      <w:r w:rsidR="00DF25C7">
        <w:t>¶¶ 156, 172, 187, 199, 213,</w:t>
      </w:r>
      <w:r w:rsidR="002D4984">
        <w:t xml:space="preserve"> </w:t>
      </w:r>
      <w:r w:rsidR="00DF25C7">
        <w:t>227,</w:t>
      </w:r>
      <w:r w:rsidR="00166203">
        <w:t xml:space="preserve"> 243(c))</w:t>
      </w:r>
      <w:r w:rsidR="005108AF">
        <w:t>.</w:t>
      </w:r>
      <w:proofErr w:type="gramEnd"/>
      <w:r w:rsidR="00166203">
        <w:t xml:space="preserve">  </w:t>
      </w:r>
    </w:p>
    <w:p w:rsidR="001E3E80" w:rsidRDefault="00805A28" w:rsidP="00D73B3F">
      <w:pPr>
        <w:spacing w:line="480" w:lineRule="auto"/>
        <w:ind w:firstLine="720"/>
        <w:rPr>
          <w:szCs w:val="24"/>
        </w:rPr>
      </w:pPr>
      <w:r>
        <w:t xml:space="preserve">Defendants assert that </w:t>
      </w:r>
      <w:r w:rsidR="00B90DEB">
        <w:t>their practice of reducing hours to shift care to Plaintiffs’ caregivers</w:t>
      </w:r>
      <w:r w:rsidR="00306B5E">
        <w:t xml:space="preserve"> is in keeping with a rule promulgated by the federal Centers for Medicare and Medicaid Services (</w:t>
      </w:r>
      <w:r w:rsidR="00D73B3F">
        <w:t>“</w:t>
      </w:r>
      <w:r w:rsidR="00306B5E">
        <w:t>federal CMS</w:t>
      </w:r>
      <w:r w:rsidR="00D73B3F">
        <w:t>”</w:t>
      </w:r>
      <w:r w:rsidR="00306B5E">
        <w:t xml:space="preserve">) that </w:t>
      </w:r>
      <w:r w:rsidR="00A70F24">
        <w:t>restricts the categories of</w:t>
      </w:r>
      <w:r w:rsidR="00D55EEB">
        <w:t xml:space="preserve"> </w:t>
      </w:r>
      <w:r w:rsidR="00306B5E">
        <w:t>indiv</w:t>
      </w:r>
      <w:r w:rsidR="00C1657F">
        <w:t>iduals eligible to receive payment for providing personal care services</w:t>
      </w:r>
      <w:r w:rsidR="00D55EEB">
        <w:t>.</w:t>
      </w:r>
      <w:r w:rsidR="00BE0BE5" w:rsidRPr="00BE0BE5">
        <w:t xml:space="preserve"> </w:t>
      </w:r>
      <w:r w:rsidR="00D73B3F">
        <w:t xml:space="preserve"> </w:t>
      </w:r>
      <w:proofErr w:type="gramStart"/>
      <w:r w:rsidR="00D73B3F">
        <w:t>(</w:t>
      </w:r>
      <w:proofErr w:type="spellStart"/>
      <w:r w:rsidR="00BE0BE5">
        <w:t>Defs</w:t>
      </w:r>
      <w:proofErr w:type="spellEnd"/>
      <w:r w:rsidR="00BE0BE5">
        <w:t>.’</w:t>
      </w:r>
      <w:proofErr w:type="gramEnd"/>
      <w:r w:rsidR="002D4984">
        <w:t xml:space="preserve"> </w:t>
      </w:r>
      <w:proofErr w:type="gramStart"/>
      <w:r w:rsidR="00D73B3F">
        <w:t>Mot</w:t>
      </w:r>
      <w:r w:rsidR="00BE0BE5">
        <w:t>.</w:t>
      </w:r>
      <w:proofErr w:type="gramEnd"/>
      <w:r w:rsidR="00BE0BE5">
        <w:t xml:space="preserve"> at 15</w:t>
      </w:r>
      <w:r w:rsidR="00D73B3F">
        <w:t>)</w:t>
      </w:r>
      <w:r w:rsidR="00A909C6">
        <w:t xml:space="preserve"> (</w:t>
      </w:r>
      <w:r w:rsidR="00A909C6" w:rsidRPr="00F049EE">
        <w:t>citing</w:t>
      </w:r>
      <w:r w:rsidR="00D73B3F">
        <w:t xml:space="preserve"> </w:t>
      </w:r>
      <w:r w:rsidR="00D73B3F" w:rsidRPr="00D73B3F">
        <w:rPr>
          <w:i/>
        </w:rPr>
        <w:t>Medicaid Program; Coverage of Personal Care Services</w:t>
      </w:r>
      <w:r w:rsidR="00D73B3F">
        <w:t>,</w:t>
      </w:r>
      <w:r w:rsidR="00A909C6">
        <w:t xml:space="preserve"> 62 Fed. Reg. 47896-01, 47897 (Sep</w:t>
      </w:r>
      <w:r w:rsidR="002D4984">
        <w:t>t</w:t>
      </w:r>
      <w:r w:rsidR="00A909C6">
        <w:t>. 11, 1997))</w:t>
      </w:r>
      <w:r w:rsidR="00BE0BE5">
        <w:t>.</w:t>
      </w:r>
      <w:r w:rsidR="00D55EEB">
        <w:t xml:space="preserve"> </w:t>
      </w:r>
      <w:r w:rsidR="006B7DEF">
        <w:t xml:space="preserve"> </w:t>
      </w:r>
      <w:r w:rsidR="00C1657F">
        <w:t>The rule provides</w:t>
      </w:r>
      <w:r w:rsidR="006B7DEF">
        <w:t xml:space="preserve"> that parents and other legally respo</w:t>
      </w:r>
      <w:r w:rsidR="00C1657F">
        <w:t>nsible individuals are not</w:t>
      </w:r>
      <w:r w:rsidR="006B7DEF">
        <w:t xml:space="preserve"> eligible to receive </w:t>
      </w:r>
      <w:r w:rsidR="00C1657F">
        <w:t xml:space="preserve">financial </w:t>
      </w:r>
      <w:r w:rsidR="006B7DEF">
        <w:t xml:space="preserve">reimbursement for </w:t>
      </w:r>
      <w:r w:rsidR="00C1657F">
        <w:t xml:space="preserve">providing </w:t>
      </w:r>
      <w:r w:rsidR="006B7DEF">
        <w:t xml:space="preserve">personal care services </w:t>
      </w:r>
      <w:r w:rsidR="00C1657F">
        <w:t xml:space="preserve">to their children </w:t>
      </w:r>
      <w:r w:rsidR="006B7DEF">
        <w:t xml:space="preserve">because they are “inherently responsible” for providing </w:t>
      </w:r>
      <w:r w:rsidR="00C1657F">
        <w:t>such</w:t>
      </w:r>
      <w:r w:rsidR="006B7DEF">
        <w:t xml:space="preserve"> care.  </w:t>
      </w:r>
      <w:r w:rsidR="006B7DEF" w:rsidRPr="00A909C6">
        <w:rPr>
          <w:i/>
        </w:rPr>
        <w:t>See</w:t>
      </w:r>
      <w:r w:rsidR="00D73B3F">
        <w:t xml:space="preserve"> 62 Fed. </w:t>
      </w:r>
      <w:proofErr w:type="gramStart"/>
      <w:r w:rsidR="00D73B3F">
        <w:t>Reg. at 47899.</w:t>
      </w:r>
      <w:proofErr w:type="gramEnd"/>
      <w:r w:rsidR="006B7DEF">
        <w:t xml:space="preserve">  </w:t>
      </w:r>
      <w:r w:rsidR="00C1657F">
        <w:t>That rule has nothing to do with the facts at issue here.  Plaintiffs’ parents and caregivers do not seek financial reimbursement for the natural supports they provide to their children.  They seek coverage for medically necessary services for their children.  Defendants cite no authority for the proposition that they can shift the burden of providing medically necessary services, mandated under the EPSDT provisions of the Medicaid Act, to parents and caregivers</w:t>
      </w:r>
      <w:r w:rsidR="007C4804">
        <w:t xml:space="preserve">.  Indeed there is none.  </w:t>
      </w:r>
      <w:r w:rsidR="004230EE">
        <w:t>Although</w:t>
      </w:r>
      <w:r w:rsidR="007C4804">
        <w:t xml:space="preserve"> a state may take into consideration natural supports provided to a Medicaid recipient, it may not compel such supports or require parents or caregivers to become skilled care providers.  </w:t>
      </w:r>
      <w:proofErr w:type="gramStart"/>
      <w:r w:rsidR="00B23C06" w:rsidRPr="00166A6E">
        <w:rPr>
          <w:i/>
        </w:rPr>
        <w:t>Cf</w:t>
      </w:r>
      <w:r w:rsidR="00B23C06">
        <w:t>.</w:t>
      </w:r>
      <w:r w:rsidR="00166A6E">
        <w:t xml:space="preserve"> </w:t>
      </w:r>
      <w:r w:rsidR="00166A6E" w:rsidRPr="00166A6E">
        <w:rPr>
          <w:i/>
        </w:rPr>
        <w:t>Medicaid Program; Community First Choice Option</w:t>
      </w:r>
      <w:r w:rsidR="00166A6E">
        <w:t>,</w:t>
      </w:r>
      <w:r w:rsidR="00B23C06">
        <w:t xml:space="preserve"> </w:t>
      </w:r>
      <w:r w:rsidR="005759FD" w:rsidRPr="005759FD">
        <w:rPr>
          <w:szCs w:val="24"/>
        </w:rPr>
        <w:t>77 F</w:t>
      </w:r>
      <w:r w:rsidR="005759FD">
        <w:rPr>
          <w:szCs w:val="24"/>
        </w:rPr>
        <w:t>ed.</w:t>
      </w:r>
      <w:proofErr w:type="gramEnd"/>
      <w:r w:rsidR="005759FD">
        <w:rPr>
          <w:szCs w:val="24"/>
        </w:rPr>
        <w:t xml:space="preserve"> </w:t>
      </w:r>
      <w:r w:rsidR="005759FD" w:rsidRPr="005759FD">
        <w:rPr>
          <w:szCs w:val="24"/>
        </w:rPr>
        <w:t>R</w:t>
      </w:r>
      <w:r w:rsidR="005759FD">
        <w:rPr>
          <w:szCs w:val="24"/>
        </w:rPr>
        <w:t xml:space="preserve">eg. </w:t>
      </w:r>
      <w:r w:rsidR="005759FD" w:rsidRPr="005759FD">
        <w:rPr>
          <w:szCs w:val="24"/>
        </w:rPr>
        <w:t>26828-01</w:t>
      </w:r>
      <w:r w:rsidR="005759FD">
        <w:rPr>
          <w:szCs w:val="24"/>
        </w:rPr>
        <w:t>, 26856-57 (</w:t>
      </w:r>
      <w:r w:rsidR="00CB6FAB">
        <w:rPr>
          <w:szCs w:val="24"/>
        </w:rPr>
        <w:t>CMS final rule regarding implementation of state plan home and community-based attendant services, noting that CMS “</w:t>
      </w:r>
      <w:r w:rsidR="005759FD" w:rsidRPr="005759FD">
        <w:rPr>
          <w:szCs w:val="24"/>
        </w:rPr>
        <w:t>expect</w:t>
      </w:r>
      <w:r w:rsidR="00CB6FAB">
        <w:rPr>
          <w:szCs w:val="24"/>
        </w:rPr>
        <w:t>[s]</w:t>
      </w:r>
      <w:r w:rsidR="005759FD" w:rsidRPr="005759FD">
        <w:rPr>
          <w:szCs w:val="24"/>
        </w:rPr>
        <w:t xml:space="preserve"> that identification of </w:t>
      </w:r>
      <w:r w:rsidR="005759FD">
        <w:rPr>
          <w:szCs w:val="24"/>
        </w:rPr>
        <w:t>[]</w:t>
      </w:r>
      <w:r w:rsidR="005759FD" w:rsidRPr="005759FD">
        <w:rPr>
          <w:szCs w:val="24"/>
        </w:rPr>
        <w:t xml:space="preserve"> natural, unpaid supports be taken into consideration with the purpose of understanding the level of support an individual has, and should not be used to reduce the level of services provided to an individual unless these unpaid supports are provide</w:t>
      </w:r>
      <w:r w:rsidR="00AE0844">
        <w:rPr>
          <w:szCs w:val="24"/>
        </w:rPr>
        <w:t>d voluntarily to the individual</w:t>
      </w:r>
      <w:r w:rsidR="005759FD">
        <w:rPr>
          <w:szCs w:val="24"/>
        </w:rPr>
        <w:t>”)</w:t>
      </w:r>
      <w:r w:rsidR="006541C5">
        <w:rPr>
          <w:szCs w:val="24"/>
        </w:rPr>
        <w:t>.</w:t>
      </w:r>
    </w:p>
    <w:p w:rsidR="006B7DEF" w:rsidRDefault="00E21C0A" w:rsidP="00816F26">
      <w:pPr>
        <w:spacing w:line="480" w:lineRule="auto"/>
        <w:ind w:firstLine="720"/>
      </w:pPr>
      <w:r>
        <w:t xml:space="preserve">Plaintiffs have </w:t>
      </w:r>
      <w:r w:rsidR="00B90DEB">
        <w:t xml:space="preserve">thus </w:t>
      </w:r>
      <w:r>
        <w:t>stated a valid claim that Defendants have violated the EPSDT provisions of the Medicaid Act by unreasonably applying their definition of medical necessity</w:t>
      </w:r>
      <w:r w:rsidR="00B032A9">
        <w:t>.</w:t>
      </w:r>
      <w:r w:rsidR="004D0747">
        <w:t xml:space="preserve">  </w:t>
      </w:r>
      <w:r w:rsidR="004D0747" w:rsidRPr="004D0747">
        <w:rPr>
          <w:i/>
        </w:rPr>
        <w:t>See Moore</w:t>
      </w:r>
      <w:r w:rsidR="004D0747">
        <w:t xml:space="preserve">, 637 F.3d at 1258 (remanding case to district court </w:t>
      </w:r>
      <w:r w:rsidR="00170188">
        <w:t>for determination</w:t>
      </w:r>
      <w:r w:rsidR="00B06393">
        <w:t xml:space="preserve"> of</w:t>
      </w:r>
      <w:r w:rsidR="00170188">
        <w:t xml:space="preserve"> whether</w:t>
      </w:r>
      <w:r w:rsidR="004D0747">
        <w:t xml:space="preserve"> </w:t>
      </w:r>
      <w:r w:rsidR="00170188">
        <w:t>“limits the state imposed on [plaintiff’s]</w:t>
      </w:r>
      <w:r w:rsidR="004D0747">
        <w:t xml:space="preserve"> physician’s discretion in reducing her hours from 94 to 84 hours a week are not reasonable”)</w:t>
      </w:r>
      <w:r w:rsidR="007D46A6">
        <w:t>.</w:t>
      </w:r>
      <w:r w:rsidR="004D0747">
        <w:t xml:space="preserve">  </w:t>
      </w:r>
      <w:r>
        <w:t>T</w:t>
      </w:r>
      <w:r w:rsidR="00A909C6">
        <w:t xml:space="preserve">he court in </w:t>
      </w:r>
      <w:r w:rsidR="00A909C6" w:rsidRPr="00A909C6">
        <w:rPr>
          <w:i/>
        </w:rPr>
        <w:t>Royal</w:t>
      </w:r>
      <w:r w:rsidR="00A909C6">
        <w:t xml:space="preserve">, discussed </w:t>
      </w:r>
      <w:r w:rsidR="00A909C6" w:rsidRPr="00A909C6">
        <w:rPr>
          <w:i/>
        </w:rPr>
        <w:t>supra</w:t>
      </w:r>
      <w:r w:rsidR="00A909C6">
        <w:t xml:space="preserve">, at </w:t>
      </w:r>
      <w:r w:rsidR="005759FD">
        <w:t>10-11</w:t>
      </w:r>
      <w:r w:rsidR="00A909C6" w:rsidRPr="00010807">
        <w:t>,</w:t>
      </w:r>
      <w:r w:rsidR="00A909C6">
        <w:t xml:space="preserve"> </w:t>
      </w:r>
      <w:r w:rsidR="00816F26">
        <w:t xml:space="preserve">found that Georgia violated the </w:t>
      </w:r>
      <w:r w:rsidR="005759FD">
        <w:t xml:space="preserve">EPSDT provisions of the </w:t>
      </w:r>
      <w:r w:rsidR="00816F26">
        <w:t xml:space="preserve">Medicaid Act by reducing </w:t>
      </w:r>
      <w:r w:rsidR="00543B23">
        <w:t xml:space="preserve">nursing hours prescribed by </w:t>
      </w:r>
      <w:r w:rsidR="00FC3EBB">
        <w:t xml:space="preserve">the </w:t>
      </w:r>
      <w:r w:rsidR="00543B23">
        <w:t xml:space="preserve">treating physician </w:t>
      </w:r>
      <w:r w:rsidR="00FC3EBB">
        <w:t xml:space="preserve">of a child who was medically complex </w:t>
      </w:r>
      <w:r w:rsidR="00543B23">
        <w:t>where it found that “the real reason [for the reduction] was</w:t>
      </w:r>
      <w:r w:rsidR="00A909C6">
        <w:t xml:space="preserve"> not due to an individualized determination of medical necessity, but due to [d</w:t>
      </w:r>
      <w:r w:rsidR="00A25B3D">
        <w:t xml:space="preserve">efendant’s] policy and practice . . . </w:t>
      </w:r>
      <w:r w:rsidR="00A909C6">
        <w:t xml:space="preserve">to wean nursing care and to shift more of the burden of skilled care to his parent caregiver over time.”  </w:t>
      </w:r>
      <w:proofErr w:type="gramStart"/>
      <w:r w:rsidR="00A909C6" w:rsidRPr="00A909C6">
        <w:rPr>
          <w:i/>
        </w:rPr>
        <w:t>Royal</w:t>
      </w:r>
      <w:r w:rsidR="00A909C6">
        <w:t>, 2012 WL 2326115,</w:t>
      </w:r>
      <w:r w:rsidR="00166A6E">
        <w:t xml:space="preserve"> at</w:t>
      </w:r>
      <w:r w:rsidR="00A909C6">
        <w:t xml:space="preserve"> *</w:t>
      </w:r>
      <w:r w:rsidR="006B7DEF">
        <w:t>9</w:t>
      </w:r>
      <w:r w:rsidR="00A25B3D">
        <w:t>.</w:t>
      </w:r>
      <w:proofErr w:type="gramEnd"/>
      <w:r w:rsidR="006B7DEF">
        <w:t xml:space="preserve">  The Court found the application of that policy unreasonable, because the child’s “condition was not improving and his father’s competency to provide skilled care had not increased.” </w:t>
      </w:r>
      <w:r w:rsidR="00A25B3D">
        <w:t xml:space="preserve"> </w:t>
      </w:r>
      <w:r w:rsidR="006B7DEF" w:rsidRPr="00543B23">
        <w:rPr>
          <w:i/>
        </w:rPr>
        <w:t>Id</w:t>
      </w:r>
      <w:r w:rsidR="00166A6E">
        <w:rPr>
          <w:i/>
        </w:rPr>
        <w:t>.</w:t>
      </w:r>
      <w:r w:rsidR="006B7DEF" w:rsidRPr="00A25B3D">
        <w:t>;</w:t>
      </w:r>
      <w:r w:rsidR="006B7DEF">
        <w:rPr>
          <w:i/>
        </w:rPr>
        <w:t xml:space="preserve"> see also </w:t>
      </w:r>
      <w:r w:rsidR="006B7DEF" w:rsidRPr="00543B23">
        <w:rPr>
          <w:i/>
        </w:rPr>
        <w:t>Moore ex rel. Moore v. Cook</w:t>
      </w:r>
      <w:r w:rsidR="006B7DEF">
        <w:t xml:space="preserve">, 2012 WL 1380220, </w:t>
      </w:r>
      <w:r w:rsidR="00166A6E">
        <w:t xml:space="preserve">at </w:t>
      </w:r>
      <w:r w:rsidR="006B7DEF">
        <w:t>*10 (“I am convinced that the real reason for reducing [plaintiff’s] nursing care hours was an unreasonable application of the [defendant’s] policy to wean nursing care and shift more of the burden to her caregiver”)</w:t>
      </w:r>
      <w:r w:rsidR="007D46A6">
        <w:t>.</w:t>
      </w:r>
    </w:p>
    <w:p w:rsidR="006541C5" w:rsidRDefault="006B7DEF" w:rsidP="006541C5">
      <w:pPr>
        <w:spacing w:line="480" w:lineRule="auto"/>
        <w:ind w:firstLine="720"/>
        <w:rPr>
          <w:szCs w:val="24"/>
        </w:rPr>
      </w:pPr>
      <w:r>
        <w:t xml:space="preserve">Like the plaintiffs in </w:t>
      </w:r>
      <w:r w:rsidRPr="006B7DEF">
        <w:rPr>
          <w:i/>
        </w:rPr>
        <w:t>Royal</w:t>
      </w:r>
      <w:r>
        <w:t xml:space="preserve"> and </w:t>
      </w:r>
      <w:r w:rsidRPr="006B7DEF">
        <w:rPr>
          <w:i/>
        </w:rPr>
        <w:t>Moore</w:t>
      </w:r>
      <w:r>
        <w:rPr>
          <w:szCs w:val="24"/>
        </w:rPr>
        <w:t xml:space="preserve">, </w:t>
      </w:r>
      <w:r w:rsidR="006E116B">
        <w:rPr>
          <w:szCs w:val="24"/>
        </w:rPr>
        <w:t xml:space="preserve">Plaintiffs have alleged that their caregivers are </w:t>
      </w:r>
      <w:r w:rsidR="006E116B" w:rsidRPr="00A70F24">
        <w:rPr>
          <w:szCs w:val="24"/>
        </w:rPr>
        <w:t>unable to safely perform</w:t>
      </w:r>
      <w:r w:rsidR="006E116B">
        <w:rPr>
          <w:szCs w:val="24"/>
        </w:rPr>
        <w:t xml:space="preserve"> many of the tasks provided by private duty nursing, either due to the care</w:t>
      </w:r>
      <w:r w:rsidR="00F049EE">
        <w:rPr>
          <w:szCs w:val="24"/>
        </w:rPr>
        <w:t>giver’s lack of skill,</w:t>
      </w:r>
      <w:r w:rsidR="006E116B">
        <w:rPr>
          <w:szCs w:val="24"/>
        </w:rPr>
        <w:t xml:space="preserve"> </w:t>
      </w:r>
      <w:r w:rsidR="004D0747">
        <w:rPr>
          <w:szCs w:val="24"/>
        </w:rPr>
        <w:t xml:space="preserve">or </w:t>
      </w:r>
      <w:r w:rsidR="006E116B">
        <w:rPr>
          <w:szCs w:val="24"/>
        </w:rPr>
        <w:t>unavailability due to responsibility for other members of the family</w:t>
      </w:r>
      <w:r w:rsidR="004D0747">
        <w:rPr>
          <w:szCs w:val="24"/>
        </w:rPr>
        <w:t xml:space="preserve"> or employment outside the home.</w:t>
      </w:r>
      <w:r w:rsidR="006E116B">
        <w:rPr>
          <w:szCs w:val="24"/>
        </w:rPr>
        <w:t xml:space="preserve"> (Compl. </w:t>
      </w:r>
      <w:proofErr w:type="gramStart"/>
      <w:r w:rsidR="006E116B">
        <w:rPr>
          <w:szCs w:val="24"/>
        </w:rPr>
        <w:t>¶</w:t>
      </w:r>
      <w:r w:rsidR="00F049EE">
        <w:rPr>
          <w:szCs w:val="24"/>
        </w:rPr>
        <w:t xml:space="preserve">¶ </w:t>
      </w:r>
      <w:r w:rsidR="006E116B">
        <w:rPr>
          <w:szCs w:val="24"/>
        </w:rPr>
        <w:t>153, 169, 184, 196, 210, 225</w:t>
      </w:r>
      <w:r w:rsidR="00F049EE">
        <w:rPr>
          <w:szCs w:val="24"/>
        </w:rPr>
        <w:t>, 243</w:t>
      </w:r>
      <w:r w:rsidR="00B82D3F">
        <w:rPr>
          <w:szCs w:val="24"/>
        </w:rPr>
        <w:t>(</w:t>
      </w:r>
      <w:r w:rsidR="00F049EE">
        <w:rPr>
          <w:szCs w:val="24"/>
        </w:rPr>
        <w:t>c</w:t>
      </w:r>
      <w:r w:rsidR="00B82D3F">
        <w:rPr>
          <w:szCs w:val="24"/>
        </w:rPr>
        <w:t>)</w:t>
      </w:r>
      <w:r w:rsidR="006E116B">
        <w:rPr>
          <w:szCs w:val="24"/>
        </w:rPr>
        <w:t>).</w:t>
      </w:r>
      <w:proofErr w:type="gramEnd"/>
      <w:r w:rsidR="004D0747">
        <w:rPr>
          <w:szCs w:val="24"/>
        </w:rPr>
        <w:t xml:space="preserve">  Despite the limitations of their caregivers,</w:t>
      </w:r>
      <w:r w:rsidR="00F049EE">
        <w:rPr>
          <w:szCs w:val="24"/>
        </w:rPr>
        <w:t xml:space="preserve"> and </w:t>
      </w:r>
      <w:r w:rsidR="00D464F1">
        <w:rPr>
          <w:szCs w:val="24"/>
        </w:rPr>
        <w:t>lack of c</w:t>
      </w:r>
      <w:r w:rsidR="00F049EE">
        <w:rPr>
          <w:szCs w:val="24"/>
        </w:rPr>
        <w:t xml:space="preserve">hanges in their medical needs, </w:t>
      </w:r>
      <w:r w:rsidR="004D0747">
        <w:rPr>
          <w:szCs w:val="24"/>
        </w:rPr>
        <w:t xml:space="preserve">they </w:t>
      </w:r>
      <w:r w:rsidR="00F049EE">
        <w:rPr>
          <w:szCs w:val="24"/>
        </w:rPr>
        <w:t xml:space="preserve">allege that they </w:t>
      </w:r>
      <w:r w:rsidR="004D0747">
        <w:rPr>
          <w:szCs w:val="24"/>
        </w:rPr>
        <w:t>have still be</w:t>
      </w:r>
      <w:r w:rsidR="00070798">
        <w:rPr>
          <w:szCs w:val="24"/>
        </w:rPr>
        <w:t>en</w:t>
      </w:r>
      <w:r w:rsidR="004D0747">
        <w:rPr>
          <w:szCs w:val="24"/>
        </w:rPr>
        <w:t xml:space="preserve"> subject</w:t>
      </w:r>
      <w:r w:rsidR="00070798">
        <w:rPr>
          <w:szCs w:val="24"/>
        </w:rPr>
        <w:t xml:space="preserve"> to</w:t>
      </w:r>
      <w:r w:rsidR="004D0747">
        <w:rPr>
          <w:szCs w:val="24"/>
        </w:rPr>
        <w:t xml:space="preserve"> </w:t>
      </w:r>
      <w:r>
        <w:rPr>
          <w:szCs w:val="24"/>
        </w:rPr>
        <w:t xml:space="preserve">repeated </w:t>
      </w:r>
      <w:r w:rsidR="004D0747">
        <w:rPr>
          <w:szCs w:val="24"/>
        </w:rPr>
        <w:t>attempts by the State to reduce the number of hours</w:t>
      </w:r>
      <w:r w:rsidR="00D464F1">
        <w:rPr>
          <w:szCs w:val="24"/>
        </w:rPr>
        <w:t xml:space="preserve"> authorized from that</w:t>
      </w:r>
      <w:r w:rsidR="004D0747">
        <w:rPr>
          <w:szCs w:val="24"/>
        </w:rPr>
        <w:t xml:space="preserve"> prescribed by their physicians as medically necessar</w:t>
      </w:r>
      <w:r w:rsidR="00F049EE">
        <w:rPr>
          <w:szCs w:val="24"/>
        </w:rPr>
        <w:t xml:space="preserve">y.  (Compl. </w:t>
      </w:r>
      <w:proofErr w:type="gramStart"/>
      <w:r w:rsidR="00F049EE">
        <w:rPr>
          <w:szCs w:val="24"/>
        </w:rPr>
        <w:t>¶</w:t>
      </w:r>
      <w:r w:rsidR="003179D4">
        <w:rPr>
          <w:szCs w:val="24"/>
        </w:rPr>
        <w:t>¶</w:t>
      </w:r>
      <w:r w:rsidR="005B7996">
        <w:rPr>
          <w:szCs w:val="24"/>
        </w:rPr>
        <w:t xml:space="preserve"> </w:t>
      </w:r>
      <w:r w:rsidR="00F049EE">
        <w:rPr>
          <w:szCs w:val="24"/>
        </w:rPr>
        <w:t>137-41, 156-59, 172</w:t>
      </w:r>
      <w:r w:rsidR="004D0747">
        <w:rPr>
          <w:szCs w:val="24"/>
        </w:rPr>
        <w:t>-75, 18</w:t>
      </w:r>
      <w:r w:rsidR="00F049EE">
        <w:rPr>
          <w:szCs w:val="24"/>
        </w:rPr>
        <w:t>7-89, 199-20</w:t>
      </w:r>
      <w:r w:rsidR="004D0747">
        <w:rPr>
          <w:szCs w:val="24"/>
        </w:rPr>
        <w:t>1, 21</w:t>
      </w:r>
      <w:r w:rsidR="00F049EE">
        <w:rPr>
          <w:szCs w:val="24"/>
        </w:rPr>
        <w:t>3</w:t>
      </w:r>
      <w:r w:rsidR="004D0747">
        <w:rPr>
          <w:szCs w:val="24"/>
        </w:rPr>
        <w:t>-15, 22</w:t>
      </w:r>
      <w:r w:rsidR="00F049EE">
        <w:rPr>
          <w:szCs w:val="24"/>
        </w:rPr>
        <w:t>7</w:t>
      </w:r>
      <w:r w:rsidR="004D0747">
        <w:rPr>
          <w:szCs w:val="24"/>
        </w:rPr>
        <w:t>-30).</w:t>
      </w:r>
      <w:proofErr w:type="gramEnd"/>
      <w:r w:rsidR="004D0747">
        <w:rPr>
          <w:szCs w:val="24"/>
        </w:rPr>
        <w:t xml:space="preserve">   </w:t>
      </w:r>
      <w:r w:rsidR="00E23B8A">
        <w:t xml:space="preserve">For this reason, the Court should deny Defendants’ motion to dismiss Plaintiffs’ </w:t>
      </w:r>
      <w:r w:rsidR="00170188">
        <w:t>EPSDT</w:t>
      </w:r>
      <w:r w:rsidR="00E23B8A">
        <w:t xml:space="preserve"> claims.</w:t>
      </w:r>
      <w:r w:rsidR="00170188">
        <w:rPr>
          <w:rStyle w:val="FootnoteReference"/>
        </w:rPr>
        <w:footnoteReference w:id="8"/>
      </w:r>
      <w:r w:rsidR="006541C5" w:rsidRPr="006541C5">
        <w:rPr>
          <w:i/>
          <w:szCs w:val="24"/>
        </w:rPr>
        <w:t xml:space="preserve"> </w:t>
      </w:r>
      <w:r w:rsidR="005B7996">
        <w:rPr>
          <w:i/>
          <w:szCs w:val="24"/>
        </w:rPr>
        <w:t xml:space="preserve"> </w:t>
      </w:r>
      <w:r w:rsidR="006541C5">
        <w:rPr>
          <w:i/>
          <w:szCs w:val="24"/>
        </w:rPr>
        <w:t>S</w:t>
      </w:r>
      <w:r w:rsidR="006541C5" w:rsidRPr="00AE0844">
        <w:rPr>
          <w:i/>
          <w:szCs w:val="24"/>
        </w:rPr>
        <w:t>ee</w:t>
      </w:r>
      <w:r w:rsidR="006541C5">
        <w:rPr>
          <w:szCs w:val="24"/>
        </w:rPr>
        <w:t xml:space="preserve"> </w:t>
      </w:r>
      <w:r w:rsidR="006541C5" w:rsidRPr="0023624B">
        <w:rPr>
          <w:i/>
          <w:szCs w:val="24"/>
        </w:rPr>
        <w:t>Moore</w:t>
      </w:r>
      <w:r w:rsidR="006541C5">
        <w:rPr>
          <w:szCs w:val="24"/>
        </w:rPr>
        <w:t xml:space="preserve">, 637 F.3d at 1259 (“When a state Medicaid agency has exceeded the bounds of its authority by adopting an unreasonable definition of medical necessity or by failing to ensure that a required service is ‘sufficient in amount, duration, and scope to reasonably achieve its purpose,’ aggrieved Medicaid recipients have recourse in the courts.”).   </w:t>
      </w:r>
      <w:r w:rsidR="006541C5" w:rsidRPr="005759FD">
        <w:rPr>
          <w:szCs w:val="24"/>
        </w:rPr>
        <w:t xml:space="preserve"> </w:t>
      </w:r>
    </w:p>
    <w:p w:rsidR="00170188" w:rsidRPr="00AC107F" w:rsidRDefault="00170188" w:rsidP="006B7DEF">
      <w:pPr>
        <w:spacing w:line="480" w:lineRule="auto"/>
        <w:ind w:firstLine="720"/>
      </w:pPr>
      <w:r>
        <w:t xml:space="preserve">Plaintiffs have also stated a valid claim for violation of the “reasonable promptness” provision of the Medicaid Act, which requires that </w:t>
      </w:r>
      <w:r w:rsidR="00A06DAE">
        <w:t xml:space="preserve">Medicaid-eligible individuals receive medical assistance with reasonable promptness.  </w:t>
      </w:r>
      <w:r w:rsidR="008A057B" w:rsidRPr="008A057B">
        <w:rPr>
          <w:i/>
        </w:rPr>
        <w:t>See</w:t>
      </w:r>
      <w:r w:rsidR="008A057B">
        <w:t xml:space="preserve"> </w:t>
      </w:r>
      <w:r w:rsidR="00A06DAE">
        <w:t xml:space="preserve">42 U.S.C. § </w:t>
      </w:r>
      <w:proofErr w:type="gramStart"/>
      <w:r w:rsidR="00A06DAE">
        <w:t>1396a(</w:t>
      </w:r>
      <w:proofErr w:type="gramEnd"/>
      <w:r w:rsidR="00A06DAE">
        <w:t xml:space="preserve">a)(8).  </w:t>
      </w:r>
      <w:r w:rsidR="00AC107F">
        <w:t xml:space="preserve">Defendants argue that a “reasonable promptness” claim is available only where there has been an outright denial of </w:t>
      </w:r>
      <w:r w:rsidR="008A057B">
        <w:t xml:space="preserve">all </w:t>
      </w:r>
      <w:r w:rsidR="00AC107F">
        <w:t xml:space="preserve">services or extended delay in the provision of medically necessary services.  </w:t>
      </w:r>
      <w:proofErr w:type="gramStart"/>
      <w:r w:rsidR="00AC107F">
        <w:t>(</w:t>
      </w:r>
      <w:proofErr w:type="spellStart"/>
      <w:r w:rsidR="00AC107F">
        <w:t>Defs</w:t>
      </w:r>
      <w:proofErr w:type="spellEnd"/>
      <w:r w:rsidR="00AC107F">
        <w:t>.’</w:t>
      </w:r>
      <w:proofErr w:type="gramEnd"/>
      <w:r w:rsidR="00AC107F">
        <w:t xml:space="preserve"> </w:t>
      </w:r>
      <w:proofErr w:type="gramStart"/>
      <w:r w:rsidR="008A057B">
        <w:t>Mot</w:t>
      </w:r>
      <w:r w:rsidR="00AC107F">
        <w:t>.</w:t>
      </w:r>
      <w:proofErr w:type="gramEnd"/>
      <w:r w:rsidR="00AC107F">
        <w:t xml:space="preserve"> </w:t>
      </w:r>
      <w:proofErr w:type="gramStart"/>
      <w:r w:rsidR="00AC107F">
        <w:t>at</w:t>
      </w:r>
      <w:proofErr w:type="gramEnd"/>
      <w:r w:rsidR="00AC107F">
        <w:t xml:space="preserve"> 16)</w:t>
      </w:r>
      <w:r w:rsidR="005108AF">
        <w:t>.</w:t>
      </w:r>
      <w:r w:rsidR="00AC107F">
        <w:t xml:space="preserve">  State Medicaid programs must, however, provide all medically necessary services with reasonable promptness.  </w:t>
      </w:r>
      <w:proofErr w:type="spellStart"/>
      <w:r w:rsidR="00AC107F">
        <w:rPr>
          <w:i/>
        </w:rPr>
        <w:t>Boulet</w:t>
      </w:r>
      <w:proofErr w:type="spellEnd"/>
      <w:r w:rsidR="00AC107F">
        <w:rPr>
          <w:i/>
        </w:rPr>
        <w:t xml:space="preserve"> v. </w:t>
      </w:r>
      <w:proofErr w:type="spellStart"/>
      <w:r w:rsidR="00AC107F">
        <w:rPr>
          <w:i/>
        </w:rPr>
        <w:t>Cellucci</w:t>
      </w:r>
      <w:proofErr w:type="spellEnd"/>
      <w:r w:rsidR="00AC107F">
        <w:t>, 107 F. Supp. 2d 61, 79 (D. Mass. 2000) (holding that medical assistance must correspond to the individual’s needs and the requirement of reasonable promptness is “not satisfied by other services the plaintiffs are receiving or m</w:t>
      </w:r>
      <w:r w:rsidR="000A438B">
        <w:t>ight be offered”)</w:t>
      </w:r>
      <w:r w:rsidR="008A057B">
        <w:t>.  The provision of some services does not relieve Defendants of their duty to provide all medically necessary services with reasonable promptness.</w:t>
      </w:r>
      <w:r w:rsidR="00AC107F">
        <w:t xml:space="preserve">  </w:t>
      </w:r>
      <w:r w:rsidR="008A057B" w:rsidRPr="008A057B">
        <w:rPr>
          <w:i/>
        </w:rPr>
        <w:t>See id</w:t>
      </w:r>
      <w:r w:rsidR="00743167">
        <w:rPr>
          <w:i/>
        </w:rPr>
        <w:t>.</w:t>
      </w:r>
      <w:r w:rsidR="008A057B">
        <w:t xml:space="preserve">; </w:t>
      </w:r>
      <w:r w:rsidR="000A438B">
        <w:rPr>
          <w:i/>
        </w:rPr>
        <w:t>Rosie D. v. Romney</w:t>
      </w:r>
      <w:r w:rsidR="000A438B">
        <w:t>, 410 F. Supp. 2d 18, 27-28 (D. Mass. 2006) (</w:t>
      </w:r>
      <w:r w:rsidR="008A057B">
        <w:t>finding that a violation of the r</w:t>
      </w:r>
      <w:r w:rsidR="00D464F1">
        <w:t>equirement</w:t>
      </w:r>
      <w:r w:rsidR="008A057B">
        <w:t xml:space="preserve"> of reasonable promptness may occur where plaintiffs are denied access to services that correspond with their needs).</w:t>
      </w:r>
      <w:r w:rsidR="00AC107F">
        <w:t xml:space="preserve">  Accordingly, the </w:t>
      </w:r>
      <w:r w:rsidR="000A438B">
        <w:t>Court should deny Defendant</w:t>
      </w:r>
      <w:r w:rsidR="007D46A6">
        <w:t>s’ motion to dismiss Plaintiffs’ EPSDT claims</w:t>
      </w:r>
      <w:r w:rsidR="00AC107F">
        <w:t xml:space="preserve">. </w:t>
      </w:r>
    </w:p>
    <w:p w:rsidR="00B60745" w:rsidRPr="00743167" w:rsidRDefault="00070798" w:rsidP="00B15ADC">
      <w:pPr>
        <w:pStyle w:val="ListParagraph"/>
        <w:numPr>
          <w:ilvl w:val="0"/>
          <w:numId w:val="21"/>
        </w:numPr>
        <w:rPr>
          <w:bCs/>
          <w:szCs w:val="24"/>
          <w:u w:val="single"/>
        </w:rPr>
      </w:pPr>
      <w:r w:rsidRPr="00743167">
        <w:rPr>
          <w:bCs/>
          <w:szCs w:val="24"/>
          <w:u w:val="single"/>
        </w:rPr>
        <w:t xml:space="preserve">Defendants Misstate the Requirements of </w:t>
      </w:r>
      <w:r w:rsidR="00B15ADC" w:rsidRPr="00743167">
        <w:rPr>
          <w:bCs/>
          <w:szCs w:val="24"/>
          <w:u w:val="single"/>
        </w:rPr>
        <w:t>the Nursing Home Reform Amendments to the Medicaid Act</w:t>
      </w:r>
    </w:p>
    <w:p w:rsidR="00B15ADC" w:rsidRPr="00B15ADC" w:rsidRDefault="00B15ADC" w:rsidP="00B15ADC">
      <w:pPr>
        <w:pStyle w:val="ListParagraph"/>
        <w:ind w:left="1080"/>
        <w:rPr>
          <w:b/>
          <w:bCs/>
          <w:szCs w:val="24"/>
          <w:u w:val="single"/>
        </w:rPr>
      </w:pPr>
    </w:p>
    <w:p w:rsidR="00104B34" w:rsidRDefault="00A06DAE" w:rsidP="00A17C04">
      <w:pPr>
        <w:spacing w:line="480" w:lineRule="auto"/>
        <w:ind w:firstLine="720"/>
      </w:pPr>
      <w:r>
        <w:rPr>
          <w:bCs/>
          <w:szCs w:val="24"/>
        </w:rPr>
        <w:t>Defendants assert that the facts alleged by Plaintiffs do not give rise to a violation of the Pre-Admission Screening and Resident Review (“PAS</w:t>
      </w:r>
      <w:r w:rsidR="00693842">
        <w:rPr>
          <w:bCs/>
          <w:szCs w:val="24"/>
        </w:rPr>
        <w:t>R</w:t>
      </w:r>
      <w:r>
        <w:rPr>
          <w:bCs/>
          <w:szCs w:val="24"/>
        </w:rPr>
        <w:t xml:space="preserve">R”) provisions of the Nursing Home Reform Amendments </w:t>
      </w:r>
      <w:r w:rsidR="00D464F1">
        <w:rPr>
          <w:bCs/>
          <w:szCs w:val="24"/>
        </w:rPr>
        <w:t>to</w:t>
      </w:r>
      <w:r>
        <w:rPr>
          <w:bCs/>
          <w:szCs w:val="24"/>
        </w:rPr>
        <w:t xml:space="preserve"> the Medicaid Act.  </w:t>
      </w:r>
      <w:r w:rsidR="00104B34">
        <w:rPr>
          <w:bCs/>
          <w:szCs w:val="24"/>
        </w:rPr>
        <w:t>PASRR</w:t>
      </w:r>
      <w:r w:rsidR="00070798">
        <w:rPr>
          <w:bCs/>
          <w:szCs w:val="24"/>
        </w:rPr>
        <w:t xml:space="preserve"> </w:t>
      </w:r>
      <w:r w:rsidR="00104B34">
        <w:rPr>
          <w:bCs/>
          <w:szCs w:val="24"/>
        </w:rPr>
        <w:t xml:space="preserve">requires state authorities </w:t>
      </w:r>
      <w:r w:rsidR="00070798">
        <w:rPr>
          <w:bCs/>
          <w:szCs w:val="24"/>
        </w:rPr>
        <w:t xml:space="preserve">to </w:t>
      </w:r>
      <w:r w:rsidR="00693842">
        <w:rPr>
          <w:bCs/>
          <w:szCs w:val="24"/>
        </w:rPr>
        <w:t xml:space="preserve">screen </w:t>
      </w:r>
      <w:r w:rsidR="00104B34">
        <w:rPr>
          <w:bCs/>
          <w:szCs w:val="24"/>
        </w:rPr>
        <w:t xml:space="preserve">all </w:t>
      </w:r>
      <w:r w:rsidR="00693842">
        <w:rPr>
          <w:bCs/>
          <w:szCs w:val="24"/>
        </w:rPr>
        <w:t xml:space="preserve">individuals </w:t>
      </w:r>
      <w:r w:rsidR="00104B34">
        <w:rPr>
          <w:bCs/>
          <w:szCs w:val="24"/>
        </w:rPr>
        <w:t>slated for admission to a nursing facility for mental illness or developmental disabilities</w:t>
      </w:r>
      <w:r w:rsidR="00693842">
        <w:rPr>
          <w:bCs/>
          <w:szCs w:val="24"/>
        </w:rPr>
        <w:t>, in order</w:t>
      </w:r>
      <w:r w:rsidR="00104B34">
        <w:rPr>
          <w:bCs/>
          <w:szCs w:val="24"/>
        </w:rPr>
        <w:t xml:space="preserve"> to prevent the</w:t>
      </w:r>
      <w:r w:rsidR="00693842">
        <w:rPr>
          <w:bCs/>
          <w:szCs w:val="24"/>
        </w:rPr>
        <w:t xml:space="preserve"> admission of persons whose needs could be met in the community.</w:t>
      </w:r>
      <w:r w:rsidR="00104B34">
        <w:rPr>
          <w:bCs/>
          <w:szCs w:val="24"/>
        </w:rPr>
        <w:t xml:space="preserve">  </w:t>
      </w:r>
      <w:r w:rsidR="00104B34" w:rsidRPr="00CA6ADC">
        <w:rPr>
          <w:bCs/>
          <w:i/>
          <w:szCs w:val="24"/>
        </w:rPr>
        <w:t xml:space="preserve">See </w:t>
      </w:r>
      <w:r w:rsidR="00104B34">
        <w:rPr>
          <w:bCs/>
          <w:szCs w:val="24"/>
        </w:rPr>
        <w:t xml:space="preserve">42 U.S.C. § 1396r(e)(7).  </w:t>
      </w:r>
      <w:r w:rsidR="00693842">
        <w:rPr>
          <w:bCs/>
          <w:szCs w:val="24"/>
        </w:rPr>
        <w:t xml:space="preserve">If </w:t>
      </w:r>
      <w:r w:rsidR="00010807">
        <w:rPr>
          <w:bCs/>
          <w:szCs w:val="24"/>
        </w:rPr>
        <w:t xml:space="preserve">a </w:t>
      </w:r>
      <w:r w:rsidR="00010807" w:rsidRPr="00F12A24">
        <w:rPr>
          <w:szCs w:val="24"/>
        </w:rPr>
        <w:t>person</w:t>
      </w:r>
      <w:r w:rsidR="00010807">
        <w:rPr>
          <w:szCs w:val="24"/>
        </w:rPr>
        <w:t xml:space="preserve"> </w:t>
      </w:r>
      <w:r w:rsidR="00A67A74" w:rsidRPr="00F12A24">
        <w:rPr>
          <w:szCs w:val="24"/>
        </w:rPr>
        <w:t xml:space="preserve">seeking admission to a nursing facility </w:t>
      </w:r>
      <w:r w:rsidR="00693842">
        <w:rPr>
          <w:szCs w:val="24"/>
        </w:rPr>
        <w:t>is identified as having a</w:t>
      </w:r>
      <w:r w:rsidR="00010807">
        <w:rPr>
          <w:szCs w:val="24"/>
        </w:rPr>
        <w:t>n intellectual or</w:t>
      </w:r>
      <w:r w:rsidR="00693842">
        <w:rPr>
          <w:szCs w:val="24"/>
        </w:rPr>
        <w:t xml:space="preserve"> </w:t>
      </w:r>
      <w:r w:rsidR="00A67A74" w:rsidRPr="00F12A24">
        <w:rPr>
          <w:szCs w:val="24"/>
        </w:rPr>
        <w:t>developmental disability</w:t>
      </w:r>
      <w:r w:rsidR="00A67A74">
        <w:rPr>
          <w:szCs w:val="24"/>
        </w:rPr>
        <w:t xml:space="preserve"> or mental illness</w:t>
      </w:r>
      <w:r w:rsidR="00693842">
        <w:rPr>
          <w:szCs w:val="24"/>
        </w:rPr>
        <w:t xml:space="preserve"> </w:t>
      </w:r>
      <w:r w:rsidR="00D464F1">
        <w:rPr>
          <w:szCs w:val="24"/>
        </w:rPr>
        <w:t>during</w:t>
      </w:r>
      <w:r w:rsidR="00010807">
        <w:rPr>
          <w:szCs w:val="24"/>
        </w:rPr>
        <w:t xml:space="preserve"> </w:t>
      </w:r>
      <w:r w:rsidR="00693842">
        <w:rPr>
          <w:szCs w:val="24"/>
        </w:rPr>
        <w:t xml:space="preserve">what is known as a Level I Review, the individual </w:t>
      </w:r>
      <w:r w:rsidR="00A67A74" w:rsidRPr="00F12A24">
        <w:rPr>
          <w:szCs w:val="24"/>
        </w:rPr>
        <w:t xml:space="preserve">must be assessed to determine, </w:t>
      </w:r>
      <w:r w:rsidR="00A67A74" w:rsidRPr="00F12A24">
        <w:rPr>
          <w:i/>
          <w:szCs w:val="24"/>
        </w:rPr>
        <w:t>inter alia</w:t>
      </w:r>
      <w:r w:rsidR="00A67A74" w:rsidRPr="00F12A24">
        <w:rPr>
          <w:szCs w:val="24"/>
        </w:rPr>
        <w:t>, whether “the individual’s total needs are such that his or her needs can be met in an appropriate community setting</w:t>
      </w:r>
      <w:r w:rsidR="00693842">
        <w:rPr>
          <w:szCs w:val="24"/>
        </w:rPr>
        <w:t>.</w:t>
      </w:r>
      <w:r w:rsidR="00A67A74" w:rsidRPr="00F12A24">
        <w:rPr>
          <w:szCs w:val="24"/>
        </w:rPr>
        <w:t>”</w:t>
      </w:r>
      <w:r w:rsidR="00010807">
        <w:rPr>
          <w:szCs w:val="24"/>
        </w:rPr>
        <w:t xml:space="preserve">  </w:t>
      </w:r>
      <w:r w:rsidR="00743167">
        <w:rPr>
          <w:szCs w:val="24"/>
        </w:rPr>
        <w:t>42 C.F.R. § 483.132(a</w:t>
      </w:r>
      <w:proofErr w:type="gramStart"/>
      <w:r w:rsidR="00743167">
        <w:rPr>
          <w:szCs w:val="24"/>
        </w:rPr>
        <w:t>)(</w:t>
      </w:r>
      <w:proofErr w:type="gramEnd"/>
      <w:r w:rsidR="00743167">
        <w:rPr>
          <w:szCs w:val="24"/>
        </w:rPr>
        <w:t>1)</w:t>
      </w:r>
      <w:r w:rsidR="00693842">
        <w:rPr>
          <w:szCs w:val="24"/>
        </w:rPr>
        <w:t>.  The person must also be assessed to determine</w:t>
      </w:r>
      <w:r w:rsidR="00A67A74" w:rsidRPr="00F12A24">
        <w:rPr>
          <w:szCs w:val="24"/>
        </w:rPr>
        <w:t xml:space="preserve"> “[i]f specialized services are recommended,</w:t>
      </w:r>
      <w:r w:rsidR="00693842">
        <w:rPr>
          <w:szCs w:val="24"/>
        </w:rPr>
        <w:t>”</w:t>
      </w:r>
      <w:r w:rsidR="00A67A74" w:rsidRPr="00F12A24">
        <w:rPr>
          <w:szCs w:val="24"/>
        </w:rPr>
        <w:t xml:space="preserve"> </w:t>
      </w:r>
      <w:r w:rsidR="00881332">
        <w:rPr>
          <w:szCs w:val="24"/>
        </w:rPr>
        <w:t xml:space="preserve">and if so, </w:t>
      </w:r>
      <w:r w:rsidR="00693842">
        <w:rPr>
          <w:szCs w:val="24"/>
        </w:rPr>
        <w:t>to</w:t>
      </w:r>
      <w:r w:rsidR="00A67A74" w:rsidRPr="00F12A24">
        <w:rPr>
          <w:szCs w:val="24"/>
        </w:rPr>
        <w:t xml:space="preserve"> </w:t>
      </w:r>
      <w:r w:rsidR="00364095">
        <w:rPr>
          <w:szCs w:val="24"/>
        </w:rPr>
        <w:t>“</w:t>
      </w:r>
      <w:proofErr w:type="spellStart"/>
      <w:r w:rsidR="00A67A74" w:rsidRPr="00F12A24">
        <w:rPr>
          <w:szCs w:val="24"/>
        </w:rPr>
        <w:t>identif</w:t>
      </w:r>
      <w:proofErr w:type="spellEnd"/>
      <w:r w:rsidR="00A67A74" w:rsidRPr="00F12A24">
        <w:rPr>
          <w:szCs w:val="24"/>
        </w:rPr>
        <w:t>[y] the specific</w:t>
      </w:r>
      <w:r w:rsidR="00743167">
        <w:rPr>
          <w:szCs w:val="24"/>
        </w:rPr>
        <w:t xml:space="preserve"> . . .</w:t>
      </w:r>
      <w:r w:rsidR="00A67A74" w:rsidRPr="00F12A24">
        <w:rPr>
          <w:szCs w:val="24"/>
        </w:rPr>
        <w:t xml:space="preserve"> services required to meet the evaluated individual’s needs.” 42 C.F.R. § 483.128(i</w:t>
      </w:r>
      <w:proofErr w:type="gramStart"/>
      <w:r w:rsidR="00A67A74" w:rsidRPr="00F12A24">
        <w:rPr>
          <w:szCs w:val="24"/>
        </w:rPr>
        <w:t>)(</w:t>
      </w:r>
      <w:proofErr w:type="gramEnd"/>
      <w:r w:rsidR="00A67A74" w:rsidRPr="00F12A24">
        <w:rPr>
          <w:szCs w:val="24"/>
        </w:rPr>
        <w:t xml:space="preserve">5); </w:t>
      </w:r>
      <w:r w:rsidR="00A67A74" w:rsidRPr="00743167">
        <w:rPr>
          <w:i/>
          <w:szCs w:val="24"/>
        </w:rPr>
        <w:t>s</w:t>
      </w:r>
      <w:r w:rsidR="00A67A74" w:rsidRPr="00F12A24">
        <w:rPr>
          <w:i/>
          <w:szCs w:val="24"/>
        </w:rPr>
        <w:t>ee also</w:t>
      </w:r>
      <w:r w:rsidR="00A67A74" w:rsidRPr="00F12A24">
        <w:rPr>
          <w:szCs w:val="24"/>
        </w:rPr>
        <w:t xml:space="preserve"> 42 C.F.R. § 483.136. </w:t>
      </w:r>
      <w:r w:rsidR="00010807">
        <w:rPr>
          <w:szCs w:val="24"/>
        </w:rPr>
        <w:t xml:space="preserve"> </w:t>
      </w:r>
      <w:r w:rsidR="00A67A74" w:rsidRPr="00F12A24">
        <w:rPr>
          <w:szCs w:val="24"/>
        </w:rPr>
        <w:t xml:space="preserve">This evaluation is referred to as the Level II PASRR review.  </w:t>
      </w:r>
      <w:proofErr w:type="gramStart"/>
      <w:r w:rsidR="00A67A74" w:rsidRPr="00F12A24">
        <w:rPr>
          <w:szCs w:val="24"/>
        </w:rPr>
        <w:t>42 C.F.R. § 483.128(a).</w:t>
      </w:r>
      <w:proofErr w:type="gramEnd"/>
      <w:r w:rsidR="00693842">
        <w:rPr>
          <w:szCs w:val="24"/>
        </w:rPr>
        <w:t xml:space="preserve">  The Medicaid Act </w:t>
      </w:r>
      <w:r w:rsidR="001E3E80">
        <w:rPr>
          <w:szCs w:val="24"/>
        </w:rPr>
        <w:t xml:space="preserve">further </w:t>
      </w:r>
      <w:r w:rsidR="00693842">
        <w:rPr>
          <w:szCs w:val="24"/>
        </w:rPr>
        <w:t xml:space="preserve">requires that an individual </w:t>
      </w:r>
      <w:r w:rsidR="00F37984">
        <w:rPr>
          <w:szCs w:val="24"/>
        </w:rPr>
        <w:t xml:space="preserve">must be promptly </w:t>
      </w:r>
      <w:r w:rsidR="00693842">
        <w:rPr>
          <w:szCs w:val="24"/>
        </w:rPr>
        <w:t>re-evaluated</w:t>
      </w:r>
      <w:r w:rsidR="007D46A6">
        <w:rPr>
          <w:szCs w:val="24"/>
        </w:rPr>
        <w:t xml:space="preserve"> to determine whether her needs can be met in the community</w:t>
      </w:r>
      <w:r w:rsidR="00693842">
        <w:rPr>
          <w:szCs w:val="24"/>
        </w:rPr>
        <w:t xml:space="preserve"> </w:t>
      </w:r>
      <w:r w:rsidR="00F37984">
        <w:rPr>
          <w:szCs w:val="24"/>
        </w:rPr>
        <w:t xml:space="preserve">when there has been a significant change in physical or </w:t>
      </w:r>
      <w:r w:rsidR="00010807">
        <w:rPr>
          <w:szCs w:val="24"/>
        </w:rPr>
        <w:t xml:space="preserve">mental condition.  42 U.S.C. </w:t>
      </w:r>
      <w:r w:rsidR="00F37984">
        <w:rPr>
          <w:szCs w:val="24"/>
        </w:rPr>
        <w:t xml:space="preserve">§ </w:t>
      </w:r>
      <w:proofErr w:type="gramStart"/>
      <w:r w:rsidR="00F37984">
        <w:rPr>
          <w:szCs w:val="24"/>
        </w:rPr>
        <w:t>1396r(</w:t>
      </w:r>
      <w:proofErr w:type="gramEnd"/>
      <w:r w:rsidR="00F37984">
        <w:rPr>
          <w:szCs w:val="24"/>
        </w:rPr>
        <w:t>e)(7)</w:t>
      </w:r>
      <w:r w:rsidR="00881332">
        <w:rPr>
          <w:szCs w:val="24"/>
        </w:rPr>
        <w:t>(B)</w:t>
      </w:r>
      <w:r w:rsidR="00F37984">
        <w:rPr>
          <w:szCs w:val="24"/>
        </w:rPr>
        <w:t>(iii).</w:t>
      </w:r>
    </w:p>
    <w:p w:rsidR="00A17C04" w:rsidRPr="00A06DAE" w:rsidRDefault="00A06DAE" w:rsidP="00A06DAE">
      <w:pPr>
        <w:spacing w:line="480" w:lineRule="auto"/>
        <w:ind w:firstLine="720"/>
        <w:rPr>
          <w:bCs/>
          <w:szCs w:val="24"/>
        </w:rPr>
      </w:pPr>
      <w:r>
        <w:rPr>
          <w:bCs/>
          <w:szCs w:val="24"/>
        </w:rPr>
        <w:t>Defendants assert that they need not conduct a Level II PASSR evaluation of children who, like T.</w:t>
      </w:r>
      <w:r w:rsidR="00743167">
        <w:rPr>
          <w:bCs/>
          <w:szCs w:val="24"/>
        </w:rPr>
        <w:t>H., are ventilator</w:t>
      </w:r>
      <w:r w:rsidR="00FC3EBB">
        <w:rPr>
          <w:bCs/>
          <w:szCs w:val="24"/>
        </w:rPr>
        <w:t xml:space="preserve"> </w:t>
      </w:r>
      <w:r w:rsidR="00743167">
        <w:rPr>
          <w:bCs/>
          <w:szCs w:val="24"/>
        </w:rPr>
        <w:t xml:space="preserve">dependent.  </w:t>
      </w:r>
      <w:r>
        <w:rPr>
          <w:bCs/>
          <w:szCs w:val="24"/>
        </w:rPr>
        <w:t xml:space="preserve">Defendants are incorrect.  </w:t>
      </w:r>
      <w:r w:rsidR="00A17C04">
        <w:t xml:space="preserve">The PASRR regulations enable states to expedite the admission of certain categories of individuals to nursing care by providing for advance categorical determinations. </w:t>
      </w:r>
      <w:r w:rsidR="00881332">
        <w:t xml:space="preserve"> </w:t>
      </w:r>
      <w:r w:rsidR="00693842" w:rsidRPr="00C952F1">
        <w:rPr>
          <w:i/>
        </w:rPr>
        <w:t>See</w:t>
      </w:r>
      <w:r w:rsidR="00693842">
        <w:t xml:space="preserve"> 42 C.F.R. § 483.130(c).</w:t>
      </w:r>
      <w:r w:rsidR="00F37984">
        <w:t xml:space="preserve">  Included among t</w:t>
      </w:r>
      <w:r w:rsidR="00A17C04">
        <w:t>he categories a state may use for advance determinations are</w:t>
      </w:r>
      <w:r w:rsidR="00F37984">
        <w:t xml:space="preserve"> those individuals who are identified, using </w:t>
      </w:r>
      <w:r w:rsidR="00CB6FAB">
        <w:t xml:space="preserve">sufficient </w:t>
      </w:r>
      <w:r w:rsidR="00F37984">
        <w:t>current and accurate data, as having</w:t>
      </w:r>
    </w:p>
    <w:p w:rsidR="00A06DAE" w:rsidRDefault="00010807" w:rsidP="00010807">
      <w:pPr>
        <w:ind w:left="720" w:right="720"/>
        <w:jc w:val="both"/>
      </w:pPr>
      <w:r>
        <w:t>[s]</w:t>
      </w:r>
      <w:proofErr w:type="spellStart"/>
      <w:r w:rsidR="00A17C04">
        <w:t>evere</w:t>
      </w:r>
      <w:proofErr w:type="spellEnd"/>
      <w:r w:rsidR="00A17C04">
        <w:t xml:space="preserve"> physical illnesses such as coma, ventilator dependence, functioning at a brain stem level, or diagnoses such as chronic obstructi</w:t>
      </w:r>
      <w:r w:rsidR="00D464F1">
        <w:t>ve pulmonary disease, Parkinson’s disease, Huntington’</w:t>
      </w:r>
      <w:r w:rsidR="00A17C04">
        <w:t xml:space="preserve">s disease, amyotrophic lateral sclerosis, and congestive heart failure </w:t>
      </w:r>
      <w:r w:rsidR="004960ED" w:rsidRPr="004960ED">
        <w:rPr>
          <w:i/>
        </w:rPr>
        <w:t>which result in a level of impairment so severe that the individual could not be expected to benefit from specialized services</w:t>
      </w:r>
      <w:r w:rsidR="00693842">
        <w:t>.</w:t>
      </w:r>
    </w:p>
    <w:p w:rsidR="00A06DAE" w:rsidRDefault="00A06DAE" w:rsidP="00A06DAE">
      <w:pPr>
        <w:ind w:left="720" w:right="720"/>
      </w:pPr>
    </w:p>
    <w:p w:rsidR="00EF00DC" w:rsidRDefault="00693842" w:rsidP="00104B34">
      <w:pPr>
        <w:spacing w:line="480" w:lineRule="auto"/>
      </w:pPr>
      <w:r w:rsidRPr="0078787C">
        <w:t>42 C.F.R. § 483.130(d</w:t>
      </w:r>
      <w:proofErr w:type="gramStart"/>
      <w:r w:rsidRPr="0078787C">
        <w:t>)(</w:t>
      </w:r>
      <w:proofErr w:type="gramEnd"/>
      <w:r w:rsidRPr="0078787C">
        <w:t>3)</w:t>
      </w:r>
      <w:r>
        <w:t xml:space="preserve"> (emphasis added)</w:t>
      </w:r>
      <w:r w:rsidR="00CB6FAB">
        <w:t xml:space="preserve">; </w:t>
      </w:r>
      <w:r w:rsidR="004960ED" w:rsidRPr="004960ED">
        <w:rPr>
          <w:i/>
        </w:rPr>
        <w:t>see also</w:t>
      </w:r>
      <w:r w:rsidR="00CB6FAB">
        <w:t xml:space="preserve"> 42 C.F.R. § 483.132 (describing data to be relied on in making determination)</w:t>
      </w:r>
      <w:r w:rsidRPr="0078787C">
        <w:t>.</w:t>
      </w:r>
      <w:r>
        <w:t xml:space="preserve">  </w:t>
      </w:r>
      <w:r w:rsidR="00A06DAE">
        <w:t>T</w:t>
      </w:r>
      <w:r w:rsidR="00A17C04">
        <w:t>he</w:t>
      </w:r>
      <w:r w:rsidR="00EF00DC">
        <w:t xml:space="preserve"> single</w:t>
      </w:r>
      <w:r w:rsidR="00A17C04">
        <w:t xml:space="preserve"> fact that a child is </w:t>
      </w:r>
      <w:r w:rsidR="00A17C04" w:rsidRPr="00FC3EBB">
        <w:t>ventilator dependent</w:t>
      </w:r>
      <w:r w:rsidR="00A06DAE">
        <w:t>, however,</w:t>
      </w:r>
      <w:r w:rsidR="00A17C04">
        <w:t xml:space="preserve"> does not </w:t>
      </w:r>
      <w:r w:rsidR="00EF00DC">
        <w:t>permit a state to bypass or abbreviate the PAS</w:t>
      </w:r>
      <w:r>
        <w:t>R</w:t>
      </w:r>
      <w:r w:rsidR="00EF00DC">
        <w:t>R process</w:t>
      </w:r>
      <w:r w:rsidR="00A17C04">
        <w:t xml:space="preserve">.  </w:t>
      </w:r>
      <w:r w:rsidR="00EF00DC">
        <w:t>Instead, th</w:t>
      </w:r>
      <w:r w:rsidR="00A06DAE">
        <w:t>ere must be a determination</w:t>
      </w:r>
      <w:r w:rsidR="00EF00DC">
        <w:t>, based on current and accurate medica</w:t>
      </w:r>
      <w:r w:rsidR="00F37984">
        <w:t>l</w:t>
      </w:r>
      <w:r w:rsidR="00EF00DC">
        <w:t xml:space="preserve"> information, </w:t>
      </w:r>
      <w:r w:rsidR="00A06DAE">
        <w:t xml:space="preserve">that an individual </w:t>
      </w:r>
      <w:r w:rsidR="00EF00DC">
        <w:t>has “a level of impairment so severe that the individual could not be expected to benefit from specialized services.”</w:t>
      </w:r>
      <w:r w:rsidR="00EF00DC">
        <w:rPr>
          <w:rStyle w:val="FootnoteReference"/>
        </w:rPr>
        <w:footnoteReference w:id="9"/>
      </w:r>
      <w:r w:rsidR="00881332">
        <w:t xml:space="preserve"> </w:t>
      </w:r>
      <w:r w:rsidR="00A17C04">
        <w:t xml:space="preserve"> </w:t>
      </w:r>
      <w:r w:rsidR="00EF00DC">
        <w:t>Defendants do not suggest that such a determination was ever made with respect to T.H.</w:t>
      </w:r>
      <w:r w:rsidR="00A06DAE">
        <w:t xml:space="preserve"> or similarly situated </w:t>
      </w:r>
      <w:r w:rsidR="00010807">
        <w:t>proposed class members</w:t>
      </w:r>
      <w:r w:rsidR="00A06DAE">
        <w:t>.</w:t>
      </w:r>
    </w:p>
    <w:p w:rsidR="002A4C0C" w:rsidRDefault="00104B34" w:rsidP="00EF00DC">
      <w:pPr>
        <w:spacing w:line="480" w:lineRule="auto"/>
        <w:ind w:firstLine="720"/>
        <w:rPr>
          <w:bCs/>
          <w:szCs w:val="24"/>
        </w:rPr>
      </w:pPr>
      <w:r>
        <w:t xml:space="preserve">T.H. alleges a clear violation of PASRR.  </w:t>
      </w:r>
      <w:r w:rsidR="001F2674">
        <w:t>She has pled ample facts alleging that she lived in a community setting with medical foster parents for many years, and desires to and would benefit from return to that setting with app</w:t>
      </w:r>
      <w:r w:rsidR="00D464F1">
        <w:t xml:space="preserve">ropriate services and supports.  </w:t>
      </w:r>
      <w:proofErr w:type="gramStart"/>
      <w:r w:rsidR="001F2674">
        <w:t>(</w:t>
      </w:r>
      <w:r w:rsidR="001F2674" w:rsidRPr="004960ED">
        <w:rPr>
          <w:i/>
        </w:rPr>
        <w:t>See</w:t>
      </w:r>
      <w:r w:rsidR="001F2674">
        <w:t xml:space="preserve"> </w:t>
      </w:r>
      <w:proofErr w:type="spellStart"/>
      <w:r w:rsidR="001F2674">
        <w:t>Compl</w:t>
      </w:r>
      <w:proofErr w:type="spellEnd"/>
      <w:r w:rsidR="001F2674">
        <w:t>.</w:t>
      </w:r>
      <w:proofErr w:type="gramEnd"/>
      <w:r w:rsidR="001F2674">
        <w:t xml:space="preserve"> </w:t>
      </w:r>
      <w:proofErr w:type="gramStart"/>
      <w:r w:rsidR="001F2674">
        <w:t>¶¶ 116, 125, 236)</w:t>
      </w:r>
      <w:r w:rsidR="005108AF">
        <w:t>.</w:t>
      </w:r>
      <w:proofErr w:type="gramEnd"/>
      <w:r w:rsidR="001F2674">
        <w:t xml:space="preserve">   These allegations do not suggest that her diagnosis has resulted “</w:t>
      </w:r>
      <w:r w:rsidR="001F2674" w:rsidRPr="00904A48">
        <w:rPr>
          <w:szCs w:val="24"/>
        </w:rPr>
        <w:t xml:space="preserve">in a level of impairment so severe that the </w:t>
      </w:r>
      <w:r w:rsidR="001F2674">
        <w:rPr>
          <w:szCs w:val="24"/>
        </w:rPr>
        <w:t>[she]</w:t>
      </w:r>
      <w:r w:rsidR="001F2674" w:rsidRPr="00904A48">
        <w:rPr>
          <w:szCs w:val="24"/>
        </w:rPr>
        <w:t xml:space="preserve"> could not be expected to be</w:t>
      </w:r>
      <w:r w:rsidR="001F2674">
        <w:rPr>
          <w:szCs w:val="24"/>
        </w:rPr>
        <w:t>nefit from specialized services.</w:t>
      </w:r>
      <w:r w:rsidR="001F2674">
        <w:t xml:space="preserve">”  Nor do Defendants offer any evidence </w:t>
      </w:r>
      <w:r w:rsidR="0033116F">
        <w:t>that they have made this individualized determination</w:t>
      </w:r>
      <w:r w:rsidR="001F2674">
        <w:t xml:space="preserve">.  </w:t>
      </w:r>
      <w:r w:rsidR="0033116F">
        <w:t xml:space="preserve">T.H. alleges, however, that she </w:t>
      </w:r>
      <w:r w:rsidR="00A27601">
        <w:t>has neither been considered for placement in the community</w:t>
      </w:r>
      <w:r w:rsidR="001F2674">
        <w:t>,</w:t>
      </w:r>
      <w:r w:rsidR="00A27601">
        <w:t xml:space="preserve"> nor</w:t>
      </w:r>
      <w:r>
        <w:t xml:space="preserve"> </w:t>
      </w:r>
      <w:r w:rsidR="00A27601">
        <w:t xml:space="preserve">assessed </w:t>
      </w:r>
      <w:r>
        <w:t xml:space="preserve">for </w:t>
      </w:r>
      <w:r w:rsidR="00A27601">
        <w:t xml:space="preserve">necessary </w:t>
      </w:r>
      <w:r>
        <w:t>specialized services</w:t>
      </w:r>
      <w:r w:rsidR="001F2674">
        <w:t>,</w:t>
      </w:r>
      <w:r>
        <w:t xml:space="preserve"> under </w:t>
      </w:r>
      <w:r w:rsidR="001F2674">
        <w:t xml:space="preserve">a </w:t>
      </w:r>
      <w:r>
        <w:t>PASRR</w:t>
      </w:r>
      <w:r w:rsidR="00A27601">
        <w:t xml:space="preserve"> </w:t>
      </w:r>
      <w:r w:rsidR="001F2674">
        <w:t xml:space="preserve">Level II evaluation since </w:t>
      </w:r>
      <w:r w:rsidR="0033116F">
        <w:t>she entered</w:t>
      </w:r>
      <w:r w:rsidR="001F2674">
        <w:t xml:space="preserve"> the nursing facility</w:t>
      </w:r>
      <w:r>
        <w:t xml:space="preserve">.  </w:t>
      </w:r>
      <w:proofErr w:type="gramStart"/>
      <w:r w:rsidR="00E23B8A">
        <w:t>(</w:t>
      </w:r>
      <w:r w:rsidRPr="00C7044B">
        <w:rPr>
          <w:i/>
        </w:rPr>
        <w:t>See</w:t>
      </w:r>
      <w:r>
        <w:t xml:space="preserve"> Compl.</w:t>
      </w:r>
      <w:proofErr w:type="gramEnd"/>
      <w:r>
        <w:t xml:space="preserve"> </w:t>
      </w:r>
      <w:proofErr w:type="gramStart"/>
      <w:r w:rsidR="003179D4">
        <w:rPr>
          <w:szCs w:val="24"/>
        </w:rPr>
        <w:t>¶</w:t>
      </w:r>
      <w:r>
        <w:t>¶ 111-12</w:t>
      </w:r>
      <w:r w:rsidR="00E23B8A">
        <w:t>)</w:t>
      </w:r>
      <w:r w:rsidR="005108AF">
        <w:t>.</w:t>
      </w:r>
      <w:proofErr w:type="gramEnd"/>
      <w:r>
        <w:t xml:space="preserve">  </w:t>
      </w:r>
      <w:r w:rsidR="001F2674">
        <w:t xml:space="preserve"> </w:t>
      </w:r>
      <w:r w:rsidR="00A27601">
        <w:t>Defendants</w:t>
      </w:r>
      <w:r w:rsidR="000C4ED1">
        <w:t xml:space="preserve"> merely assert that Plaintiff T.H.’s status as ventilator dependent permit</w:t>
      </w:r>
      <w:r w:rsidR="00CB6FAB">
        <w:t>s</w:t>
      </w:r>
      <w:r w:rsidR="000C4ED1">
        <w:t xml:space="preserve"> Defendants to </w:t>
      </w:r>
      <w:r w:rsidR="00540434">
        <w:t>bypass</w:t>
      </w:r>
      <w:r w:rsidR="00CB6FAB">
        <w:t xml:space="preserve"> </w:t>
      </w:r>
      <w:r w:rsidR="000C4ED1">
        <w:t xml:space="preserve">their </w:t>
      </w:r>
      <w:r w:rsidR="00A27601">
        <w:t xml:space="preserve">ongoing </w:t>
      </w:r>
      <w:r w:rsidR="000C4ED1">
        <w:t xml:space="preserve">responsibility under federal law to determine </w:t>
      </w:r>
      <w:r w:rsidR="00CB6FAB">
        <w:t xml:space="preserve">individually and specifically </w:t>
      </w:r>
      <w:r w:rsidR="00A27601">
        <w:t>the appropriateness of nursing facility services</w:t>
      </w:r>
      <w:r w:rsidR="000C4ED1">
        <w:t xml:space="preserve">. </w:t>
      </w:r>
      <w:r w:rsidR="0033116F">
        <w:t xml:space="preserve"> </w:t>
      </w:r>
      <w:proofErr w:type="gramStart"/>
      <w:r w:rsidR="00D464F1">
        <w:t>(</w:t>
      </w:r>
      <w:r w:rsidR="0033116F" w:rsidRPr="004960ED">
        <w:rPr>
          <w:i/>
        </w:rPr>
        <w:t>See</w:t>
      </w:r>
      <w:r w:rsidR="0033116F">
        <w:t xml:space="preserve"> </w:t>
      </w:r>
      <w:proofErr w:type="spellStart"/>
      <w:r w:rsidR="0033116F">
        <w:t>Defs</w:t>
      </w:r>
      <w:proofErr w:type="spellEnd"/>
      <w:r w:rsidR="0033116F">
        <w:t>.’</w:t>
      </w:r>
      <w:proofErr w:type="gramEnd"/>
      <w:r w:rsidR="0033116F">
        <w:t xml:space="preserve"> </w:t>
      </w:r>
      <w:proofErr w:type="gramStart"/>
      <w:r w:rsidR="0033116F">
        <w:t>Mot.</w:t>
      </w:r>
      <w:proofErr w:type="gramEnd"/>
      <w:r w:rsidR="0033116F">
        <w:t xml:space="preserve"> </w:t>
      </w:r>
      <w:proofErr w:type="gramStart"/>
      <w:r w:rsidR="0033116F">
        <w:t>at</w:t>
      </w:r>
      <w:proofErr w:type="gramEnd"/>
      <w:r w:rsidR="0033116F">
        <w:t xml:space="preserve"> 18-19</w:t>
      </w:r>
      <w:r w:rsidR="00D464F1">
        <w:t>)</w:t>
      </w:r>
      <w:r w:rsidR="0033116F">
        <w:t xml:space="preserve">.  This is incorrect.  </w:t>
      </w:r>
      <w:r w:rsidR="0033116F">
        <w:rPr>
          <w:i/>
        </w:rPr>
        <w:t>Cf.</w:t>
      </w:r>
      <w:r w:rsidR="0033116F">
        <w:t xml:space="preserve"> </w:t>
      </w:r>
      <w:r w:rsidR="002A4C0C" w:rsidRPr="002A4C0C">
        <w:rPr>
          <w:bCs/>
          <w:i/>
          <w:szCs w:val="24"/>
        </w:rPr>
        <w:t>Joseph S.</w:t>
      </w:r>
      <w:r w:rsidR="00881332">
        <w:rPr>
          <w:bCs/>
          <w:i/>
          <w:szCs w:val="24"/>
        </w:rPr>
        <w:t xml:space="preserve"> v. Hogan</w:t>
      </w:r>
      <w:r w:rsidR="002A4C0C" w:rsidRPr="002A4C0C">
        <w:rPr>
          <w:bCs/>
          <w:szCs w:val="24"/>
        </w:rPr>
        <w:t>, 561 F. Supp. 2d</w:t>
      </w:r>
      <w:r w:rsidR="00881332">
        <w:rPr>
          <w:bCs/>
          <w:szCs w:val="24"/>
        </w:rPr>
        <w:t xml:space="preserve"> 280,</w:t>
      </w:r>
      <w:r w:rsidR="002A4C0C" w:rsidRPr="002A4C0C">
        <w:rPr>
          <w:bCs/>
          <w:szCs w:val="24"/>
        </w:rPr>
        <w:t xml:space="preserve"> 305 </w:t>
      </w:r>
      <w:r w:rsidR="00881332">
        <w:rPr>
          <w:bCs/>
          <w:szCs w:val="24"/>
        </w:rPr>
        <w:t xml:space="preserve">(E.D.N.Y. 2008) </w:t>
      </w:r>
      <w:r w:rsidR="002A4C0C" w:rsidRPr="002A4C0C">
        <w:rPr>
          <w:bCs/>
          <w:szCs w:val="24"/>
        </w:rPr>
        <w:t>(</w:t>
      </w:r>
      <w:r w:rsidR="002A4C0C">
        <w:rPr>
          <w:bCs/>
          <w:szCs w:val="24"/>
        </w:rPr>
        <w:t>holding</w:t>
      </w:r>
      <w:r w:rsidR="002A4C0C" w:rsidRPr="002A4C0C">
        <w:rPr>
          <w:bCs/>
          <w:szCs w:val="24"/>
        </w:rPr>
        <w:t xml:space="preserve"> plaintiffs</w:t>
      </w:r>
      <w:r w:rsidR="002A4C0C">
        <w:rPr>
          <w:bCs/>
          <w:szCs w:val="24"/>
        </w:rPr>
        <w:t xml:space="preserve"> pled </w:t>
      </w:r>
      <w:r w:rsidR="002A4C0C" w:rsidRPr="002A4C0C">
        <w:rPr>
          <w:bCs/>
          <w:szCs w:val="24"/>
        </w:rPr>
        <w:t xml:space="preserve">PASRR claim sufficiently where complaint stated that defendants failed, </w:t>
      </w:r>
      <w:r w:rsidR="002A4C0C" w:rsidRPr="002A4C0C">
        <w:rPr>
          <w:bCs/>
          <w:i/>
          <w:szCs w:val="24"/>
        </w:rPr>
        <w:t>inter alia</w:t>
      </w:r>
      <w:r w:rsidR="002A4C0C" w:rsidRPr="002A4C0C">
        <w:rPr>
          <w:bCs/>
          <w:szCs w:val="24"/>
        </w:rPr>
        <w:t xml:space="preserve">, to “to conduct resident reviews when notified by the nursing homes of significant changes in an individual’s condition, </w:t>
      </w:r>
      <w:r w:rsidR="003179D4">
        <w:rPr>
          <w:bCs/>
          <w:szCs w:val="24"/>
        </w:rPr>
        <w:t>. . .</w:t>
      </w:r>
      <w:r w:rsidR="002A4C0C" w:rsidRPr="002A4C0C">
        <w:rPr>
          <w:bCs/>
          <w:szCs w:val="24"/>
        </w:rPr>
        <w:t xml:space="preserve"> to ensure that an appropriate evaluation is made as part of the resident review process,</w:t>
      </w:r>
      <w:r w:rsidR="003179D4" w:rsidRPr="003179D4">
        <w:rPr>
          <w:bCs/>
          <w:szCs w:val="24"/>
        </w:rPr>
        <w:t xml:space="preserve"> </w:t>
      </w:r>
      <w:r w:rsidR="003179D4">
        <w:rPr>
          <w:bCs/>
          <w:szCs w:val="24"/>
        </w:rPr>
        <w:t>. . .</w:t>
      </w:r>
      <w:r w:rsidR="002A4C0C" w:rsidRPr="002A4C0C">
        <w:rPr>
          <w:bCs/>
          <w:szCs w:val="24"/>
        </w:rPr>
        <w:t xml:space="preserve"> [and] to provide plaintiffs with copies of their evalu</w:t>
      </w:r>
      <w:r w:rsidR="00E23B8A">
        <w:rPr>
          <w:bCs/>
          <w:szCs w:val="24"/>
        </w:rPr>
        <w:t>ations and PASRR determinations</w:t>
      </w:r>
      <w:r w:rsidR="002A4C0C" w:rsidRPr="002A4C0C">
        <w:rPr>
          <w:bCs/>
          <w:szCs w:val="24"/>
        </w:rPr>
        <w:t>”) (internal citations omitted)</w:t>
      </w:r>
      <w:r w:rsidR="00E23B8A">
        <w:rPr>
          <w:bCs/>
          <w:szCs w:val="24"/>
        </w:rPr>
        <w:t>.</w:t>
      </w:r>
    </w:p>
    <w:p w:rsidR="001A3A49" w:rsidRDefault="001A3A49" w:rsidP="00EF00DC">
      <w:pPr>
        <w:spacing w:line="480" w:lineRule="auto"/>
        <w:ind w:firstLine="720"/>
        <w:rPr>
          <w:bCs/>
          <w:szCs w:val="24"/>
        </w:rPr>
      </w:pPr>
      <w:r>
        <w:rPr>
          <w:bCs/>
          <w:szCs w:val="24"/>
        </w:rPr>
        <w:t>Defendants also argue that Plaintiffs have not set forth sufficient factual allegations in support of their claim that the PAS</w:t>
      </w:r>
      <w:r w:rsidR="003E0772">
        <w:rPr>
          <w:bCs/>
          <w:szCs w:val="24"/>
        </w:rPr>
        <w:t>R</w:t>
      </w:r>
      <w:r>
        <w:rPr>
          <w:bCs/>
          <w:szCs w:val="24"/>
        </w:rPr>
        <w:t xml:space="preserve">R program does not adequately assess “whether a child with mental illness or mental retardation needs any specialized </w:t>
      </w:r>
      <w:r w:rsidR="001928FB">
        <w:rPr>
          <w:bCs/>
          <w:szCs w:val="24"/>
        </w:rPr>
        <w:t xml:space="preserve">habilitative </w:t>
      </w:r>
      <w:r>
        <w:rPr>
          <w:bCs/>
          <w:szCs w:val="24"/>
        </w:rPr>
        <w:t xml:space="preserve">services.”  </w:t>
      </w:r>
      <w:proofErr w:type="gramStart"/>
      <w:r>
        <w:rPr>
          <w:bCs/>
          <w:szCs w:val="24"/>
        </w:rPr>
        <w:t>(</w:t>
      </w:r>
      <w:proofErr w:type="spellStart"/>
      <w:r>
        <w:rPr>
          <w:bCs/>
          <w:szCs w:val="24"/>
        </w:rPr>
        <w:t>Defs</w:t>
      </w:r>
      <w:proofErr w:type="spellEnd"/>
      <w:r>
        <w:rPr>
          <w:bCs/>
          <w:szCs w:val="24"/>
        </w:rPr>
        <w:t>.’</w:t>
      </w:r>
      <w:proofErr w:type="gramEnd"/>
      <w:r>
        <w:rPr>
          <w:bCs/>
          <w:szCs w:val="24"/>
        </w:rPr>
        <w:t xml:space="preserve"> </w:t>
      </w:r>
      <w:proofErr w:type="gramStart"/>
      <w:r w:rsidR="001928FB">
        <w:rPr>
          <w:bCs/>
          <w:szCs w:val="24"/>
        </w:rPr>
        <w:t>Mot</w:t>
      </w:r>
      <w:r>
        <w:rPr>
          <w:bCs/>
          <w:szCs w:val="24"/>
        </w:rPr>
        <w:t>.</w:t>
      </w:r>
      <w:proofErr w:type="gramEnd"/>
      <w:r w:rsidR="00EE0D06">
        <w:rPr>
          <w:bCs/>
          <w:szCs w:val="24"/>
        </w:rPr>
        <w:t xml:space="preserve"> </w:t>
      </w:r>
      <w:proofErr w:type="gramStart"/>
      <w:r w:rsidR="00EE0D06">
        <w:rPr>
          <w:bCs/>
          <w:szCs w:val="24"/>
        </w:rPr>
        <w:t>at</w:t>
      </w:r>
      <w:proofErr w:type="gramEnd"/>
      <w:r>
        <w:rPr>
          <w:bCs/>
          <w:szCs w:val="24"/>
        </w:rPr>
        <w:t xml:space="preserve"> 20)</w:t>
      </w:r>
      <w:r w:rsidR="00546606">
        <w:rPr>
          <w:bCs/>
          <w:szCs w:val="24"/>
        </w:rPr>
        <w:t>.</w:t>
      </w:r>
      <w:r>
        <w:rPr>
          <w:bCs/>
          <w:szCs w:val="24"/>
        </w:rPr>
        <w:t xml:space="preserve">  But Plaintiff</w:t>
      </w:r>
      <w:r w:rsidR="00EE0D06">
        <w:rPr>
          <w:bCs/>
          <w:szCs w:val="24"/>
        </w:rPr>
        <w:t>s specifically allege that T.H. and</w:t>
      </w:r>
      <w:r>
        <w:rPr>
          <w:bCs/>
          <w:szCs w:val="24"/>
        </w:rPr>
        <w:t xml:space="preserve"> A.C., as well as others similarly situated, did not receive Level II evaluations to determine whether they need specialized </w:t>
      </w:r>
      <w:r w:rsidR="00010807">
        <w:rPr>
          <w:bCs/>
          <w:szCs w:val="24"/>
        </w:rPr>
        <w:t xml:space="preserve">services.  </w:t>
      </w:r>
      <w:proofErr w:type="gramStart"/>
      <w:r w:rsidR="00010807">
        <w:rPr>
          <w:bCs/>
          <w:szCs w:val="24"/>
        </w:rPr>
        <w:t>(</w:t>
      </w:r>
      <w:r w:rsidR="001928FB" w:rsidRPr="001928FB">
        <w:rPr>
          <w:bCs/>
          <w:i/>
          <w:szCs w:val="24"/>
        </w:rPr>
        <w:t>See</w:t>
      </w:r>
      <w:r w:rsidR="001928FB">
        <w:rPr>
          <w:bCs/>
          <w:szCs w:val="24"/>
        </w:rPr>
        <w:t xml:space="preserve"> </w:t>
      </w:r>
      <w:proofErr w:type="spellStart"/>
      <w:r w:rsidR="00010807">
        <w:rPr>
          <w:bCs/>
          <w:szCs w:val="24"/>
        </w:rPr>
        <w:t>Compl</w:t>
      </w:r>
      <w:proofErr w:type="spellEnd"/>
      <w:r w:rsidR="00010807">
        <w:rPr>
          <w:bCs/>
          <w:szCs w:val="24"/>
        </w:rPr>
        <w:t>.</w:t>
      </w:r>
      <w:proofErr w:type="gramEnd"/>
      <w:r w:rsidR="00010807">
        <w:rPr>
          <w:bCs/>
          <w:szCs w:val="24"/>
        </w:rPr>
        <w:t xml:space="preserve"> </w:t>
      </w:r>
      <w:proofErr w:type="gramStart"/>
      <w:r w:rsidR="00010807">
        <w:rPr>
          <w:bCs/>
          <w:szCs w:val="24"/>
        </w:rPr>
        <w:t>¶¶ 112, 131</w:t>
      </w:r>
      <w:r w:rsidR="00881332">
        <w:rPr>
          <w:bCs/>
          <w:szCs w:val="24"/>
        </w:rPr>
        <w:t xml:space="preserve">, </w:t>
      </w:r>
      <w:r w:rsidR="001928FB">
        <w:rPr>
          <w:bCs/>
          <w:szCs w:val="24"/>
        </w:rPr>
        <w:t>296, 298</w:t>
      </w:r>
      <w:r w:rsidR="00010807">
        <w:rPr>
          <w:bCs/>
          <w:szCs w:val="24"/>
        </w:rPr>
        <w:t>)</w:t>
      </w:r>
      <w:r w:rsidR="00546606">
        <w:rPr>
          <w:bCs/>
          <w:szCs w:val="24"/>
        </w:rPr>
        <w:t>.</w:t>
      </w:r>
      <w:proofErr w:type="gramEnd"/>
      <w:r w:rsidR="00010807">
        <w:rPr>
          <w:bCs/>
          <w:szCs w:val="24"/>
        </w:rPr>
        <w:t xml:space="preserve">  </w:t>
      </w:r>
      <w:r>
        <w:rPr>
          <w:bCs/>
          <w:szCs w:val="24"/>
        </w:rPr>
        <w:t xml:space="preserve">Moreover, Defendants themselves </w:t>
      </w:r>
      <w:r w:rsidR="00CD257F">
        <w:rPr>
          <w:bCs/>
          <w:szCs w:val="24"/>
        </w:rPr>
        <w:t>admit</w:t>
      </w:r>
      <w:r>
        <w:rPr>
          <w:bCs/>
          <w:szCs w:val="24"/>
        </w:rPr>
        <w:t xml:space="preserve"> that they do no Level II assessment of children like T.H. and A.C., who are ventilator dependent</w:t>
      </w:r>
      <w:r w:rsidR="00574335">
        <w:rPr>
          <w:bCs/>
          <w:szCs w:val="24"/>
        </w:rPr>
        <w:t>, to identify the specialized services that they need</w:t>
      </w:r>
      <w:r>
        <w:rPr>
          <w:bCs/>
          <w:szCs w:val="24"/>
        </w:rPr>
        <w:t xml:space="preserve">. </w:t>
      </w:r>
      <w:r w:rsidR="001928FB">
        <w:rPr>
          <w:bCs/>
          <w:szCs w:val="24"/>
        </w:rPr>
        <w:t xml:space="preserve"> </w:t>
      </w:r>
      <w:proofErr w:type="gramStart"/>
      <w:r w:rsidR="001928FB">
        <w:rPr>
          <w:bCs/>
          <w:szCs w:val="24"/>
        </w:rPr>
        <w:t>(</w:t>
      </w:r>
      <w:r w:rsidR="001928FB" w:rsidRPr="001928FB">
        <w:rPr>
          <w:bCs/>
          <w:i/>
          <w:szCs w:val="24"/>
        </w:rPr>
        <w:t>See</w:t>
      </w:r>
      <w:r w:rsidR="001928FB">
        <w:rPr>
          <w:bCs/>
          <w:szCs w:val="24"/>
        </w:rPr>
        <w:t xml:space="preserve"> </w:t>
      </w:r>
      <w:proofErr w:type="spellStart"/>
      <w:r w:rsidR="001928FB">
        <w:rPr>
          <w:bCs/>
          <w:szCs w:val="24"/>
        </w:rPr>
        <w:t>Defs</w:t>
      </w:r>
      <w:proofErr w:type="spellEnd"/>
      <w:r w:rsidR="001928FB">
        <w:rPr>
          <w:bCs/>
          <w:szCs w:val="24"/>
        </w:rPr>
        <w:t>.’</w:t>
      </w:r>
      <w:proofErr w:type="gramEnd"/>
      <w:r w:rsidR="001928FB">
        <w:rPr>
          <w:bCs/>
          <w:szCs w:val="24"/>
        </w:rPr>
        <w:t xml:space="preserve"> </w:t>
      </w:r>
      <w:proofErr w:type="gramStart"/>
      <w:r w:rsidR="001928FB">
        <w:rPr>
          <w:bCs/>
          <w:szCs w:val="24"/>
        </w:rPr>
        <w:t>Mot.</w:t>
      </w:r>
      <w:proofErr w:type="gramEnd"/>
      <w:r w:rsidR="001928FB">
        <w:rPr>
          <w:bCs/>
          <w:szCs w:val="24"/>
        </w:rPr>
        <w:t xml:space="preserve"> </w:t>
      </w:r>
      <w:proofErr w:type="gramStart"/>
      <w:r w:rsidR="001928FB">
        <w:rPr>
          <w:bCs/>
          <w:szCs w:val="24"/>
        </w:rPr>
        <w:t>at</w:t>
      </w:r>
      <w:proofErr w:type="gramEnd"/>
      <w:r w:rsidR="001928FB">
        <w:rPr>
          <w:bCs/>
          <w:szCs w:val="24"/>
        </w:rPr>
        <w:t xml:space="preserve"> 18, 20)</w:t>
      </w:r>
      <w:r w:rsidR="00546606">
        <w:rPr>
          <w:bCs/>
          <w:szCs w:val="24"/>
        </w:rPr>
        <w:t>.</w:t>
      </w:r>
      <w:r>
        <w:rPr>
          <w:bCs/>
          <w:szCs w:val="24"/>
        </w:rPr>
        <w:t xml:space="preserve"> </w:t>
      </w:r>
      <w:r w:rsidR="00CD257F">
        <w:rPr>
          <w:bCs/>
          <w:szCs w:val="24"/>
        </w:rPr>
        <w:t xml:space="preserve"> </w:t>
      </w:r>
      <w:r>
        <w:rPr>
          <w:bCs/>
          <w:szCs w:val="24"/>
        </w:rPr>
        <w:t>Thus, they cannot seriously dispute that Plaintiffs have sufficiently alleged they received no adequate or appropriate PAS</w:t>
      </w:r>
      <w:r w:rsidR="003E0772">
        <w:rPr>
          <w:bCs/>
          <w:szCs w:val="24"/>
        </w:rPr>
        <w:t>R</w:t>
      </w:r>
      <w:r>
        <w:rPr>
          <w:bCs/>
          <w:szCs w:val="24"/>
        </w:rPr>
        <w:t xml:space="preserve">R assessment.   </w:t>
      </w:r>
    </w:p>
    <w:p w:rsidR="001A3A49" w:rsidRPr="00EF00DC" w:rsidRDefault="001A3A49" w:rsidP="00EF00DC">
      <w:pPr>
        <w:spacing w:line="480" w:lineRule="auto"/>
        <w:ind w:firstLine="720"/>
        <w:rPr>
          <w:szCs w:val="24"/>
        </w:rPr>
      </w:pPr>
      <w:r>
        <w:rPr>
          <w:bCs/>
          <w:szCs w:val="24"/>
        </w:rPr>
        <w:t xml:space="preserve">Defendants further argue that </w:t>
      </w:r>
      <w:r w:rsidR="00714D07">
        <w:rPr>
          <w:bCs/>
          <w:szCs w:val="24"/>
        </w:rPr>
        <w:t xml:space="preserve">there are no factual allegations in the complaint that would support a reasonable inference that </w:t>
      </w:r>
      <w:r w:rsidR="00D464F1">
        <w:rPr>
          <w:bCs/>
          <w:szCs w:val="24"/>
        </w:rPr>
        <w:t xml:space="preserve">the </w:t>
      </w:r>
      <w:r w:rsidR="00714D07">
        <w:rPr>
          <w:bCs/>
          <w:szCs w:val="24"/>
        </w:rPr>
        <w:t xml:space="preserve">private duty nursing, speech therapy and physical therapy services identified by Plaintiffs are “directed toward the ‘acquisition of the behaviors necessary for the client to function with as much self-determination and independence as possible.’”  </w:t>
      </w:r>
      <w:proofErr w:type="gramStart"/>
      <w:r w:rsidR="00714D07">
        <w:rPr>
          <w:bCs/>
          <w:szCs w:val="24"/>
        </w:rPr>
        <w:t>(</w:t>
      </w:r>
      <w:proofErr w:type="spellStart"/>
      <w:r w:rsidR="00714D07">
        <w:rPr>
          <w:bCs/>
          <w:szCs w:val="24"/>
        </w:rPr>
        <w:t>Defs</w:t>
      </w:r>
      <w:proofErr w:type="spellEnd"/>
      <w:r w:rsidR="00714D07">
        <w:rPr>
          <w:bCs/>
          <w:szCs w:val="24"/>
        </w:rPr>
        <w:t>.’</w:t>
      </w:r>
      <w:proofErr w:type="gramEnd"/>
      <w:r w:rsidR="00714D07">
        <w:rPr>
          <w:bCs/>
          <w:szCs w:val="24"/>
        </w:rPr>
        <w:t xml:space="preserve"> </w:t>
      </w:r>
      <w:proofErr w:type="gramStart"/>
      <w:r w:rsidR="001928FB">
        <w:rPr>
          <w:bCs/>
          <w:szCs w:val="24"/>
        </w:rPr>
        <w:t>Mot</w:t>
      </w:r>
      <w:r w:rsidR="00714D07">
        <w:rPr>
          <w:bCs/>
          <w:szCs w:val="24"/>
        </w:rPr>
        <w:t>.</w:t>
      </w:r>
      <w:proofErr w:type="gramEnd"/>
      <w:r w:rsidR="00714D07">
        <w:rPr>
          <w:bCs/>
          <w:szCs w:val="24"/>
        </w:rPr>
        <w:t xml:space="preserve"> </w:t>
      </w:r>
      <w:proofErr w:type="gramStart"/>
      <w:r w:rsidR="00EE0D06">
        <w:rPr>
          <w:bCs/>
          <w:szCs w:val="24"/>
        </w:rPr>
        <w:t>at</w:t>
      </w:r>
      <w:proofErr w:type="gramEnd"/>
      <w:r w:rsidR="00EE0D06">
        <w:rPr>
          <w:bCs/>
          <w:szCs w:val="24"/>
        </w:rPr>
        <w:t xml:space="preserve"> </w:t>
      </w:r>
      <w:r w:rsidR="00714D07">
        <w:rPr>
          <w:bCs/>
          <w:szCs w:val="24"/>
        </w:rPr>
        <w:t>20 (citing 42 C.F.R. §§ 483.120(a)(2); 483.440(a)(i))</w:t>
      </w:r>
      <w:r w:rsidR="00546606">
        <w:rPr>
          <w:bCs/>
          <w:szCs w:val="24"/>
        </w:rPr>
        <w:t>.</w:t>
      </w:r>
      <w:r w:rsidR="00714D07">
        <w:rPr>
          <w:bCs/>
          <w:szCs w:val="24"/>
        </w:rPr>
        <w:t xml:space="preserve">  Defendants improperly shift the burden of identifying specialized services to the children </w:t>
      </w:r>
      <w:r w:rsidR="00487A48">
        <w:rPr>
          <w:bCs/>
          <w:szCs w:val="24"/>
        </w:rPr>
        <w:t xml:space="preserve">in nursing homes.  </w:t>
      </w:r>
      <w:r w:rsidR="00714D07">
        <w:rPr>
          <w:bCs/>
          <w:szCs w:val="24"/>
        </w:rPr>
        <w:t xml:space="preserve">Pursuant to their obligations under </w:t>
      </w:r>
      <w:r w:rsidR="003E0772">
        <w:rPr>
          <w:bCs/>
          <w:szCs w:val="24"/>
        </w:rPr>
        <w:t>PASRR</w:t>
      </w:r>
      <w:r w:rsidR="00714D07">
        <w:rPr>
          <w:bCs/>
          <w:szCs w:val="24"/>
        </w:rPr>
        <w:t>, however, it is the Defendants’ responsibility to conduct an evaluation to identify “the specific</w:t>
      </w:r>
      <w:r w:rsidR="00EE0D06">
        <w:rPr>
          <w:bCs/>
          <w:szCs w:val="24"/>
        </w:rPr>
        <w:t xml:space="preserve"> . . . </w:t>
      </w:r>
      <w:r w:rsidR="00714D07">
        <w:rPr>
          <w:bCs/>
          <w:szCs w:val="24"/>
        </w:rPr>
        <w:t>services required to meet the evaluated individual’s needs.”  42 C.F.R. § 483.128(i</w:t>
      </w:r>
      <w:proofErr w:type="gramStart"/>
      <w:r w:rsidR="00714D07">
        <w:rPr>
          <w:bCs/>
          <w:szCs w:val="24"/>
        </w:rPr>
        <w:t>)(</w:t>
      </w:r>
      <w:proofErr w:type="gramEnd"/>
      <w:r w:rsidR="00714D07">
        <w:rPr>
          <w:bCs/>
          <w:szCs w:val="24"/>
        </w:rPr>
        <w:t xml:space="preserve">5).  </w:t>
      </w:r>
      <w:r w:rsidR="00487A48">
        <w:rPr>
          <w:bCs/>
          <w:szCs w:val="24"/>
        </w:rPr>
        <w:t>They admit they have not done so, and Plaintiffs therefore state a valid claim for violation of the</w:t>
      </w:r>
      <w:r w:rsidR="003E0772">
        <w:rPr>
          <w:bCs/>
          <w:szCs w:val="24"/>
        </w:rPr>
        <w:t xml:space="preserve"> PASRR</w:t>
      </w:r>
      <w:r w:rsidR="00487A48">
        <w:rPr>
          <w:bCs/>
          <w:szCs w:val="24"/>
        </w:rPr>
        <w:t xml:space="preserve"> </w:t>
      </w:r>
      <w:r w:rsidR="00010807">
        <w:rPr>
          <w:bCs/>
          <w:szCs w:val="24"/>
        </w:rPr>
        <w:t xml:space="preserve">requirements of the </w:t>
      </w:r>
      <w:r w:rsidR="00487A48">
        <w:rPr>
          <w:bCs/>
          <w:szCs w:val="24"/>
        </w:rPr>
        <w:t xml:space="preserve">Nursing Home Reform Act. </w:t>
      </w:r>
      <w:r w:rsidR="00714D07">
        <w:rPr>
          <w:bCs/>
          <w:szCs w:val="24"/>
        </w:rPr>
        <w:t xml:space="preserve"> </w:t>
      </w:r>
    </w:p>
    <w:p w:rsidR="001872C2" w:rsidRDefault="00B20318" w:rsidP="009E3A1C">
      <w:pPr>
        <w:spacing w:line="480" w:lineRule="auto"/>
        <w:jc w:val="center"/>
        <w:rPr>
          <w:szCs w:val="24"/>
        </w:rPr>
      </w:pPr>
      <w:r>
        <w:rPr>
          <w:b/>
          <w:bCs/>
          <w:szCs w:val="24"/>
          <w:u w:val="single"/>
        </w:rPr>
        <w:t>CONCLUSION</w:t>
      </w:r>
    </w:p>
    <w:p w:rsidR="00D31DE7" w:rsidRDefault="001872C2" w:rsidP="009E3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Pr>
          <w:szCs w:val="24"/>
        </w:rPr>
        <w:tab/>
      </w:r>
      <w:r w:rsidR="00B60745">
        <w:rPr>
          <w:szCs w:val="24"/>
        </w:rPr>
        <w:t>For the reasons state</w:t>
      </w:r>
      <w:r w:rsidR="00A06DAE">
        <w:rPr>
          <w:szCs w:val="24"/>
        </w:rPr>
        <w:t>d</w:t>
      </w:r>
      <w:r w:rsidR="00B60745">
        <w:rPr>
          <w:szCs w:val="24"/>
        </w:rPr>
        <w:t xml:space="preserve"> above, the United States respectfully requests that this Court deny Defendants’ Motion to Dismiss.</w:t>
      </w:r>
      <w:r w:rsidR="006D11D9" w:rsidRPr="006D11D9">
        <w:rPr>
          <w:szCs w:val="24"/>
        </w:rPr>
        <w:t xml:space="preserve"> </w:t>
      </w:r>
      <w:r w:rsidR="006D11D9">
        <w:rPr>
          <w:szCs w:val="24"/>
        </w:rPr>
        <w:t xml:space="preserve"> The United States additionally requests that, should the Court hear oral argument on Defendants’ Motion, the United States be permitted to participate.</w:t>
      </w:r>
    </w:p>
    <w:p w:rsidR="002406EE" w:rsidRDefault="002406EE" w:rsidP="009E3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p>
    <w:p w:rsidR="00D31DE7" w:rsidRDefault="002406EE" w:rsidP="009E3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Pr>
          <w:szCs w:val="24"/>
        </w:rPr>
        <w:t>Dated June 28, 2012</w:t>
      </w:r>
      <w:r w:rsidR="001872C2" w:rsidRPr="002406EE">
        <w:rPr>
          <w:szCs w:val="24"/>
        </w:rPr>
        <w:tab/>
      </w:r>
      <w:r w:rsidR="001872C2" w:rsidRPr="002406EE">
        <w:rPr>
          <w:szCs w:val="24"/>
        </w:rPr>
        <w:tab/>
      </w:r>
      <w:r w:rsidR="001872C2" w:rsidRPr="002406EE">
        <w:rPr>
          <w:szCs w:val="24"/>
        </w:rPr>
        <w:tab/>
      </w:r>
      <w:r w:rsidR="00E6638F" w:rsidRPr="002406EE">
        <w:rPr>
          <w:szCs w:val="24"/>
        </w:rPr>
        <w:tab/>
      </w:r>
      <w:proofErr w:type="gramStart"/>
      <w:r w:rsidR="00D31DE7" w:rsidRPr="002406EE">
        <w:rPr>
          <w:szCs w:val="24"/>
        </w:rPr>
        <w:t>Respectfully</w:t>
      </w:r>
      <w:proofErr w:type="gramEnd"/>
      <w:r w:rsidR="00D31DE7" w:rsidRPr="002406EE">
        <w:rPr>
          <w:szCs w:val="24"/>
        </w:rPr>
        <w:t xml:space="preserve"> submitted,</w:t>
      </w:r>
      <w:r w:rsidR="00D31DE7">
        <w:rPr>
          <w:szCs w:val="24"/>
        </w:rPr>
        <w:tab/>
      </w:r>
      <w:r w:rsidR="00D31DE7">
        <w:rPr>
          <w:szCs w:val="24"/>
        </w:rPr>
        <w:tab/>
      </w:r>
      <w:r w:rsidR="00D31DE7">
        <w:rPr>
          <w:szCs w:val="24"/>
        </w:rPr>
        <w:tab/>
      </w:r>
      <w:r w:rsidR="00D31DE7">
        <w:rPr>
          <w:szCs w:val="24"/>
        </w:rPr>
        <w:tab/>
      </w:r>
    </w:p>
    <w:p w:rsidR="00D31DE7" w:rsidRDefault="00D31DE7" w:rsidP="009E3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Pr>
          <w:szCs w:val="24"/>
        </w:rPr>
        <w:tab/>
      </w:r>
      <w:r>
        <w:rPr>
          <w:szCs w:val="24"/>
        </w:rPr>
        <w:tab/>
      </w:r>
      <w:r>
        <w:rPr>
          <w:szCs w:val="24"/>
        </w:rPr>
        <w:tab/>
      </w:r>
      <w:r>
        <w:rPr>
          <w:szCs w:val="24"/>
        </w:rPr>
        <w:tab/>
      </w:r>
      <w:r>
        <w:rPr>
          <w:szCs w:val="24"/>
        </w:rPr>
        <w:tab/>
      </w:r>
      <w:r w:rsidR="00E6638F">
        <w:rPr>
          <w:szCs w:val="24"/>
        </w:rPr>
        <w:tab/>
      </w:r>
    </w:p>
    <w:p w:rsidR="00D31DE7" w:rsidRDefault="00E6638F"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WILFREDO A. FERRER</w:t>
      </w:r>
      <w:r>
        <w:rPr>
          <w:szCs w:val="24"/>
        </w:rPr>
        <w:tab/>
      </w:r>
      <w:r>
        <w:rPr>
          <w:szCs w:val="24"/>
        </w:rPr>
        <w:tab/>
      </w:r>
      <w:r>
        <w:rPr>
          <w:szCs w:val="24"/>
        </w:rPr>
        <w:tab/>
      </w:r>
      <w:r w:rsidR="00D31DE7">
        <w:rPr>
          <w:szCs w:val="24"/>
        </w:rPr>
        <w:t>THOMAS E. PEREZ</w:t>
      </w:r>
    </w:p>
    <w:p w:rsidR="00D31DE7" w:rsidRDefault="00E6638F"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United States Attorney</w:t>
      </w:r>
      <w:r>
        <w:rPr>
          <w:szCs w:val="24"/>
        </w:rPr>
        <w:tab/>
      </w:r>
      <w:r>
        <w:rPr>
          <w:szCs w:val="24"/>
        </w:rPr>
        <w:tab/>
      </w:r>
      <w:r>
        <w:rPr>
          <w:szCs w:val="24"/>
        </w:rPr>
        <w:tab/>
      </w:r>
      <w:r w:rsidR="00D31DE7">
        <w:rPr>
          <w:szCs w:val="24"/>
        </w:rPr>
        <w:t>Assistant Attorney General</w:t>
      </w:r>
      <w:r w:rsidR="00D31DE7">
        <w:rPr>
          <w:szCs w:val="24"/>
        </w:rPr>
        <w:tab/>
      </w:r>
      <w:r w:rsidR="00D31DE7">
        <w:rPr>
          <w:szCs w:val="24"/>
        </w:rPr>
        <w:tab/>
      </w:r>
    </w:p>
    <w:p w:rsidR="00D31DE7" w:rsidRDefault="00E6638F"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Southern District of Florida</w:t>
      </w:r>
    </w:p>
    <w:p w:rsidR="00EE0D06" w:rsidRDefault="00EE0D06"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D31DE7" w:rsidRDefault="00E6638F"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szCs w:val="24"/>
        </w:rPr>
      </w:pPr>
      <w:r>
        <w:rPr>
          <w:szCs w:val="24"/>
        </w:rPr>
        <w:tab/>
      </w:r>
      <w:r>
        <w:rPr>
          <w:szCs w:val="24"/>
        </w:rPr>
        <w:tab/>
      </w:r>
      <w:r w:rsidR="00E94B5A">
        <w:rPr>
          <w:szCs w:val="24"/>
        </w:rPr>
        <w:tab/>
      </w:r>
      <w:r w:rsidR="00E94B5A">
        <w:rPr>
          <w:szCs w:val="24"/>
        </w:rPr>
        <w:tab/>
      </w:r>
      <w:r w:rsidR="00E94B5A">
        <w:rPr>
          <w:szCs w:val="24"/>
        </w:rPr>
        <w:tab/>
      </w:r>
      <w:r w:rsidR="00E94B5A">
        <w:rPr>
          <w:szCs w:val="24"/>
        </w:rPr>
        <w:tab/>
        <w:t>EVE HILL</w:t>
      </w:r>
    </w:p>
    <w:p w:rsidR="00D31DE7" w:rsidRDefault="00D31DE7"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00E6638F">
        <w:rPr>
          <w:szCs w:val="24"/>
        </w:rPr>
        <w:tab/>
      </w:r>
      <w:r w:rsidR="00E94B5A">
        <w:rPr>
          <w:szCs w:val="24"/>
        </w:rPr>
        <w:tab/>
      </w:r>
      <w:r w:rsidR="00E94B5A">
        <w:rPr>
          <w:szCs w:val="24"/>
        </w:rPr>
        <w:tab/>
      </w:r>
      <w:r w:rsidR="00E94B5A">
        <w:rPr>
          <w:szCs w:val="24"/>
        </w:rPr>
        <w:tab/>
      </w:r>
      <w:r w:rsidR="00E94B5A">
        <w:rPr>
          <w:szCs w:val="24"/>
        </w:rPr>
        <w:tab/>
        <w:t>Senior Counselor to the Assistant</w:t>
      </w:r>
      <w:r>
        <w:rPr>
          <w:szCs w:val="24"/>
        </w:rPr>
        <w:t xml:space="preserve"> Attorney General</w:t>
      </w:r>
    </w:p>
    <w:p w:rsidR="00D31DE7" w:rsidRDefault="007E2F93"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001E5E39">
        <w:rPr>
          <w:szCs w:val="24"/>
        </w:rPr>
        <w:tab/>
      </w:r>
      <w:r w:rsidR="00E6638F">
        <w:rPr>
          <w:szCs w:val="24"/>
        </w:rPr>
        <w:tab/>
      </w:r>
      <w:r w:rsidR="00D31DE7">
        <w:rPr>
          <w:szCs w:val="24"/>
        </w:rPr>
        <w:tab/>
      </w:r>
      <w:r w:rsidR="00D31DE7">
        <w:rPr>
          <w:szCs w:val="24"/>
        </w:rPr>
        <w:tab/>
      </w:r>
      <w:r w:rsidR="00D31DE7">
        <w:rPr>
          <w:szCs w:val="24"/>
        </w:rPr>
        <w:tab/>
      </w:r>
      <w:r w:rsidR="00D31DE7">
        <w:rPr>
          <w:szCs w:val="24"/>
        </w:rPr>
        <w:tab/>
      </w:r>
    </w:p>
    <w:p w:rsidR="00D31DE7" w:rsidRDefault="00D31DE7"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sidR="00E94B5A">
        <w:rPr>
          <w:szCs w:val="24"/>
        </w:rPr>
        <w:tab/>
      </w:r>
      <w:r w:rsidR="00E94B5A">
        <w:rPr>
          <w:szCs w:val="24"/>
        </w:rPr>
        <w:tab/>
        <w:t>ALISON BARKOFF</w:t>
      </w:r>
      <w:r>
        <w:rPr>
          <w:szCs w:val="24"/>
        </w:rPr>
        <w:tab/>
      </w:r>
      <w:r>
        <w:rPr>
          <w:szCs w:val="24"/>
        </w:rPr>
        <w:tab/>
      </w:r>
      <w:r>
        <w:rPr>
          <w:szCs w:val="24"/>
        </w:rPr>
        <w:tab/>
      </w:r>
      <w:r>
        <w:rPr>
          <w:szCs w:val="24"/>
        </w:rPr>
        <w:tab/>
      </w:r>
    </w:p>
    <w:p w:rsidR="00E60C89" w:rsidRDefault="00E6638F"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00E94B5A">
        <w:rPr>
          <w:szCs w:val="24"/>
        </w:rPr>
        <w:tab/>
      </w:r>
      <w:r w:rsidR="00E94B5A">
        <w:rPr>
          <w:szCs w:val="24"/>
        </w:rPr>
        <w:tab/>
      </w:r>
      <w:r w:rsidR="00E94B5A">
        <w:rPr>
          <w:szCs w:val="24"/>
        </w:rPr>
        <w:tab/>
      </w:r>
      <w:r w:rsidR="00E94B5A">
        <w:rPr>
          <w:szCs w:val="24"/>
        </w:rPr>
        <w:tab/>
      </w:r>
      <w:r w:rsidR="00E94B5A">
        <w:rPr>
          <w:szCs w:val="24"/>
        </w:rPr>
        <w:tab/>
        <w:t>Special Counsel for Olmstead Enforcement</w:t>
      </w:r>
    </w:p>
    <w:p w:rsidR="00E94B5A" w:rsidRDefault="00E60C89"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00E94B5A">
        <w:rPr>
          <w:szCs w:val="24"/>
        </w:rPr>
        <w:tab/>
      </w:r>
      <w:r w:rsidR="00E94B5A">
        <w:rPr>
          <w:szCs w:val="24"/>
        </w:rPr>
        <w:tab/>
      </w:r>
      <w:r w:rsidR="00E94B5A">
        <w:rPr>
          <w:szCs w:val="24"/>
        </w:rPr>
        <w:tab/>
      </w:r>
      <w:r w:rsidR="00E94B5A">
        <w:rPr>
          <w:szCs w:val="24"/>
        </w:rPr>
        <w:tab/>
      </w:r>
      <w:r w:rsidR="00E94B5A">
        <w:rPr>
          <w:szCs w:val="24"/>
        </w:rPr>
        <w:tab/>
        <w:t>Civil Rights Division</w:t>
      </w:r>
      <w:r w:rsidR="00E94B5A">
        <w:rPr>
          <w:szCs w:val="24"/>
        </w:rPr>
        <w:tab/>
      </w:r>
    </w:p>
    <w:p w:rsidR="005808AC" w:rsidRDefault="005808AC"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p>
    <w:p w:rsidR="00E94B5A" w:rsidRPr="005808AC" w:rsidRDefault="00EE0D06"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u w:val="single"/>
        </w:rPr>
      </w:pPr>
      <w:r>
        <w:rPr>
          <w:szCs w:val="24"/>
          <w:u w:val="single"/>
        </w:rPr>
        <w:t>/</w:t>
      </w:r>
      <w:r w:rsidR="00E94B5A" w:rsidRPr="005808AC">
        <w:rPr>
          <w:szCs w:val="24"/>
          <w:u w:val="single"/>
        </w:rPr>
        <w:t>s</w:t>
      </w:r>
      <w:r w:rsidR="005808AC" w:rsidRPr="005808AC">
        <w:rPr>
          <w:szCs w:val="24"/>
          <w:u w:val="single"/>
        </w:rPr>
        <w:t>/</w:t>
      </w:r>
      <w:r>
        <w:rPr>
          <w:szCs w:val="24"/>
          <w:u w:val="single"/>
        </w:rPr>
        <w:t xml:space="preserve"> </w:t>
      </w:r>
      <w:r w:rsidR="00CD257F" w:rsidRPr="00CD257F">
        <w:rPr>
          <w:i/>
          <w:szCs w:val="24"/>
          <w:u w:val="single"/>
        </w:rPr>
        <w:t>Veronica Harrell-James</w:t>
      </w:r>
      <w:r w:rsidR="00CD257F">
        <w:rPr>
          <w:szCs w:val="24"/>
          <w:u w:val="single"/>
        </w:rPr>
        <w:t xml:space="preserve">   </w:t>
      </w:r>
      <w:r w:rsidR="00E94B5A" w:rsidRPr="005808AC">
        <w:rPr>
          <w:szCs w:val="24"/>
          <w:u w:val="single"/>
        </w:rPr>
        <w:tab/>
      </w:r>
      <w:r w:rsidR="00CD257F">
        <w:rPr>
          <w:szCs w:val="24"/>
          <w:u w:val="single"/>
        </w:rPr>
        <w:t xml:space="preserve">      </w:t>
      </w:r>
      <w:r w:rsidR="00E94B5A">
        <w:rPr>
          <w:szCs w:val="24"/>
        </w:rPr>
        <w:tab/>
      </w:r>
      <w:r w:rsidR="00E94B5A">
        <w:rPr>
          <w:szCs w:val="24"/>
        </w:rPr>
        <w:tab/>
      </w:r>
      <w:r w:rsidR="00E94B5A" w:rsidRPr="005C2834">
        <w:rPr>
          <w:szCs w:val="24"/>
          <w:u w:val="single"/>
        </w:rPr>
        <w:t xml:space="preserve">/s/ </w:t>
      </w:r>
      <w:r w:rsidR="00E94B5A" w:rsidRPr="00BE0DEC">
        <w:rPr>
          <w:i/>
          <w:szCs w:val="24"/>
          <w:u w:val="single"/>
        </w:rPr>
        <w:t>Tr</w:t>
      </w:r>
      <w:r w:rsidR="00E94B5A" w:rsidRPr="005808AC">
        <w:rPr>
          <w:i/>
          <w:szCs w:val="24"/>
          <w:u w:val="single"/>
        </w:rPr>
        <w:t>avis England</w:t>
      </w:r>
      <w:r w:rsidR="005808AC">
        <w:rPr>
          <w:i/>
          <w:szCs w:val="24"/>
          <w:u w:val="single"/>
        </w:rPr>
        <w:tab/>
      </w:r>
      <w:r w:rsidR="005808AC">
        <w:rPr>
          <w:i/>
          <w:szCs w:val="24"/>
          <w:u w:val="single"/>
        </w:rPr>
        <w:tab/>
      </w:r>
      <w:r w:rsidR="00E94B5A" w:rsidRPr="005808AC">
        <w:rPr>
          <w:szCs w:val="24"/>
          <w:u w:val="single"/>
        </w:rPr>
        <w:t xml:space="preserve">            </w:t>
      </w:r>
    </w:p>
    <w:p w:rsidR="00E94B5A" w:rsidRPr="00A53661" w:rsidRDefault="00E94B5A" w:rsidP="005808AC">
      <w:pPr>
        <w:rPr>
          <w:szCs w:val="24"/>
        </w:rPr>
      </w:pPr>
      <w:r w:rsidRPr="00CD257F">
        <w:rPr>
          <w:szCs w:val="24"/>
        </w:rPr>
        <w:t xml:space="preserve">VERONICA </w:t>
      </w:r>
      <w:r>
        <w:rPr>
          <w:szCs w:val="24"/>
        </w:rPr>
        <w:t>HARRELL-JAMES</w:t>
      </w:r>
      <w:r>
        <w:rPr>
          <w:szCs w:val="24"/>
        </w:rPr>
        <w:tab/>
      </w:r>
      <w:r>
        <w:rPr>
          <w:szCs w:val="24"/>
        </w:rPr>
        <w:tab/>
      </w:r>
      <w:r w:rsidR="005808AC">
        <w:rPr>
          <w:szCs w:val="24"/>
        </w:rPr>
        <w:t>GREG</w:t>
      </w:r>
      <w:r w:rsidR="00A70F24">
        <w:rPr>
          <w:szCs w:val="24"/>
        </w:rPr>
        <w:t>ORY B.</w:t>
      </w:r>
      <w:r w:rsidR="005808AC">
        <w:rPr>
          <w:szCs w:val="24"/>
        </w:rPr>
        <w:t xml:space="preserve"> FRIEL</w:t>
      </w:r>
    </w:p>
    <w:p w:rsidR="00E94B5A" w:rsidRPr="00A53661" w:rsidRDefault="00E94B5A" w:rsidP="005808AC">
      <w:pPr>
        <w:rPr>
          <w:szCs w:val="24"/>
        </w:rPr>
      </w:pPr>
      <w:r>
        <w:rPr>
          <w:szCs w:val="24"/>
        </w:rPr>
        <w:t>Assistant United States Attorney</w:t>
      </w:r>
      <w:r>
        <w:rPr>
          <w:szCs w:val="24"/>
        </w:rPr>
        <w:tab/>
      </w:r>
      <w:r>
        <w:rPr>
          <w:szCs w:val="24"/>
        </w:rPr>
        <w:tab/>
      </w:r>
      <w:r w:rsidR="005808AC">
        <w:rPr>
          <w:szCs w:val="24"/>
        </w:rPr>
        <w:t xml:space="preserve">Acting </w:t>
      </w:r>
      <w:r w:rsidRPr="00A53661">
        <w:rPr>
          <w:szCs w:val="24"/>
        </w:rPr>
        <w:t>Chief</w:t>
      </w:r>
    </w:p>
    <w:p w:rsidR="00E94B5A" w:rsidRDefault="00E94B5A" w:rsidP="005808AC">
      <w:pPr>
        <w:rPr>
          <w:szCs w:val="24"/>
        </w:rPr>
      </w:pPr>
      <w:r>
        <w:rPr>
          <w:szCs w:val="24"/>
        </w:rPr>
        <w:t xml:space="preserve">99 N.E. </w:t>
      </w:r>
      <w:proofErr w:type="gramStart"/>
      <w:r>
        <w:rPr>
          <w:szCs w:val="24"/>
        </w:rPr>
        <w:t>4</w:t>
      </w:r>
      <w:r>
        <w:rPr>
          <w:szCs w:val="24"/>
          <w:vertAlign w:val="superscript"/>
        </w:rPr>
        <w:t>th</w:t>
      </w:r>
      <w:r w:rsidR="00EE0D06">
        <w:rPr>
          <w:szCs w:val="24"/>
          <w:vertAlign w:val="superscript"/>
        </w:rPr>
        <w:t xml:space="preserve"> </w:t>
      </w:r>
      <w:r>
        <w:rPr>
          <w:szCs w:val="24"/>
          <w:vertAlign w:val="superscript"/>
        </w:rPr>
        <w:t xml:space="preserve"> </w:t>
      </w:r>
      <w:r>
        <w:rPr>
          <w:szCs w:val="24"/>
        </w:rPr>
        <w:t>Street</w:t>
      </w:r>
      <w:proofErr w:type="gramEnd"/>
      <w:r>
        <w:rPr>
          <w:szCs w:val="24"/>
        </w:rPr>
        <w:tab/>
      </w:r>
      <w:r>
        <w:rPr>
          <w:szCs w:val="24"/>
        </w:rPr>
        <w:tab/>
      </w:r>
      <w:r>
        <w:rPr>
          <w:szCs w:val="24"/>
        </w:rPr>
        <w:tab/>
      </w:r>
      <w:r>
        <w:rPr>
          <w:szCs w:val="24"/>
        </w:rPr>
        <w:tab/>
        <w:t xml:space="preserve">SHEILA S. FORAN </w:t>
      </w:r>
    </w:p>
    <w:p w:rsidR="00E94B5A" w:rsidRDefault="00E94B5A" w:rsidP="005808AC">
      <w:pPr>
        <w:rPr>
          <w:szCs w:val="24"/>
        </w:rPr>
      </w:pPr>
      <w:r>
        <w:rPr>
          <w:szCs w:val="24"/>
        </w:rPr>
        <w:t>Miami, FL 33132</w:t>
      </w:r>
      <w:r>
        <w:rPr>
          <w:szCs w:val="24"/>
        </w:rPr>
        <w:tab/>
      </w:r>
      <w:r>
        <w:rPr>
          <w:szCs w:val="24"/>
        </w:rPr>
        <w:tab/>
      </w:r>
      <w:r>
        <w:rPr>
          <w:szCs w:val="24"/>
        </w:rPr>
        <w:tab/>
      </w:r>
      <w:r>
        <w:rPr>
          <w:szCs w:val="24"/>
        </w:rPr>
        <w:tab/>
        <w:t>Special Legal Counsel</w:t>
      </w:r>
    </w:p>
    <w:p w:rsidR="00E94B5A" w:rsidRPr="00A53661" w:rsidRDefault="00E94B5A" w:rsidP="005808AC">
      <w:pPr>
        <w:rPr>
          <w:szCs w:val="24"/>
        </w:rPr>
      </w:pPr>
      <w:r>
        <w:rPr>
          <w:szCs w:val="24"/>
        </w:rPr>
        <w:t>Telephone:</w:t>
      </w:r>
      <w:r>
        <w:rPr>
          <w:szCs w:val="24"/>
        </w:rPr>
        <w:tab/>
        <w:t>(305) 961-9327</w:t>
      </w:r>
      <w:r>
        <w:rPr>
          <w:szCs w:val="24"/>
        </w:rPr>
        <w:tab/>
      </w:r>
      <w:r>
        <w:rPr>
          <w:szCs w:val="24"/>
        </w:rPr>
        <w:tab/>
        <w:t xml:space="preserve">ANNE </w:t>
      </w:r>
      <w:r w:rsidR="00A70F24">
        <w:rPr>
          <w:szCs w:val="24"/>
        </w:rPr>
        <w:t xml:space="preserve">S. </w:t>
      </w:r>
      <w:r>
        <w:rPr>
          <w:szCs w:val="24"/>
        </w:rPr>
        <w:t>RAISH</w:t>
      </w:r>
    </w:p>
    <w:p w:rsidR="00E94B5A" w:rsidRPr="00A53661" w:rsidRDefault="007B6B92"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Facsimile:</w:t>
      </w:r>
      <w:r>
        <w:rPr>
          <w:szCs w:val="24"/>
        </w:rPr>
        <w:tab/>
        <w:t xml:space="preserve">(305) </w:t>
      </w:r>
      <w:r w:rsidRPr="007B6B92">
        <w:rPr>
          <w:szCs w:val="24"/>
        </w:rPr>
        <w:t>530-7139</w:t>
      </w:r>
      <w:r w:rsidR="00E94B5A">
        <w:rPr>
          <w:szCs w:val="24"/>
        </w:rPr>
        <w:tab/>
      </w:r>
      <w:r w:rsidR="00E94B5A">
        <w:rPr>
          <w:szCs w:val="24"/>
        </w:rPr>
        <w:tab/>
      </w:r>
      <w:r w:rsidR="00E94B5A" w:rsidRPr="00A53661">
        <w:rPr>
          <w:szCs w:val="24"/>
        </w:rPr>
        <w:t>Deputy Chief</w:t>
      </w:r>
    </w:p>
    <w:p w:rsidR="00E94B5A" w:rsidRPr="00690AEC" w:rsidRDefault="005B5F11" w:rsidP="00690AEC">
      <w:pPr>
        <w:contextualSpacing/>
      </w:pPr>
      <w:hyperlink r:id="rId7" w:history="1">
        <w:r w:rsidR="007B6B92" w:rsidRPr="008C7D56">
          <w:rPr>
            <w:rStyle w:val="Hyperlink"/>
            <w:szCs w:val="24"/>
          </w:rPr>
          <w:t>Veronica.Harrell-James@usdoj.gov</w:t>
        </w:r>
      </w:hyperlink>
      <w:r w:rsidR="007B6B92">
        <w:rPr>
          <w:szCs w:val="24"/>
        </w:rPr>
        <w:t xml:space="preserve"> </w:t>
      </w:r>
      <w:r w:rsidR="00E94B5A">
        <w:rPr>
          <w:szCs w:val="24"/>
        </w:rPr>
        <w:tab/>
      </w:r>
      <w:r w:rsidR="00E94B5A">
        <w:rPr>
          <w:szCs w:val="24"/>
        </w:rPr>
        <w:tab/>
      </w:r>
      <w:r w:rsidR="00E94B5A" w:rsidRPr="00A53661">
        <w:rPr>
          <w:szCs w:val="24"/>
          <w:lang w:val="en-CA"/>
        </w:rPr>
        <w:t>TRAVIS W. ENGLAND</w:t>
      </w:r>
      <w:r w:rsidR="00690AEC">
        <w:rPr>
          <w:szCs w:val="24"/>
          <w:lang w:val="en-CA"/>
        </w:rPr>
        <w:t xml:space="preserve">, </w:t>
      </w:r>
      <w:r w:rsidR="00690AEC">
        <w:t xml:space="preserve">Bar ID </w:t>
      </w:r>
      <w:r w:rsidR="00690AEC" w:rsidRPr="00E81A76">
        <w:t>A5501768</w:t>
      </w:r>
    </w:p>
    <w:p w:rsidR="003D58C0"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r w:rsidR="003D58C0">
        <w:rPr>
          <w:szCs w:val="24"/>
        </w:rPr>
        <w:t xml:space="preserve">BETH </w:t>
      </w:r>
      <w:r w:rsidR="00484514">
        <w:rPr>
          <w:szCs w:val="24"/>
        </w:rPr>
        <w:t xml:space="preserve">A. </w:t>
      </w:r>
      <w:r w:rsidR="003D58C0">
        <w:rPr>
          <w:szCs w:val="24"/>
        </w:rPr>
        <w:t>ESPOSITO</w:t>
      </w:r>
      <w:r w:rsidR="00690AEC">
        <w:rPr>
          <w:szCs w:val="24"/>
        </w:rPr>
        <w:t xml:space="preserve">, </w:t>
      </w:r>
      <w:r w:rsidR="00690AEC">
        <w:t xml:space="preserve">Bar ID </w:t>
      </w:r>
      <w:r w:rsidR="00690AEC" w:rsidRPr="00C31466">
        <w:t>A5501719</w:t>
      </w:r>
    </w:p>
    <w:p w:rsidR="003D58C0" w:rsidRDefault="003D58C0"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t>JOY LEVIN WELAN</w:t>
      </w:r>
      <w:r w:rsidR="00690AEC">
        <w:rPr>
          <w:szCs w:val="24"/>
        </w:rPr>
        <w:t xml:space="preserve">, </w:t>
      </w:r>
      <w:r w:rsidR="00690AEC">
        <w:t>Bar ID</w:t>
      </w:r>
      <w:r w:rsidR="00690AEC" w:rsidRPr="00C31466">
        <w:t xml:space="preserve"> A5501767</w:t>
      </w:r>
    </w:p>
    <w:p w:rsidR="00E94B5A" w:rsidRDefault="003D58C0"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r w:rsidR="00E94B5A" w:rsidRPr="00A53661">
        <w:rPr>
          <w:szCs w:val="24"/>
        </w:rPr>
        <w:t>Trial</w:t>
      </w:r>
      <w:r>
        <w:rPr>
          <w:szCs w:val="24"/>
        </w:rPr>
        <w:t xml:space="preserve"> Attorney</w:t>
      </w:r>
      <w:r w:rsidRPr="003D58C0">
        <w:rPr>
          <w:szCs w:val="24"/>
        </w:rPr>
        <w:t>s</w:t>
      </w:r>
    </w:p>
    <w:p w:rsidR="00E94B5A" w:rsidRPr="005C2834"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rPr>
          <w:szCs w:val="24"/>
        </w:rPr>
      </w:pPr>
      <w:r>
        <w:rPr>
          <w:szCs w:val="24"/>
        </w:rPr>
        <w:tab/>
      </w:r>
      <w:r>
        <w:rPr>
          <w:szCs w:val="24"/>
        </w:rPr>
        <w:tab/>
      </w:r>
      <w:r>
        <w:rPr>
          <w:szCs w:val="24"/>
        </w:rPr>
        <w:tab/>
      </w:r>
      <w:r>
        <w:rPr>
          <w:szCs w:val="24"/>
        </w:rPr>
        <w:tab/>
      </w:r>
      <w:r>
        <w:rPr>
          <w:szCs w:val="24"/>
        </w:rPr>
        <w:tab/>
      </w:r>
      <w:r>
        <w:rPr>
          <w:szCs w:val="24"/>
        </w:rPr>
        <w:tab/>
      </w:r>
      <w:r w:rsidRPr="005C2834">
        <w:rPr>
          <w:szCs w:val="24"/>
        </w:rPr>
        <w:t>Disability Rights Section</w:t>
      </w:r>
      <w:r w:rsidRPr="005C2834">
        <w:rPr>
          <w:szCs w:val="24"/>
        </w:rPr>
        <w:tab/>
      </w:r>
      <w:r w:rsidRPr="005C2834">
        <w:rPr>
          <w:szCs w:val="24"/>
        </w:rPr>
        <w:tab/>
      </w:r>
      <w:r w:rsidRPr="005C2834">
        <w:rPr>
          <w:szCs w:val="24"/>
        </w:rPr>
        <w:tab/>
      </w:r>
    </w:p>
    <w:p w:rsidR="00E94B5A" w:rsidRPr="005C2834"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Pr="005C2834">
        <w:rPr>
          <w:szCs w:val="24"/>
        </w:rPr>
        <w:tab/>
      </w:r>
      <w:r>
        <w:rPr>
          <w:szCs w:val="24"/>
        </w:rPr>
        <w:tab/>
      </w:r>
      <w:r>
        <w:rPr>
          <w:szCs w:val="24"/>
        </w:rPr>
        <w:tab/>
      </w:r>
      <w:r>
        <w:rPr>
          <w:szCs w:val="24"/>
        </w:rPr>
        <w:tab/>
      </w:r>
      <w:r w:rsidRPr="005C2834">
        <w:rPr>
          <w:szCs w:val="24"/>
        </w:rPr>
        <w:tab/>
        <w:t>Civil Rights Division</w:t>
      </w:r>
      <w:r w:rsidRPr="005C2834">
        <w:rPr>
          <w:szCs w:val="24"/>
        </w:rPr>
        <w:tab/>
        <w:t xml:space="preserve">          </w:t>
      </w:r>
      <w:r w:rsidRPr="005C2834">
        <w:rPr>
          <w:szCs w:val="24"/>
        </w:rPr>
        <w:tab/>
      </w:r>
      <w:r w:rsidRPr="005C2834">
        <w:rPr>
          <w:szCs w:val="24"/>
        </w:rPr>
        <w:tab/>
      </w:r>
      <w:r w:rsidRPr="005C2834">
        <w:rPr>
          <w:szCs w:val="24"/>
        </w:rPr>
        <w:tab/>
      </w:r>
      <w:r w:rsidRPr="005C2834">
        <w:rPr>
          <w:szCs w:val="24"/>
        </w:rPr>
        <w:tab/>
      </w:r>
    </w:p>
    <w:p w:rsidR="00E94B5A" w:rsidRPr="005C2834"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szCs w:val="24"/>
        </w:rPr>
      </w:pPr>
      <w:r w:rsidRPr="005C2834">
        <w:rPr>
          <w:szCs w:val="24"/>
        </w:rPr>
        <w:tab/>
      </w:r>
      <w:r w:rsidRPr="005C2834">
        <w:rPr>
          <w:szCs w:val="24"/>
        </w:rPr>
        <w:tab/>
      </w:r>
      <w:r>
        <w:rPr>
          <w:szCs w:val="24"/>
        </w:rPr>
        <w:tab/>
      </w:r>
      <w:r>
        <w:rPr>
          <w:szCs w:val="24"/>
        </w:rPr>
        <w:tab/>
      </w:r>
      <w:r>
        <w:rPr>
          <w:szCs w:val="24"/>
        </w:rPr>
        <w:tab/>
      </w:r>
      <w:r w:rsidRPr="005C2834">
        <w:rPr>
          <w:szCs w:val="24"/>
        </w:rPr>
        <w:tab/>
        <w:t>U.S. Department of Justice</w:t>
      </w:r>
      <w:r w:rsidRPr="005C2834">
        <w:rPr>
          <w:szCs w:val="24"/>
        </w:rPr>
        <w:tab/>
      </w:r>
      <w:r w:rsidRPr="005C2834">
        <w:rPr>
          <w:szCs w:val="24"/>
        </w:rPr>
        <w:tab/>
      </w:r>
      <w:r w:rsidRPr="005C2834">
        <w:rPr>
          <w:szCs w:val="24"/>
        </w:rPr>
        <w:tab/>
        <w:t xml:space="preserve">          </w:t>
      </w:r>
    </w:p>
    <w:p w:rsidR="00E94B5A" w:rsidRPr="005C2834"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Cs w:val="24"/>
        </w:rPr>
      </w:pPr>
      <w:r w:rsidRPr="005C2834">
        <w:rPr>
          <w:szCs w:val="24"/>
        </w:rPr>
        <w:tab/>
      </w:r>
      <w:r w:rsidRPr="005C2834">
        <w:rPr>
          <w:szCs w:val="24"/>
        </w:rPr>
        <w:tab/>
      </w:r>
      <w:r w:rsidRPr="005C2834">
        <w:rPr>
          <w:szCs w:val="24"/>
        </w:rPr>
        <w:tab/>
      </w:r>
      <w:r w:rsidRPr="005C2834">
        <w:rPr>
          <w:szCs w:val="24"/>
        </w:rPr>
        <w:tab/>
      </w:r>
      <w:r w:rsidRPr="005C2834">
        <w:rPr>
          <w:szCs w:val="24"/>
        </w:rPr>
        <w:tab/>
      </w:r>
      <w:r w:rsidRPr="005C2834">
        <w:rPr>
          <w:szCs w:val="24"/>
        </w:rPr>
        <w:tab/>
        <w:t>950 Pennsylvania Avenue, N.W. - NYA</w:t>
      </w:r>
    </w:p>
    <w:p w:rsidR="00E94B5A" w:rsidRPr="005C2834"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C2834">
        <w:rPr>
          <w:szCs w:val="24"/>
        </w:rPr>
        <w:tab/>
      </w:r>
      <w:r w:rsidRPr="005C2834">
        <w:rPr>
          <w:szCs w:val="24"/>
        </w:rPr>
        <w:tab/>
      </w:r>
      <w:r w:rsidRPr="005C2834">
        <w:rPr>
          <w:szCs w:val="24"/>
        </w:rPr>
        <w:tab/>
      </w:r>
      <w:r w:rsidRPr="005C2834">
        <w:rPr>
          <w:szCs w:val="24"/>
        </w:rPr>
        <w:tab/>
      </w:r>
      <w:r w:rsidRPr="005C2834">
        <w:rPr>
          <w:szCs w:val="24"/>
        </w:rPr>
        <w:tab/>
      </w:r>
      <w:r w:rsidRPr="005C2834">
        <w:rPr>
          <w:szCs w:val="24"/>
        </w:rPr>
        <w:tab/>
        <w:t>Washington, D.C. 20530</w:t>
      </w:r>
    </w:p>
    <w:p w:rsidR="00E94B5A" w:rsidRPr="005C2834"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Cs w:val="24"/>
        </w:rPr>
      </w:pPr>
      <w:r w:rsidRPr="005C2834">
        <w:rPr>
          <w:szCs w:val="24"/>
        </w:rPr>
        <w:tab/>
      </w:r>
      <w:r w:rsidRPr="005C2834">
        <w:rPr>
          <w:szCs w:val="24"/>
        </w:rPr>
        <w:tab/>
      </w:r>
      <w:r w:rsidRPr="005C2834">
        <w:rPr>
          <w:szCs w:val="24"/>
        </w:rPr>
        <w:tab/>
      </w:r>
      <w:r w:rsidRPr="005C2834">
        <w:rPr>
          <w:szCs w:val="24"/>
        </w:rPr>
        <w:tab/>
      </w:r>
      <w:r w:rsidRPr="005C2834">
        <w:rPr>
          <w:szCs w:val="24"/>
        </w:rPr>
        <w:tab/>
      </w:r>
      <w:r w:rsidRPr="005C2834">
        <w:rPr>
          <w:szCs w:val="24"/>
        </w:rPr>
        <w:tab/>
        <w:t>Telephone:</w:t>
      </w:r>
      <w:r w:rsidRPr="005C2834">
        <w:rPr>
          <w:szCs w:val="24"/>
        </w:rPr>
        <w:tab/>
      </w:r>
      <w:r w:rsidRPr="007B6B92">
        <w:rPr>
          <w:szCs w:val="24"/>
        </w:rPr>
        <w:t>(202) 30</w:t>
      </w:r>
      <w:r w:rsidR="007B6B92" w:rsidRPr="007B6B92">
        <w:rPr>
          <w:szCs w:val="24"/>
        </w:rPr>
        <w:t>7-0663</w:t>
      </w:r>
    </w:p>
    <w:p w:rsidR="00E94B5A" w:rsidRPr="005C2834"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Cs w:val="24"/>
        </w:rPr>
      </w:pPr>
      <w:r>
        <w:rPr>
          <w:szCs w:val="24"/>
        </w:rPr>
        <w:tab/>
      </w:r>
      <w:r w:rsidRPr="005C2834">
        <w:rPr>
          <w:szCs w:val="24"/>
        </w:rPr>
        <w:tab/>
      </w:r>
      <w:r w:rsidRPr="005C2834">
        <w:rPr>
          <w:szCs w:val="24"/>
        </w:rPr>
        <w:tab/>
      </w:r>
      <w:r w:rsidRPr="005C2834">
        <w:rPr>
          <w:szCs w:val="24"/>
        </w:rPr>
        <w:tab/>
      </w:r>
      <w:r w:rsidRPr="005C2834">
        <w:rPr>
          <w:szCs w:val="24"/>
        </w:rPr>
        <w:tab/>
      </w:r>
      <w:r w:rsidRPr="005C2834">
        <w:rPr>
          <w:szCs w:val="24"/>
        </w:rPr>
        <w:tab/>
        <w:t>Facsimile:</w:t>
      </w:r>
      <w:r w:rsidRPr="005C2834">
        <w:rPr>
          <w:szCs w:val="24"/>
        </w:rPr>
        <w:tab/>
        <w:t>(202) 307-1197</w:t>
      </w:r>
    </w:p>
    <w:p w:rsidR="005808AC" w:rsidRDefault="00E94B5A" w:rsidP="005808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szCs w:val="24"/>
          <w:lang w:val="en-CA"/>
        </w:rPr>
      </w:pPr>
      <w:r w:rsidRPr="005C2834">
        <w:rPr>
          <w:szCs w:val="24"/>
        </w:rPr>
        <w:tab/>
      </w:r>
      <w:r w:rsidRPr="005C2834">
        <w:rPr>
          <w:szCs w:val="24"/>
        </w:rPr>
        <w:tab/>
      </w:r>
      <w:r w:rsidRPr="005C2834">
        <w:rPr>
          <w:szCs w:val="24"/>
        </w:rPr>
        <w:tab/>
      </w:r>
      <w:r w:rsidRPr="005C2834">
        <w:rPr>
          <w:szCs w:val="24"/>
        </w:rPr>
        <w:tab/>
      </w:r>
      <w:r w:rsidRPr="005C2834">
        <w:rPr>
          <w:szCs w:val="24"/>
        </w:rPr>
        <w:tab/>
      </w:r>
      <w:r w:rsidRPr="005C2834">
        <w:rPr>
          <w:szCs w:val="24"/>
        </w:rPr>
        <w:tab/>
      </w:r>
      <w:hyperlink r:id="rId8" w:history="1">
        <w:r w:rsidR="00FC3EBB" w:rsidRPr="008C7D56">
          <w:rPr>
            <w:rStyle w:val="Hyperlink"/>
            <w:szCs w:val="24"/>
            <w:lang w:val="en-CA"/>
          </w:rPr>
          <w:t>Travis.England@usdoj.gov</w:t>
        </w:r>
      </w:hyperlink>
    </w:p>
    <w:p w:rsidR="005808AC" w:rsidRDefault="005808AC">
      <w:pPr>
        <w:rPr>
          <w:szCs w:val="24"/>
          <w:lang w:val="en-CA"/>
        </w:rPr>
      </w:pPr>
      <w:r>
        <w:rPr>
          <w:szCs w:val="24"/>
          <w:lang w:val="en-CA"/>
        </w:rPr>
        <w:br w:type="page"/>
      </w:r>
    </w:p>
    <w:p w:rsidR="007B6B92" w:rsidRPr="00417D91" w:rsidRDefault="007B6B92" w:rsidP="007B6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center"/>
        <w:rPr>
          <w:b/>
          <w:szCs w:val="24"/>
          <w:u w:val="single"/>
        </w:rPr>
      </w:pPr>
      <w:r w:rsidRPr="00417D91">
        <w:rPr>
          <w:b/>
          <w:szCs w:val="24"/>
          <w:u w:val="single"/>
        </w:rPr>
        <w:t>CERTIFICATE OF SERVICE</w:t>
      </w:r>
    </w:p>
    <w:p w:rsidR="007B6B92" w:rsidRDefault="007B6B92" w:rsidP="007B6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p>
    <w:p w:rsidR="007B6B92" w:rsidRDefault="007B6B92" w:rsidP="007B6B92">
      <w:pPr>
        <w:widowControl w:val="0"/>
        <w:spacing w:line="480" w:lineRule="auto"/>
        <w:rPr>
          <w:szCs w:val="24"/>
          <w:lang w:val="en-CA"/>
        </w:rPr>
      </w:pPr>
      <w:r>
        <w:rPr>
          <w:szCs w:val="24"/>
          <w:lang w:val="en-CA"/>
        </w:rPr>
        <w:tab/>
      </w:r>
      <w:r w:rsidRPr="008C4551">
        <w:rPr>
          <w:szCs w:val="24"/>
          <w:lang w:val="en-CA"/>
        </w:rPr>
        <w:t xml:space="preserve">I hereby certify that on </w:t>
      </w:r>
      <w:r>
        <w:rPr>
          <w:szCs w:val="24"/>
          <w:lang w:val="en-CA"/>
        </w:rPr>
        <w:t>June 28, 2012</w:t>
      </w:r>
      <w:r w:rsidRPr="008C4551">
        <w:rPr>
          <w:szCs w:val="24"/>
          <w:lang w:val="en-CA"/>
        </w:rPr>
        <w:t xml:space="preserve">, I electronically filed the foregoing document with the Clerk of Court using CM/ECF. I also certify that the </w:t>
      </w:r>
      <w:r>
        <w:rPr>
          <w:szCs w:val="24"/>
          <w:lang w:val="en-CA"/>
        </w:rPr>
        <w:t xml:space="preserve">a true and correct copy of the </w:t>
      </w:r>
      <w:r w:rsidRPr="008C4551">
        <w:rPr>
          <w:szCs w:val="24"/>
          <w:lang w:val="en-CA"/>
        </w:rPr>
        <w:t xml:space="preserve">foregoing document </w:t>
      </w:r>
      <w:r>
        <w:rPr>
          <w:szCs w:val="24"/>
          <w:lang w:val="en-CA"/>
        </w:rPr>
        <w:t>was</w:t>
      </w:r>
      <w:r w:rsidRPr="008C4551">
        <w:rPr>
          <w:szCs w:val="24"/>
          <w:lang w:val="en-CA"/>
        </w:rPr>
        <w:t xml:space="preserve"> served</w:t>
      </w:r>
      <w:r>
        <w:rPr>
          <w:szCs w:val="24"/>
          <w:lang w:val="en-CA"/>
        </w:rPr>
        <w:t xml:space="preserve"> on June 28, 2012 </w:t>
      </w:r>
      <w:r w:rsidRPr="008C4551">
        <w:rPr>
          <w:szCs w:val="24"/>
          <w:lang w:val="en-CA"/>
        </w:rPr>
        <w:t xml:space="preserve">on all counsel </w:t>
      </w:r>
      <w:r>
        <w:rPr>
          <w:szCs w:val="24"/>
          <w:lang w:val="en-CA"/>
        </w:rPr>
        <w:t>of record</w:t>
      </w:r>
      <w:r w:rsidRPr="008C4551">
        <w:rPr>
          <w:szCs w:val="24"/>
          <w:lang w:val="en-CA"/>
        </w:rPr>
        <w:t xml:space="preserve"> </w:t>
      </w:r>
      <w:r>
        <w:rPr>
          <w:szCs w:val="24"/>
          <w:lang w:val="en-CA"/>
        </w:rPr>
        <w:t xml:space="preserve">or parties </w:t>
      </w:r>
      <w:r w:rsidRPr="008C4551">
        <w:rPr>
          <w:szCs w:val="24"/>
          <w:lang w:val="en-CA"/>
        </w:rPr>
        <w:t xml:space="preserve">identified on the Service List </w:t>
      </w:r>
      <w:r>
        <w:rPr>
          <w:szCs w:val="24"/>
          <w:lang w:val="en-CA"/>
        </w:rPr>
        <w:t xml:space="preserve">below </w:t>
      </w:r>
      <w:r w:rsidRPr="008C4551">
        <w:rPr>
          <w:szCs w:val="24"/>
          <w:lang w:val="en-CA"/>
        </w:rPr>
        <w:t>in the manner specified</w:t>
      </w:r>
      <w:r>
        <w:rPr>
          <w:szCs w:val="24"/>
          <w:lang w:val="en-CA"/>
        </w:rPr>
        <w:t xml:space="preserve"> below</w:t>
      </w:r>
      <w:r w:rsidRPr="008C4551">
        <w:rPr>
          <w:szCs w:val="24"/>
          <w:lang w:val="en-CA"/>
        </w:rPr>
        <w:t>, either via transmission of Notices of Electronic Filing generated by CM/ECF</w:t>
      </w:r>
      <w:r>
        <w:rPr>
          <w:szCs w:val="24"/>
          <w:lang w:val="en-CA"/>
        </w:rPr>
        <w:t>,</w:t>
      </w:r>
      <w:r w:rsidRPr="008C4551">
        <w:rPr>
          <w:szCs w:val="24"/>
          <w:lang w:val="en-CA"/>
        </w:rPr>
        <w:t xml:space="preserve"> or in some other authorized manner for those counsel or parties who are not authorized to receive Notices of Electronic Filing.</w:t>
      </w:r>
      <w:r>
        <w:rPr>
          <w:szCs w:val="24"/>
          <w:lang w:val="en-CA"/>
        </w:rPr>
        <w:tab/>
      </w:r>
      <w:r>
        <w:rPr>
          <w:szCs w:val="24"/>
          <w:lang w:val="en-CA"/>
        </w:rPr>
        <w:tab/>
      </w:r>
      <w:r>
        <w:rPr>
          <w:szCs w:val="24"/>
          <w:lang w:val="en-CA"/>
        </w:rPr>
        <w:tab/>
      </w:r>
      <w:r>
        <w:rPr>
          <w:szCs w:val="24"/>
          <w:lang w:val="en-CA"/>
        </w:rPr>
        <w:tab/>
      </w:r>
      <w:r>
        <w:rPr>
          <w:szCs w:val="24"/>
          <w:lang w:val="en-CA"/>
        </w:rPr>
        <w:tab/>
      </w:r>
      <w:r>
        <w:rPr>
          <w:szCs w:val="24"/>
          <w:lang w:val="en-CA"/>
        </w:rPr>
        <w:tab/>
      </w:r>
      <w:r>
        <w:rPr>
          <w:szCs w:val="24"/>
          <w:lang w:val="en-CA"/>
        </w:rPr>
        <w:tab/>
      </w:r>
    </w:p>
    <w:p w:rsidR="007B6B92" w:rsidRDefault="007B6B92" w:rsidP="007B6B92">
      <w:pPr>
        <w:widowControl w:val="0"/>
        <w:ind w:left="5040" w:firstLine="720"/>
        <w:rPr>
          <w:i/>
          <w:szCs w:val="24"/>
          <w:u w:val="single"/>
          <w:lang w:val="en-CA"/>
        </w:rPr>
      </w:pPr>
      <w:r w:rsidRPr="00C24543">
        <w:rPr>
          <w:i/>
          <w:szCs w:val="24"/>
          <w:u w:val="single"/>
          <w:lang w:val="en-CA"/>
        </w:rPr>
        <w:t>/s/ Travis W</w:t>
      </w:r>
      <w:r>
        <w:rPr>
          <w:i/>
          <w:szCs w:val="24"/>
          <w:u w:val="single"/>
          <w:lang w:val="en-CA"/>
        </w:rPr>
        <w:t>.</w:t>
      </w:r>
      <w:r w:rsidRPr="00C24543">
        <w:rPr>
          <w:i/>
          <w:szCs w:val="24"/>
          <w:u w:val="single"/>
          <w:lang w:val="en-CA"/>
        </w:rPr>
        <w:t xml:space="preserve"> England</w:t>
      </w:r>
    </w:p>
    <w:p w:rsidR="007B6B92" w:rsidRPr="00C24543" w:rsidRDefault="007B6B92" w:rsidP="007B6B92">
      <w:pPr>
        <w:widowControl w:val="0"/>
        <w:spacing w:line="480" w:lineRule="auto"/>
        <w:rPr>
          <w:szCs w:val="24"/>
          <w:lang w:val="en-CA"/>
        </w:rPr>
      </w:pPr>
      <w:r w:rsidRPr="00C24543">
        <w:rPr>
          <w:i/>
          <w:szCs w:val="24"/>
          <w:lang w:val="en-CA"/>
        </w:rPr>
        <w:tab/>
      </w:r>
      <w:r w:rsidRPr="00C24543">
        <w:rPr>
          <w:i/>
          <w:szCs w:val="24"/>
          <w:lang w:val="en-CA"/>
        </w:rPr>
        <w:tab/>
      </w:r>
      <w:r w:rsidRPr="00C24543">
        <w:rPr>
          <w:i/>
          <w:szCs w:val="24"/>
          <w:lang w:val="en-CA"/>
        </w:rPr>
        <w:tab/>
      </w:r>
      <w:r w:rsidRPr="00C24543">
        <w:rPr>
          <w:i/>
          <w:szCs w:val="24"/>
          <w:lang w:val="en-CA"/>
        </w:rPr>
        <w:tab/>
      </w:r>
      <w:r w:rsidRPr="00C24543">
        <w:rPr>
          <w:i/>
          <w:szCs w:val="24"/>
          <w:lang w:val="en-CA"/>
        </w:rPr>
        <w:tab/>
      </w:r>
      <w:r w:rsidRPr="00C24543">
        <w:rPr>
          <w:i/>
          <w:szCs w:val="24"/>
          <w:lang w:val="en-CA"/>
        </w:rPr>
        <w:tab/>
      </w:r>
      <w:r w:rsidRPr="00C24543">
        <w:rPr>
          <w:i/>
          <w:szCs w:val="24"/>
          <w:lang w:val="en-CA"/>
        </w:rPr>
        <w:tab/>
      </w:r>
      <w:r w:rsidRPr="00C24543">
        <w:rPr>
          <w:i/>
          <w:szCs w:val="24"/>
          <w:lang w:val="en-CA"/>
        </w:rPr>
        <w:tab/>
      </w:r>
      <w:r w:rsidRPr="00C24543">
        <w:rPr>
          <w:szCs w:val="24"/>
          <w:lang w:val="en-CA"/>
        </w:rPr>
        <w:t>Travis W. England</w:t>
      </w:r>
      <w:r w:rsidR="005B5F11" w:rsidRPr="00C24543">
        <w:rPr>
          <w:szCs w:val="24"/>
          <w:lang w:val="en-CA"/>
        </w:rPr>
        <w:fldChar w:fldCharType="begin"/>
      </w:r>
      <w:r w:rsidRPr="00C24543">
        <w:rPr>
          <w:szCs w:val="24"/>
          <w:lang w:val="en-CA"/>
        </w:rPr>
        <w:instrText xml:space="preserve"> SEQ CHAPTER \h \r 1</w:instrText>
      </w:r>
      <w:r w:rsidR="005B5F11" w:rsidRPr="00C24543">
        <w:rPr>
          <w:szCs w:val="24"/>
          <w:lang w:val="en-CA"/>
        </w:rPr>
        <w:fldChar w:fldCharType="end"/>
      </w:r>
    </w:p>
    <w:p w:rsidR="007B6B92" w:rsidRDefault="007B6B92" w:rsidP="007B6B92">
      <w:pPr>
        <w:spacing w:after="200" w:line="276" w:lineRule="auto"/>
      </w:pPr>
      <w:r>
        <w:br w:type="page"/>
      </w:r>
    </w:p>
    <w:p w:rsidR="007B6B92" w:rsidRDefault="007B6B92" w:rsidP="007B6B92">
      <w:pPr>
        <w:spacing w:line="480" w:lineRule="auto"/>
        <w:jc w:val="center"/>
        <w:rPr>
          <w:b/>
        </w:rPr>
      </w:pPr>
      <w:r>
        <w:rPr>
          <w:b/>
        </w:rPr>
        <w:t>SERVICE LIST</w:t>
      </w:r>
    </w:p>
    <w:tbl>
      <w:tblPr>
        <w:tblStyle w:val="TableGrid"/>
        <w:tblW w:w="9738" w:type="dxa"/>
        <w:tblLook w:val="04A0"/>
      </w:tblPr>
      <w:tblGrid>
        <w:gridCol w:w="4878"/>
        <w:gridCol w:w="4860"/>
      </w:tblGrid>
      <w:tr w:rsidR="007B6B92" w:rsidTr="00690AEC">
        <w:tc>
          <w:tcPr>
            <w:tcW w:w="4878" w:type="dxa"/>
          </w:tcPr>
          <w:p w:rsidR="007B6B92" w:rsidRPr="00462780" w:rsidRDefault="007B6B92" w:rsidP="00690AEC">
            <w:r w:rsidRPr="00462780">
              <w:t>Edward J. Grunewald</w:t>
            </w:r>
          </w:p>
          <w:p w:rsidR="007B6B92" w:rsidRPr="00462780" w:rsidRDefault="007B6B92" w:rsidP="00690AEC">
            <w:r w:rsidRPr="00462780">
              <w:t>The North Florida Center for Equal Justice, Inc.</w:t>
            </w:r>
          </w:p>
          <w:p w:rsidR="007B6B92" w:rsidRPr="00462780" w:rsidRDefault="007B6B92" w:rsidP="00690AEC">
            <w:r w:rsidRPr="00462780">
              <w:t>2121 Delta Blvd.</w:t>
            </w:r>
          </w:p>
          <w:p w:rsidR="007B6B92" w:rsidRPr="00462780" w:rsidRDefault="007B6B92" w:rsidP="00690AEC">
            <w:r>
              <w:t>Tallahassee</w:t>
            </w:r>
            <w:r w:rsidRPr="00462780">
              <w:t>, FL  32306</w:t>
            </w:r>
          </w:p>
          <w:p w:rsidR="007B6B92" w:rsidRPr="00462780" w:rsidRDefault="007B6B92" w:rsidP="00690AEC">
            <w:r>
              <w:t xml:space="preserve">Phone: </w:t>
            </w:r>
            <w:r w:rsidRPr="00462780">
              <w:t>850-701-3980</w:t>
            </w:r>
          </w:p>
          <w:p w:rsidR="007B6B92" w:rsidRPr="00462780" w:rsidRDefault="007B6B92" w:rsidP="00690AEC">
            <w:r w:rsidRPr="00462780">
              <w:t>Fax: 850-701-3985</w:t>
            </w:r>
          </w:p>
          <w:p w:rsidR="007B6B92" w:rsidRDefault="007B6B92" w:rsidP="00690AEC">
            <w:r w:rsidRPr="00462780">
              <w:t>Email:</w:t>
            </w:r>
            <w:r>
              <w:t xml:space="preserve"> </w:t>
            </w:r>
            <w:hyperlink r:id="rId9" w:history="1">
              <w:r w:rsidRPr="001C3538">
                <w:rPr>
                  <w:rStyle w:val="Hyperlink"/>
                </w:rPr>
                <w:t>egrunewald@nfcfej.org</w:t>
              </w:r>
            </w:hyperlink>
          </w:p>
          <w:p w:rsidR="007B6B92" w:rsidRDefault="007B6B92" w:rsidP="00690AEC">
            <w:r>
              <w:t>Attorney for Plaintiffs</w:t>
            </w:r>
          </w:p>
          <w:p w:rsidR="007B6B92" w:rsidRDefault="007B6B92" w:rsidP="00690AEC">
            <w:pPr>
              <w:rPr>
                <w:b/>
              </w:rPr>
            </w:pPr>
            <w:r>
              <w:t>Service by CM/ECF</w:t>
            </w:r>
          </w:p>
        </w:tc>
        <w:tc>
          <w:tcPr>
            <w:tcW w:w="4860" w:type="dxa"/>
          </w:tcPr>
          <w:p w:rsidR="007B6B92" w:rsidRPr="00462780" w:rsidRDefault="007B6B92" w:rsidP="00690AEC">
            <w:r w:rsidRPr="00462780">
              <w:t>Jamie Ito</w:t>
            </w:r>
          </w:p>
          <w:p w:rsidR="007B6B92" w:rsidRPr="00462780" w:rsidRDefault="007B6B92" w:rsidP="00690AEC">
            <w:r w:rsidRPr="00462780">
              <w:t>The North Florida Center for Equal Justice, Inc.</w:t>
            </w:r>
          </w:p>
          <w:p w:rsidR="007B6B92" w:rsidRPr="00462780" w:rsidRDefault="007B6B92" w:rsidP="00690AEC">
            <w:r w:rsidRPr="00462780">
              <w:t>2121 Delta Blvd.</w:t>
            </w:r>
          </w:p>
          <w:p w:rsidR="007B6B92" w:rsidRPr="00462780" w:rsidRDefault="007B6B92" w:rsidP="00690AEC">
            <w:r w:rsidRPr="00462780">
              <w:t>Tallahassee</w:t>
            </w:r>
            <w:r>
              <w:t>,</w:t>
            </w:r>
            <w:r w:rsidRPr="00462780">
              <w:t xml:space="preserve"> FL  32306</w:t>
            </w:r>
          </w:p>
          <w:p w:rsidR="007B6B92" w:rsidRPr="00462780" w:rsidRDefault="007B6B92" w:rsidP="00690AEC">
            <w:r>
              <w:t xml:space="preserve">Phone: </w:t>
            </w:r>
            <w:r w:rsidRPr="00462780">
              <w:t>850-701-3980</w:t>
            </w:r>
          </w:p>
          <w:p w:rsidR="007B6B92" w:rsidRPr="00462780" w:rsidRDefault="007B6B92" w:rsidP="00690AEC">
            <w:r w:rsidRPr="00462780">
              <w:t>Fax: 850-701-3895</w:t>
            </w:r>
          </w:p>
          <w:p w:rsidR="007B6B92" w:rsidRDefault="007B6B92" w:rsidP="00690AEC">
            <w:r>
              <w:t xml:space="preserve">Email: </w:t>
            </w:r>
            <w:hyperlink r:id="rId10" w:history="1">
              <w:r w:rsidRPr="001C3538">
                <w:rPr>
                  <w:rStyle w:val="Hyperlink"/>
                </w:rPr>
                <w:t>jamie@nfcfej.org</w:t>
              </w:r>
            </w:hyperlink>
            <w:r>
              <w:t xml:space="preserve">  </w:t>
            </w:r>
          </w:p>
          <w:p w:rsidR="007B6B92" w:rsidRDefault="007B6B92" w:rsidP="00690AEC">
            <w:r>
              <w:t>Attorney for Plaintiffs</w:t>
            </w:r>
          </w:p>
          <w:p w:rsidR="007B6B92" w:rsidRDefault="007B6B92" w:rsidP="00690AEC">
            <w:pPr>
              <w:rPr>
                <w:b/>
              </w:rPr>
            </w:pPr>
            <w:r>
              <w:t>Service by CM/ECF</w:t>
            </w:r>
          </w:p>
        </w:tc>
      </w:tr>
      <w:tr w:rsidR="007B6B92" w:rsidTr="00690AEC">
        <w:tc>
          <w:tcPr>
            <w:tcW w:w="4878" w:type="dxa"/>
          </w:tcPr>
          <w:p w:rsidR="007B6B92" w:rsidRPr="00462780" w:rsidRDefault="007B6B92" w:rsidP="00690AEC">
            <w:r w:rsidRPr="00462780">
              <w:t xml:space="preserve">Jill B. </w:t>
            </w:r>
            <w:proofErr w:type="spellStart"/>
            <w:r w:rsidRPr="00462780">
              <w:t>Zaborske</w:t>
            </w:r>
            <w:proofErr w:type="spellEnd"/>
          </w:p>
          <w:p w:rsidR="007B6B92" w:rsidRPr="00462780" w:rsidRDefault="007B6B92" w:rsidP="00690AEC">
            <w:r w:rsidRPr="00462780">
              <w:t>The North Florida Center For Equal Justice, Inc.</w:t>
            </w:r>
          </w:p>
          <w:p w:rsidR="007B6B92" w:rsidRPr="00462780" w:rsidRDefault="007B6B92" w:rsidP="00690AEC">
            <w:r w:rsidRPr="00462780">
              <w:t>2121 Delta Blvd.</w:t>
            </w:r>
          </w:p>
          <w:p w:rsidR="007B6B92" w:rsidRPr="00462780" w:rsidRDefault="007B6B92" w:rsidP="00690AEC">
            <w:r>
              <w:t>Tallahassee</w:t>
            </w:r>
            <w:r w:rsidRPr="00462780">
              <w:t>, FL  32303</w:t>
            </w:r>
          </w:p>
          <w:p w:rsidR="007B6B92" w:rsidRPr="00462780" w:rsidRDefault="007B6B92" w:rsidP="00690AEC">
            <w:r>
              <w:t xml:space="preserve">Phone: </w:t>
            </w:r>
            <w:r w:rsidRPr="00462780">
              <w:t>850-701-3980</w:t>
            </w:r>
          </w:p>
          <w:p w:rsidR="007B6B92" w:rsidRPr="00462780" w:rsidRDefault="007B6B92" w:rsidP="00690AEC">
            <w:r w:rsidRPr="00462780">
              <w:t>Fax: 850-701-3985</w:t>
            </w:r>
          </w:p>
          <w:p w:rsidR="007B6B92" w:rsidRDefault="007B6B92" w:rsidP="00690AEC">
            <w:r w:rsidRPr="00462780">
              <w:t>Email:</w:t>
            </w:r>
            <w:r>
              <w:t xml:space="preserve"> </w:t>
            </w:r>
            <w:hyperlink r:id="rId11" w:history="1">
              <w:r w:rsidRPr="001C3538">
                <w:rPr>
                  <w:rStyle w:val="Hyperlink"/>
                </w:rPr>
                <w:t>jill@nfcfej.org</w:t>
              </w:r>
            </w:hyperlink>
            <w:r>
              <w:t xml:space="preserve"> </w:t>
            </w:r>
          </w:p>
          <w:p w:rsidR="007B6B92" w:rsidRDefault="007B6B92" w:rsidP="00690AEC">
            <w:r>
              <w:t>Attorney for Plaintiffs</w:t>
            </w:r>
          </w:p>
          <w:p w:rsidR="007B6B92" w:rsidRDefault="007B6B92" w:rsidP="00690AEC">
            <w:pPr>
              <w:rPr>
                <w:b/>
              </w:rPr>
            </w:pPr>
            <w:r>
              <w:t>Service by CM/ECF</w:t>
            </w:r>
          </w:p>
        </w:tc>
        <w:tc>
          <w:tcPr>
            <w:tcW w:w="4860" w:type="dxa"/>
          </w:tcPr>
          <w:p w:rsidR="007B6B92" w:rsidRPr="000D52E2" w:rsidRDefault="007B6B92" w:rsidP="00690AEC">
            <w:r w:rsidRPr="000D52E2">
              <w:t xml:space="preserve">Paolo G. </w:t>
            </w:r>
            <w:proofErr w:type="spellStart"/>
            <w:r w:rsidRPr="000D52E2">
              <w:t>Annino</w:t>
            </w:r>
            <w:proofErr w:type="spellEnd"/>
          </w:p>
          <w:p w:rsidR="007B6B92" w:rsidRPr="000D52E2" w:rsidRDefault="007B6B92" w:rsidP="00690AEC">
            <w:r w:rsidRPr="000D52E2">
              <w:t>FSU College of Law Public Interest Law Center</w:t>
            </w:r>
          </w:p>
          <w:p w:rsidR="007B6B92" w:rsidRPr="000D52E2" w:rsidRDefault="007B6B92" w:rsidP="00690AEC">
            <w:r w:rsidRPr="000D52E2">
              <w:t>425 W. Jefferson Street</w:t>
            </w:r>
          </w:p>
          <w:p w:rsidR="007B6B92" w:rsidRPr="000D52E2" w:rsidRDefault="007B6B92" w:rsidP="00690AEC">
            <w:r w:rsidRPr="000D52E2">
              <w:t>Tallahassee , FL  32306</w:t>
            </w:r>
          </w:p>
          <w:p w:rsidR="007B6B92" w:rsidRPr="000D52E2" w:rsidRDefault="007B6B92" w:rsidP="00690AEC">
            <w:r>
              <w:t xml:space="preserve">Phone: </w:t>
            </w:r>
            <w:r w:rsidRPr="000D52E2">
              <w:t>850-644-9928</w:t>
            </w:r>
          </w:p>
          <w:p w:rsidR="007B6B92" w:rsidRPr="000D52E2" w:rsidRDefault="007B6B92" w:rsidP="00690AEC">
            <w:r w:rsidRPr="000D52E2">
              <w:t>Fax: 850-644-0879</w:t>
            </w:r>
          </w:p>
          <w:p w:rsidR="007B6B92" w:rsidRDefault="007B6B92" w:rsidP="00690AEC">
            <w:r w:rsidRPr="000D52E2">
              <w:t>Email:</w:t>
            </w:r>
            <w:r>
              <w:t xml:space="preserve"> </w:t>
            </w:r>
            <w:hyperlink r:id="rId12" w:history="1">
              <w:r w:rsidRPr="001C3538">
                <w:rPr>
                  <w:rStyle w:val="Hyperlink"/>
                </w:rPr>
                <w:t>pannino@law.fsu.edu</w:t>
              </w:r>
            </w:hyperlink>
            <w:r>
              <w:t xml:space="preserve"> </w:t>
            </w:r>
          </w:p>
          <w:p w:rsidR="007B6B92" w:rsidRDefault="007B6B92" w:rsidP="00690AEC">
            <w:r>
              <w:t>Attorney for Plaintiffs</w:t>
            </w:r>
          </w:p>
          <w:p w:rsidR="007B6B92" w:rsidRDefault="007B6B92" w:rsidP="00690AEC">
            <w:pPr>
              <w:rPr>
                <w:b/>
              </w:rPr>
            </w:pPr>
            <w:r>
              <w:t>Service by CM/ECF</w:t>
            </w:r>
          </w:p>
        </w:tc>
      </w:tr>
      <w:tr w:rsidR="007B6B92" w:rsidTr="00690AEC">
        <w:tc>
          <w:tcPr>
            <w:tcW w:w="4878" w:type="dxa"/>
          </w:tcPr>
          <w:p w:rsidR="007B6B92" w:rsidRPr="000D52E2" w:rsidRDefault="007B6B92" w:rsidP="00690AEC">
            <w:r w:rsidRPr="000D52E2">
              <w:t>Matthew W. Dietz</w:t>
            </w:r>
          </w:p>
          <w:p w:rsidR="007B6B92" w:rsidRPr="000D52E2" w:rsidRDefault="007B6B92" w:rsidP="00690AEC">
            <w:r w:rsidRPr="000D52E2">
              <w:t xml:space="preserve">2990 </w:t>
            </w:r>
            <w:r>
              <w:t>SW</w:t>
            </w:r>
            <w:r w:rsidRPr="000D52E2">
              <w:t xml:space="preserve"> 35th Avenue</w:t>
            </w:r>
          </w:p>
          <w:p w:rsidR="007B6B92" w:rsidRPr="000D52E2" w:rsidRDefault="007B6B92" w:rsidP="00690AEC">
            <w:r w:rsidRPr="000D52E2">
              <w:t>Miami, FL  33133</w:t>
            </w:r>
          </w:p>
          <w:p w:rsidR="007B6B92" w:rsidRPr="000D52E2" w:rsidRDefault="007B6B92" w:rsidP="00690AEC">
            <w:r>
              <w:t xml:space="preserve">Phone: </w:t>
            </w:r>
            <w:r w:rsidRPr="000D52E2">
              <w:t>305-669-2822</w:t>
            </w:r>
          </w:p>
          <w:p w:rsidR="007B6B92" w:rsidRPr="000D52E2" w:rsidRDefault="007B6B92" w:rsidP="00690AEC">
            <w:r w:rsidRPr="000D52E2">
              <w:t xml:space="preserve">Fax: </w:t>
            </w:r>
            <w:r>
              <w:t>305-</w:t>
            </w:r>
            <w:r w:rsidRPr="000D52E2">
              <w:t>442-4181</w:t>
            </w:r>
          </w:p>
          <w:p w:rsidR="007B6B92" w:rsidRDefault="007B6B92" w:rsidP="00690AEC">
            <w:r>
              <w:t xml:space="preserve">Email: </w:t>
            </w:r>
            <w:hyperlink r:id="rId13" w:history="1">
              <w:r w:rsidRPr="001C3538">
                <w:rPr>
                  <w:rStyle w:val="Hyperlink"/>
                </w:rPr>
                <w:t>matthewdietz@usdisabilitylaw.com</w:t>
              </w:r>
            </w:hyperlink>
            <w:r>
              <w:t xml:space="preserve"> </w:t>
            </w:r>
          </w:p>
          <w:p w:rsidR="007B6B92" w:rsidRDefault="007B6B92" w:rsidP="00690AEC">
            <w:r>
              <w:t>Attorney for Plaintiffs</w:t>
            </w:r>
          </w:p>
          <w:p w:rsidR="007B6B92" w:rsidRDefault="007B6B92" w:rsidP="00690AEC">
            <w:pPr>
              <w:rPr>
                <w:b/>
              </w:rPr>
            </w:pPr>
            <w:r>
              <w:t>Service by CM/ECF</w:t>
            </w:r>
          </w:p>
        </w:tc>
        <w:tc>
          <w:tcPr>
            <w:tcW w:w="4860" w:type="dxa"/>
          </w:tcPr>
          <w:p w:rsidR="007B6B92" w:rsidRPr="000D52E2" w:rsidRDefault="007B6B92" w:rsidP="00690AEC">
            <w:r w:rsidRPr="000D52E2">
              <w:t xml:space="preserve">Andrew T. </w:t>
            </w:r>
            <w:proofErr w:type="spellStart"/>
            <w:r w:rsidRPr="000D52E2">
              <w:t>Sheeran</w:t>
            </w:r>
            <w:proofErr w:type="spellEnd"/>
          </w:p>
          <w:p w:rsidR="007B6B92" w:rsidRPr="000D52E2" w:rsidRDefault="007B6B92" w:rsidP="00690AEC">
            <w:r w:rsidRPr="000D52E2">
              <w:t>Agency for Health Care Administration</w:t>
            </w:r>
          </w:p>
          <w:p w:rsidR="007B6B92" w:rsidRDefault="007B6B92" w:rsidP="00690AEC">
            <w:r w:rsidRPr="000D52E2">
              <w:t xml:space="preserve">Office </w:t>
            </w:r>
            <w:r>
              <w:t>of t</w:t>
            </w:r>
            <w:r w:rsidRPr="000D52E2">
              <w:t xml:space="preserve">he General Counsel </w:t>
            </w:r>
          </w:p>
          <w:p w:rsidR="007B6B92" w:rsidRPr="000D52E2" w:rsidRDefault="007B6B92" w:rsidP="00690AEC">
            <w:r>
              <w:t xml:space="preserve">2727 Mahan Drive, </w:t>
            </w:r>
            <w:r w:rsidRPr="000D52E2">
              <w:t xml:space="preserve">Building 3, </w:t>
            </w:r>
            <w:r>
              <w:t>MS</w:t>
            </w:r>
            <w:r w:rsidRPr="000D52E2">
              <w:t xml:space="preserve"> #3</w:t>
            </w:r>
          </w:p>
          <w:p w:rsidR="007B6B92" w:rsidRPr="000D52E2" w:rsidRDefault="007B6B92" w:rsidP="00690AEC">
            <w:r>
              <w:t>Tallahassee</w:t>
            </w:r>
            <w:r w:rsidRPr="000D52E2">
              <w:t>, FL  32308</w:t>
            </w:r>
          </w:p>
          <w:p w:rsidR="007B6B92" w:rsidRPr="000D52E2" w:rsidRDefault="007B6B92" w:rsidP="00690AEC">
            <w:r>
              <w:t xml:space="preserve">Phone: </w:t>
            </w:r>
            <w:r w:rsidRPr="000D52E2">
              <w:t>850-412-3630</w:t>
            </w:r>
          </w:p>
          <w:p w:rsidR="007B6B92" w:rsidRPr="000D52E2" w:rsidRDefault="007B6B92" w:rsidP="00690AEC">
            <w:r w:rsidRPr="000D52E2">
              <w:t>Fax: 850-921-0158</w:t>
            </w:r>
          </w:p>
          <w:p w:rsidR="007B6B92" w:rsidRDefault="007B6B92" w:rsidP="00690AEC">
            <w:r>
              <w:t xml:space="preserve">Email: </w:t>
            </w:r>
            <w:hyperlink r:id="rId14" w:history="1">
              <w:r w:rsidRPr="001C3538">
                <w:rPr>
                  <w:rStyle w:val="Hyperlink"/>
                </w:rPr>
                <w:t>Andrew.Sheeran@ahca.myflorida.com</w:t>
              </w:r>
            </w:hyperlink>
            <w:r>
              <w:t xml:space="preserve"> </w:t>
            </w:r>
          </w:p>
          <w:p w:rsidR="007B6B92" w:rsidRDefault="007B6B92" w:rsidP="00690AEC">
            <w:r>
              <w:t xml:space="preserve">Attorney for Defendant </w:t>
            </w:r>
            <w:proofErr w:type="spellStart"/>
            <w:r>
              <w:t>Dudek</w:t>
            </w:r>
            <w:proofErr w:type="spellEnd"/>
          </w:p>
          <w:p w:rsidR="007B6B92" w:rsidRPr="000D52E2" w:rsidRDefault="007B6B92" w:rsidP="00690AEC">
            <w:r>
              <w:t>Service by CM/ECF</w:t>
            </w:r>
          </w:p>
        </w:tc>
      </w:tr>
      <w:tr w:rsidR="007B6B92" w:rsidTr="00690AEC">
        <w:tc>
          <w:tcPr>
            <w:tcW w:w="4878" w:type="dxa"/>
          </w:tcPr>
          <w:p w:rsidR="007B6B92" w:rsidRPr="00B514AB" w:rsidRDefault="007B6B92" w:rsidP="00690AEC">
            <w:r w:rsidRPr="00B514AB">
              <w:t>Beverly H</w:t>
            </w:r>
            <w:r>
              <w:t>.</w:t>
            </w:r>
            <w:r w:rsidRPr="00B514AB">
              <w:t xml:space="preserve"> Smith</w:t>
            </w:r>
          </w:p>
          <w:p w:rsidR="007B6B92" w:rsidRPr="00B514AB" w:rsidRDefault="007B6B92" w:rsidP="00690AEC">
            <w:r w:rsidRPr="00B514AB">
              <w:t>Agency for Health Care Administration</w:t>
            </w:r>
          </w:p>
          <w:p w:rsidR="007B6B92" w:rsidRPr="00B514AB" w:rsidRDefault="007B6B92" w:rsidP="00690AEC">
            <w:r w:rsidRPr="00B514AB">
              <w:t xml:space="preserve">2727 Mahan Drive, </w:t>
            </w:r>
            <w:r>
              <w:t>MS</w:t>
            </w:r>
            <w:r w:rsidRPr="00B514AB">
              <w:t xml:space="preserve"> 3</w:t>
            </w:r>
          </w:p>
          <w:p w:rsidR="007B6B92" w:rsidRPr="00B514AB" w:rsidRDefault="007B6B92" w:rsidP="00690AEC">
            <w:r>
              <w:t>Tallahassee</w:t>
            </w:r>
            <w:r w:rsidRPr="00B514AB">
              <w:t>, FL  32308</w:t>
            </w:r>
          </w:p>
          <w:p w:rsidR="007B6B92" w:rsidRPr="00B514AB" w:rsidRDefault="007B6B92" w:rsidP="00690AEC">
            <w:r>
              <w:t>Phone: 850-</w:t>
            </w:r>
            <w:r w:rsidRPr="00B514AB">
              <w:t>412-3630</w:t>
            </w:r>
          </w:p>
          <w:p w:rsidR="007B6B92" w:rsidRPr="00B514AB" w:rsidRDefault="007B6B92" w:rsidP="00690AEC">
            <w:r>
              <w:t>Fax: 850-</w:t>
            </w:r>
            <w:r w:rsidRPr="00B514AB">
              <w:t>921-0158</w:t>
            </w:r>
          </w:p>
          <w:p w:rsidR="007B6B92" w:rsidRDefault="007B6B92" w:rsidP="00690AEC">
            <w:r w:rsidRPr="00B514AB">
              <w:t>Email:</w:t>
            </w:r>
            <w:r>
              <w:t xml:space="preserve"> </w:t>
            </w:r>
            <w:hyperlink r:id="rId15" w:history="1">
              <w:r w:rsidRPr="001C3538">
                <w:rPr>
                  <w:rStyle w:val="Hyperlink"/>
                </w:rPr>
                <w:t>Beverly.Smith@ahca.myflorida.com</w:t>
              </w:r>
            </w:hyperlink>
          </w:p>
          <w:p w:rsidR="007B6B92" w:rsidRDefault="007B6B92" w:rsidP="00690AEC">
            <w:r>
              <w:t xml:space="preserve">Attorney for Defendant </w:t>
            </w:r>
            <w:proofErr w:type="spellStart"/>
            <w:r>
              <w:t>Dudek</w:t>
            </w:r>
            <w:proofErr w:type="spellEnd"/>
          </w:p>
          <w:p w:rsidR="007B6B92" w:rsidRDefault="007B6B92" w:rsidP="00690AEC">
            <w:pPr>
              <w:rPr>
                <w:b/>
              </w:rPr>
            </w:pPr>
            <w:r>
              <w:t xml:space="preserve">Service by CM/ECF </w:t>
            </w:r>
          </w:p>
        </w:tc>
        <w:tc>
          <w:tcPr>
            <w:tcW w:w="4860" w:type="dxa"/>
          </w:tcPr>
          <w:p w:rsidR="007B6B92" w:rsidRPr="00B514AB" w:rsidRDefault="007B6B92" w:rsidP="00690AEC">
            <w:r w:rsidRPr="00B514AB">
              <w:t>Stuart Fraser Williams</w:t>
            </w:r>
          </w:p>
          <w:p w:rsidR="007B6B92" w:rsidRPr="00B514AB" w:rsidRDefault="007B6B92" w:rsidP="00690AEC">
            <w:r w:rsidRPr="00B514AB">
              <w:t>Agency for Health Care Administration</w:t>
            </w:r>
          </w:p>
          <w:p w:rsidR="007B6B92" w:rsidRPr="00B514AB" w:rsidRDefault="007B6B92" w:rsidP="00690AEC">
            <w:r>
              <w:t xml:space="preserve">2727 Mahan Drive, </w:t>
            </w:r>
            <w:r w:rsidRPr="00B514AB">
              <w:t>Mail Stop 3</w:t>
            </w:r>
          </w:p>
          <w:p w:rsidR="007B6B92" w:rsidRPr="00B514AB" w:rsidRDefault="007B6B92" w:rsidP="00690AEC">
            <w:r w:rsidRPr="00B514AB">
              <w:t>Tallahassee, FL  32308</w:t>
            </w:r>
          </w:p>
          <w:p w:rsidR="007B6B92" w:rsidRPr="00B514AB" w:rsidRDefault="007B6B92" w:rsidP="00690AEC">
            <w:r>
              <w:t xml:space="preserve">Phone: </w:t>
            </w:r>
            <w:r w:rsidRPr="00B514AB">
              <w:t>850-412-3630</w:t>
            </w:r>
          </w:p>
          <w:p w:rsidR="007B6B92" w:rsidRPr="00B514AB" w:rsidRDefault="007B6B92" w:rsidP="00690AEC">
            <w:r w:rsidRPr="00B514AB">
              <w:t>Fax: 850-921-0158</w:t>
            </w:r>
          </w:p>
          <w:p w:rsidR="007B6B92" w:rsidRDefault="007B6B92" w:rsidP="00690AEC">
            <w:r>
              <w:t xml:space="preserve">Email: </w:t>
            </w:r>
            <w:hyperlink r:id="rId16" w:history="1">
              <w:r w:rsidRPr="001C3538">
                <w:rPr>
                  <w:rStyle w:val="Hyperlink"/>
                </w:rPr>
                <w:t>Stuart.Williams@ahca.myflorida.com</w:t>
              </w:r>
            </w:hyperlink>
            <w:r>
              <w:t xml:space="preserve"> </w:t>
            </w:r>
          </w:p>
          <w:p w:rsidR="007B6B92" w:rsidRDefault="007B6B92" w:rsidP="00690AEC">
            <w:pPr>
              <w:ind w:left="342" w:hanging="270"/>
            </w:pPr>
            <w:r>
              <w:t xml:space="preserve">Attorney for Defendants </w:t>
            </w:r>
            <w:proofErr w:type="spellStart"/>
            <w:r>
              <w:t>Dudek</w:t>
            </w:r>
            <w:proofErr w:type="spellEnd"/>
            <w:r>
              <w:t>, Farmer, and Wiggins</w:t>
            </w:r>
          </w:p>
          <w:p w:rsidR="007B6B92" w:rsidRDefault="007B6B92" w:rsidP="00690AEC">
            <w:pPr>
              <w:rPr>
                <w:b/>
              </w:rPr>
            </w:pPr>
            <w:r>
              <w:t>Service by CM/ECF</w:t>
            </w:r>
          </w:p>
        </w:tc>
      </w:tr>
    </w:tbl>
    <w:p w:rsidR="007B6B92" w:rsidRDefault="007B6B92" w:rsidP="007B6B92">
      <w:r>
        <w:br w:type="page"/>
      </w:r>
    </w:p>
    <w:tbl>
      <w:tblPr>
        <w:tblStyle w:val="TableGrid"/>
        <w:tblW w:w="9738" w:type="dxa"/>
        <w:tblLook w:val="04A0"/>
      </w:tblPr>
      <w:tblGrid>
        <w:gridCol w:w="4878"/>
        <w:gridCol w:w="4860"/>
      </w:tblGrid>
      <w:tr w:rsidR="007B6B92" w:rsidTr="00690AEC">
        <w:tc>
          <w:tcPr>
            <w:tcW w:w="4878" w:type="dxa"/>
          </w:tcPr>
          <w:p w:rsidR="007B6B92" w:rsidRPr="00B514AB" w:rsidRDefault="007B6B92" w:rsidP="00690AEC">
            <w:r w:rsidRPr="00B514AB">
              <w:t xml:space="preserve">Nicholas William </w:t>
            </w:r>
            <w:proofErr w:type="spellStart"/>
            <w:r w:rsidRPr="00B514AB">
              <w:t>Romanello</w:t>
            </w:r>
            <w:proofErr w:type="spellEnd"/>
          </w:p>
          <w:p w:rsidR="007B6B92" w:rsidRPr="00B514AB" w:rsidRDefault="007B6B92" w:rsidP="00690AEC">
            <w:r w:rsidRPr="00B514AB">
              <w:t>Conrad &amp; Scherer</w:t>
            </w:r>
          </w:p>
          <w:p w:rsidR="007B6B92" w:rsidRDefault="007B6B92" w:rsidP="00690AEC">
            <w:r>
              <w:t xml:space="preserve">633 S. Federal Highway, </w:t>
            </w:r>
            <w:r w:rsidRPr="00B514AB">
              <w:t>8th Flo</w:t>
            </w:r>
            <w:r>
              <w:t>or</w:t>
            </w:r>
          </w:p>
          <w:p w:rsidR="007B6B92" w:rsidRPr="00B514AB" w:rsidRDefault="007B6B92" w:rsidP="00690AEC">
            <w:r>
              <w:t xml:space="preserve">PO </w:t>
            </w:r>
            <w:r w:rsidRPr="00B514AB">
              <w:t>Box 14723</w:t>
            </w:r>
          </w:p>
          <w:p w:rsidR="007B6B92" w:rsidRPr="00B514AB" w:rsidRDefault="007B6B92" w:rsidP="00690AEC">
            <w:r w:rsidRPr="00B514AB">
              <w:t>Fort Lauderdale, FL  33302-4723</w:t>
            </w:r>
          </w:p>
          <w:p w:rsidR="007B6B92" w:rsidRPr="00B514AB" w:rsidRDefault="007B6B92" w:rsidP="00690AEC">
            <w:r>
              <w:t xml:space="preserve">Phone: </w:t>
            </w:r>
            <w:r w:rsidRPr="00B514AB">
              <w:t>954-462-5500</w:t>
            </w:r>
          </w:p>
          <w:p w:rsidR="007B6B92" w:rsidRDefault="007B6B92" w:rsidP="00690AEC">
            <w:r w:rsidRPr="00B514AB">
              <w:t xml:space="preserve">Fax: </w:t>
            </w:r>
            <w:r>
              <w:t>954-</w:t>
            </w:r>
            <w:r w:rsidRPr="00B514AB">
              <w:t>463-9244</w:t>
            </w:r>
          </w:p>
          <w:p w:rsidR="007B6B92" w:rsidRDefault="007B6B92" w:rsidP="00690AEC">
            <w:r>
              <w:t>Attorney for Defendants Farmer and Wiggins</w:t>
            </w:r>
          </w:p>
          <w:p w:rsidR="007B6B92" w:rsidRPr="00152CB7" w:rsidRDefault="007B6B92" w:rsidP="00690AEC">
            <w:pPr>
              <w:rPr>
                <w:b/>
              </w:rPr>
            </w:pPr>
            <w:r>
              <w:rPr>
                <w:b/>
              </w:rPr>
              <w:t>Service by U.S. Mail</w:t>
            </w:r>
          </w:p>
        </w:tc>
        <w:tc>
          <w:tcPr>
            <w:tcW w:w="4860" w:type="dxa"/>
          </w:tcPr>
          <w:p w:rsidR="007B6B92" w:rsidRPr="00152CB7" w:rsidRDefault="007B6B92" w:rsidP="00690AEC">
            <w:r w:rsidRPr="00152CB7">
              <w:t>Harry Osborne Thomas</w:t>
            </w:r>
          </w:p>
          <w:p w:rsidR="007B6B92" w:rsidRPr="00152CB7" w:rsidRDefault="007B6B92" w:rsidP="00690AEC">
            <w:proofErr w:type="spellStart"/>
            <w:r w:rsidRPr="00152CB7">
              <w:t>Radey</w:t>
            </w:r>
            <w:proofErr w:type="spellEnd"/>
            <w:r w:rsidRPr="00152CB7">
              <w:t xml:space="preserve"> Thomas Yon &amp; Clark</w:t>
            </w:r>
          </w:p>
          <w:p w:rsidR="007B6B92" w:rsidRDefault="007B6B92" w:rsidP="00690AEC">
            <w:r w:rsidRPr="00152CB7">
              <w:t>301 S</w:t>
            </w:r>
            <w:r>
              <w:t>.</w:t>
            </w:r>
            <w:r w:rsidRPr="00152CB7">
              <w:t xml:space="preserve"> </w:t>
            </w:r>
            <w:proofErr w:type="spellStart"/>
            <w:r w:rsidRPr="00152CB7">
              <w:t>Bronough</w:t>
            </w:r>
            <w:proofErr w:type="spellEnd"/>
            <w:r w:rsidRPr="00152CB7">
              <w:t xml:space="preserve"> Street</w:t>
            </w:r>
            <w:r>
              <w:t>,</w:t>
            </w:r>
            <w:r w:rsidRPr="00152CB7">
              <w:t xml:space="preserve"> Suite 200</w:t>
            </w:r>
          </w:p>
          <w:p w:rsidR="007B6B92" w:rsidRPr="00152CB7" w:rsidRDefault="007B6B92" w:rsidP="00690AEC">
            <w:r>
              <w:t>PO</w:t>
            </w:r>
            <w:r w:rsidRPr="00152CB7">
              <w:t xml:space="preserve"> Box 10967</w:t>
            </w:r>
          </w:p>
          <w:p w:rsidR="007B6B92" w:rsidRPr="00152CB7" w:rsidRDefault="007B6B92" w:rsidP="00690AEC">
            <w:r>
              <w:t>Tallahassee</w:t>
            </w:r>
            <w:r w:rsidRPr="00152CB7">
              <w:t>, FL  32302</w:t>
            </w:r>
          </w:p>
          <w:p w:rsidR="007B6B92" w:rsidRPr="00152CB7" w:rsidRDefault="007B6B92" w:rsidP="00690AEC">
            <w:r>
              <w:t xml:space="preserve">Phone: </w:t>
            </w:r>
            <w:r w:rsidRPr="00152CB7">
              <w:t>850-425-6654</w:t>
            </w:r>
          </w:p>
          <w:p w:rsidR="007B6B92" w:rsidRPr="00152CB7" w:rsidRDefault="007B6B92" w:rsidP="00690AEC">
            <w:r w:rsidRPr="00152CB7">
              <w:t xml:space="preserve">Fax: </w:t>
            </w:r>
            <w:r>
              <w:t>850-</w:t>
            </w:r>
            <w:r w:rsidRPr="00152CB7">
              <w:t>425-6694</w:t>
            </w:r>
          </w:p>
          <w:p w:rsidR="007B6B92" w:rsidRDefault="007B6B92" w:rsidP="00690AEC">
            <w:r>
              <w:t xml:space="preserve">Email: </w:t>
            </w:r>
            <w:hyperlink r:id="rId17" w:history="1">
              <w:r w:rsidRPr="001C3538">
                <w:rPr>
                  <w:rStyle w:val="Hyperlink"/>
                </w:rPr>
                <w:t>Hthomas@radeylaw.com</w:t>
              </w:r>
            </w:hyperlink>
            <w:r>
              <w:t xml:space="preserve"> </w:t>
            </w:r>
          </w:p>
          <w:p w:rsidR="007B6B92" w:rsidRDefault="007B6B92" w:rsidP="00690AEC">
            <w:pPr>
              <w:ind w:left="252" w:hanging="252"/>
            </w:pPr>
            <w:r>
              <w:t xml:space="preserve">Attorney for Defendant </w:t>
            </w:r>
            <w:proofErr w:type="spellStart"/>
            <w:r>
              <w:t>eQHealth</w:t>
            </w:r>
            <w:proofErr w:type="spellEnd"/>
            <w:r>
              <w:t xml:space="preserve"> Solutions, Inc.</w:t>
            </w:r>
          </w:p>
          <w:p w:rsidR="007B6B92" w:rsidRDefault="007B6B92" w:rsidP="00690AEC">
            <w:pPr>
              <w:ind w:left="252" w:hanging="252"/>
              <w:rPr>
                <w:b/>
              </w:rPr>
            </w:pPr>
            <w:r>
              <w:t>Service by CM/ECF</w:t>
            </w:r>
          </w:p>
        </w:tc>
      </w:tr>
      <w:tr w:rsidR="007B6B92" w:rsidTr="00690AEC">
        <w:tc>
          <w:tcPr>
            <w:tcW w:w="4878" w:type="dxa"/>
          </w:tcPr>
          <w:p w:rsidR="007B6B92" w:rsidRPr="00152CB7" w:rsidRDefault="007B6B92" w:rsidP="00690AEC">
            <w:r>
              <w:t xml:space="preserve">Lisa </w:t>
            </w:r>
            <w:proofErr w:type="spellStart"/>
            <w:r>
              <w:t>Scoles</w:t>
            </w:r>
            <w:proofErr w:type="spellEnd"/>
          </w:p>
          <w:p w:rsidR="007B6B92" w:rsidRPr="00152CB7" w:rsidRDefault="007B6B92" w:rsidP="00690AEC">
            <w:proofErr w:type="spellStart"/>
            <w:r w:rsidRPr="00152CB7">
              <w:t>Radey</w:t>
            </w:r>
            <w:proofErr w:type="spellEnd"/>
            <w:r w:rsidRPr="00152CB7">
              <w:t xml:space="preserve"> Thomas Yon &amp; Clark</w:t>
            </w:r>
            <w:r>
              <w:t>, P.A.</w:t>
            </w:r>
          </w:p>
          <w:p w:rsidR="007B6B92" w:rsidRDefault="007B6B92" w:rsidP="00690AEC">
            <w:r w:rsidRPr="00152CB7">
              <w:t>301 S</w:t>
            </w:r>
            <w:r>
              <w:t>.</w:t>
            </w:r>
            <w:r w:rsidRPr="00152CB7">
              <w:t xml:space="preserve"> </w:t>
            </w:r>
            <w:proofErr w:type="spellStart"/>
            <w:r w:rsidRPr="00152CB7">
              <w:t>Bronough</w:t>
            </w:r>
            <w:proofErr w:type="spellEnd"/>
            <w:r w:rsidRPr="00152CB7">
              <w:t xml:space="preserve"> Street</w:t>
            </w:r>
            <w:r>
              <w:t>,</w:t>
            </w:r>
            <w:r w:rsidRPr="00152CB7">
              <w:t xml:space="preserve"> Suite 200</w:t>
            </w:r>
          </w:p>
          <w:p w:rsidR="007B6B92" w:rsidRPr="00152CB7" w:rsidRDefault="007B6B92" w:rsidP="00690AEC">
            <w:r>
              <w:t>Tallahassee, FL  32301</w:t>
            </w:r>
          </w:p>
          <w:p w:rsidR="007B6B92" w:rsidRPr="00152CB7" w:rsidRDefault="007B6B92" w:rsidP="00690AEC">
            <w:r>
              <w:t xml:space="preserve">Phone: </w:t>
            </w:r>
            <w:r w:rsidRPr="00152CB7">
              <w:t>850-425-6654</w:t>
            </w:r>
          </w:p>
          <w:p w:rsidR="007B6B92" w:rsidRPr="00152CB7" w:rsidRDefault="007B6B92" w:rsidP="00690AEC">
            <w:r w:rsidRPr="00152CB7">
              <w:t xml:space="preserve">Fax: </w:t>
            </w:r>
            <w:r>
              <w:t>850-</w:t>
            </w:r>
            <w:r w:rsidRPr="00152CB7">
              <w:t>425-6694</w:t>
            </w:r>
          </w:p>
          <w:p w:rsidR="007B6B92" w:rsidRDefault="007B6B92" w:rsidP="00690AEC">
            <w:r>
              <w:t xml:space="preserve">Email: </w:t>
            </w:r>
            <w:hyperlink r:id="rId18" w:history="1">
              <w:r w:rsidRPr="001C3538">
                <w:rPr>
                  <w:rStyle w:val="Hyperlink"/>
                </w:rPr>
                <w:t>lscoles@radeylaw.com</w:t>
              </w:r>
            </w:hyperlink>
            <w:r>
              <w:t xml:space="preserve"> </w:t>
            </w:r>
          </w:p>
          <w:p w:rsidR="007B6B92" w:rsidRDefault="007B6B92" w:rsidP="00690AEC">
            <w:pPr>
              <w:ind w:left="252" w:hanging="252"/>
            </w:pPr>
            <w:r>
              <w:t xml:space="preserve">Attorney for Defendant </w:t>
            </w:r>
            <w:proofErr w:type="spellStart"/>
            <w:r>
              <w:t>eQHealth</w:t>
            </w:r>
            <w:proofErr w:type="spellEnd"/>
            <w:r>
              <w:t xml:space="preserve"> Solutions, Inc.</w:t>
            </w:r>
          </w:p>
          <w:p w:rsidR="007B6B92" w:rsidRPr="00B514AB" w:rsidRDefault="007B6B92" w:rsidP="00690AEC">
            <w:r>
              <w:t>Service by CM/ECF</w:t>
            </w:r>
          </w:p>
        </w:tc>
        <w:tc>
          <w:tcPr>
            <w:tcW w:w="4860" w:type="dxa"/>
          </w:tcPr>
          <w:p w:rsidR="007B6B92" w:rsidRPr="00152CB7" w:rsidRDefault="007B6B92" w:rsidP="00690AEC"/>
        </w:tc>
      </w:tr>
    </w:tbl>
    <w:p w:rsidR="007B6B92" w:rsidRDefault="007B6B92" w:rsidP="007B6B92">
      <w:pPr>
        <w:spacing w:line="480" w:lineRule="auto"/>
        <w:rPr>
          <w:b/>
        </w:rPr>
      </w:pPr>
    </w:p>
    <w:p w:rsidR="0008704E" w:rsidRPr="00C24543" w:rsidRDefault="0008704E" w:rsidP="007B6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center"/>
        <w:rPr>
          <w:szCs w:val="24"/>
          <w:lang w:val="en-CA"/>
        </w:rPr>
      </w:pPr>
    </w:p>
    <w:sectPr w:rsidR="0008704E" w:rsidRPr="00C24543" w:rsidSect="00AE6A6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AEC" w:rsidRDefault="00690AEC">
      <w:r>
        <w:separator/>
      </w:r>
    </w:p>
  </w:endnote>
  <w:endnote w:type="continuationSeparator" w:id="0">
    <w:p w:rsidR="00690AEC" w:rsidRDefault="00690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Print">
    <w:altName w:val="Times New Roman"/>
    <w:panose1 w:val="02000600000000000000"/>
    <w:charset w:val="00"/>
    <w:family w:val="auto"/>
    <w:pitch w:val="variable"/>
    <w:sig w:usb0="0000028F" w:usb1="00000000" w:usb2="00000000" w:usb3="00000000" w:csb0="0000009F" w:csb1="00000000"/>
  </w:font>
  <w:font w:name="@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13" w:rsidRDefault="00E97A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20851"/>
      <w:docPartObj>
        <w:docPartGallery w:val="Page Numbers (Bottom of Page)"/>
        <w:docPartUnique/>
      </w:docPartObj>
    </w:sdtPr>
    <w:sdtContent>
      <w:p w:rsidR="00690AEC" w:rsidRDefault="005B5F11">
        <w:pPr>
          <w:pStyle w:val="Footer"/>
          <w:jc w:val="center"/>
        </w:pPr>
        <w:fldSimple w:instr=" PAGE   \* MERGEFORMAT ">
          <w:r w:rsidR="00E97A13">
            <w:rPr>
              <w:noProof/>
            </w:rPr>
            <w:t>25</w:t>
          </w:r>
        </w:fldSimple>
      </w:p>
    </w:sdtContent>
  </w:sdt>
  <w:p w:rsidR="00690AEC" w:rsidRDefault="00690AEC">
    <w:pPr>
      <w:spacing w:line="0" w:lineRule="atLea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13" w:rsidRDefault="00E97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AEC" w:rsidRDefault="00690AEC">
      <w:r>
        <w:separator/>
      </w:r>
    </w:p>
  </w:footnote>
  <w:footnote w:type="continuationSeparator" w:id="0">
    <w:p w:rsidR="00690AEC" w:rsidRDefault="00690AEC">
      <w:r>
        <w:continuationSeparator/>
      </w:r>
    </w:p>
  </w:footnote>
  <w:footnote w:id="1">
    <w:p w:rsidR="00690AEC" w:rsidRPr="00F15DEB" w:rsidRDefault="00690AEC" w:rsidP="0076027F">
      <w:pPr>
        <w:pStyle w:val="FootnoteText"/>
        <w:rPr>
          <w:szCs w:val="24"/>
        </w:rPr>
      </w:pPr>
      <w:r>
        <w:rPr>
          <w:rStyle w:val="FootnoteReference"/>
        </w:rPr>
        <w:footnoteRef/>
      </w:r>
      <w:r>
        <w:t xml:space="preserve"> </w:t>
      </w:r>
      <w:r>
        <w:rPr>
          <w:szCs w:val="24"/>
        </w:rPr>
        <w:t xml:space="preserve">28 U.S.C. § 517 permits the </w:t>
      </w:r>
      <w:r w:rsidRPr="00BB330E">
        <w:rPr>
          <w:szCs w:val="24"/>
        </w:rPr>
        <w:t xml:space="preserve">Attorney General to </w:t>
      </w:r>
      <w:r>
        <w:rPr>
          <w:szCs w:val="24"/>
        </w:rPr>
        <w:t xml:space="preserve">send an officer of the Department of Justice to </w:t>
      </w:r>
      <w:r w:rsidRPr="00BB330E">
        <w:rPr>
          <w:szCs w:val="24"/>
        </w:rPr>
        <w:t xml:space="preserve">any district in the United States </w:t>
      </w:r>
      <w:r>
        <w:rPr>
          <w:szCs w:val="24"/>
        </w:rPr>
        <w:t>“</w:t>
      </w:r>
      <w:r w:rsidRPr="00BB330E">
        <w:rPr>
          <w:szCs w:val="24"/>
        </w:rPr>
        <w:t>to attend to the interests of the United States in a suit pending in a court of the United States</w:t>
      </w:r>
      <w:r>
        <w:rPr>
          <w:szCs w:val="24"/>
        </w:rPr>
        <w:t xml:space="preserve">.”  </w:t>
      </w:r>
      <w:r>
        <w:rPr>
          <w:szCs w:val="24"/>
        </w:rPr>
        <w:br/>
      </w:r>
    </w:p>
  </w:footnote>
  <w:footnote w:id="2">
    <w:p w:rsidR="00690AEC" w:rsidRDefault="00690AEC" w:rsidP="00817986">
      <w:pPr>
        <w:pStyle w:val="FootnoteText"/>
        <w:rPr>
          <w:szCs w:val="24"/>
        </w:rPr>
      </w:pPr>
      <w:r>
        <w:rPr>
          <w:rStyle w:val="FootnoteReference"/>
        </w:rPr>
        <w:footnoteRef/>
      </w:r>
      <w:r>
        <w:t xml:space="preserve"> </w:t>
      </w:r>
      <w:r>
        <w:rPr>
          <w:szCs w:val="24"/>
        </w:rPr>
        <w:t xml:space="preserve">Plaintiffs seek to represent a class of Florida Medicaid recipients under the age of twenty-one who are able to and want to live in the community with appropriate supports and who are currently institutionalized or at risk of institutionalization in nursing facilities.  </w:t>
      </w:r>
      <w:proofErr w:type="gramStart"/>
      <w:r>
        <w:rPr>
          <w:szCs w:val="24"/>
        </w:rPr>
        <w:t>(</w:t>
      </w:r>
      <w:r w:rsidRPr="00C53984">
        <w:rPr>
          <w:i/>
          <w:szCs w:val="24"/>
        </w:rPr>
        <w:t>See</w:t>
      </w:r>
      <w:r>
        <w:rPr>
          <w:szCs w:val="24"/>
        </w:rPr>
        <w:t xml:space="preserve"> </w:t>
      </w:r>
      <w:proofErr w:type="spellStart"/>
      <w:r>
        <w:rPr>
          <w:szCs w:val="24"/>
        </w:rPr>
        <w:t>Compl</w:t>
      </w:r>
      <w:proofErr w:type="spellEnd"/>
      <w:r>
        <w:rPr>
          <w:szCs w:val="24"/>
        </w:rPr>
        <w:t>.</w:t>
      </w:r>
      <w:proofErr w:type="gramEnd"/>
      <w:r>
        <w:rPr>
          <w:szCs w:val="24"/>
        </w:rPr>
        <w:t xml:space="preserve">        </w:t>
      </w:r>
      <w:proofErr w:type="gramStart"/>
      <w:r>
        <w:rPr>
          <w:szCs w:val="24"/>
        </w:rPr>
        <w:t>¶ 254.)</w:t>
      </w:r>
      <w:proofErr w:type="gramEnd"/>
      <w:r>
        <w:rPr>
          <w:szCs w:val="24"/>
        </w:rPr>
        <w:t xml:space="preserve">  </w:t>
      </w:r>
    </w:p>
    <w:p w:rsidR="00690AEC" w:rsidRPr="00FF4B00" w:rsidRDefault="00690AEC" w:rsidP="00817986">
      <w:pPr>
        <w:pStyle w:val="FootnoteText"/>
        <w:rPr>
          <w:szCs w:val="24"/>
        </w:rPr>
      </w:pPr>
    </w:p>
  </w:footnote>
  <w:footnote w:id="3">
    <w:p w:rsidR="00690AEC" w:rsidRPr="000711FA" w:rsidRDefault="00690AEC">
      <w:pPr>
        <w:pStyle w:val="FootnoteText"/>
      </w:pPr>
      <w:r>
        <w:rPr>
          <w:rStyle w:val="FootnoteReference"/>
        </w:rPr>
        <w:footnoteRef/>
      </w:r>
      <w:r>
        <w:t xml:space="preserve"> A “medically fragile child” is one who is “medically complex and whose medical condition is of such a nature that he is technologically dependent, requiring medical apparatus or procedures to sustain life, </w:t>
      </w:r>
      <w:r>
        <w:rPr>
          <w:i/>
        </w:rPr>
        <w:t>e.g.</w:t>
      </w:r>
      <w:r>
        <w:t xml:space="preserve">, requires total </w:t>
      </w:r>
      <w:proofErr w:type="spellStart"/>
      <w:r>
        <w:t>parenteral</w:t>
      </w:r>
      <w:proofErr w:type="spellEnd"/>
      <w:r>
        <w:t xml:space="preserve"> nutrition, is ventilator dependent, or is dependent on a heightened level of medical supervision to sustain life, and without such services is likely to expire without warning.”  Fla. Admin. </w:t>
      </w:r>
      <w:proofErr w:type="gramStart"/>
      <w:r>
        <w:t>Code.</w:t>
      </w:r>
      <w:proofErr w:type="gramEnd"/>
      <w:r>
        <w:t xml:space="preserve"> </w:t>
      </w:r>
      <w:proofErr w:type="gramStart"/>
      <w:r>
        <w:t>R. 59G-1.010(165).</w:t>
      </w:r>
      <w:proofErr w:type="gramEnd"/>
      <w:r>
        <w:t xml:space="preserve"> </w:t>
      </w:r>
    </w:p>
  </w:footnote>
  <w:footnote w:id="4">
    <w:p w:rsidR="00690AEC" w:rsidRDefault="00690AEC" w:rsidP="00285B41">
      <w:r w:rsidRPr="006A5839">
        <w:rPr>
          <w:rStyle w:val="FootnoteReference"/>
          <w:szCs w:val="24"/>
        </w:rPr>
        <w:footnoteRef/>
      </w:r>
      <w:r w:rsidRPr="006A5839">
        <w:rPr>
          <w:szCs w:val="24"/>
        </w:rPr>
        <w:t xml:space="preserve"> </w:t>
      </w:r>
      <w:r w:rsidRPr="006E3FC8">
        <w:t xml:space="preserve">The United States solely addresses in this Statement </w:t>
      </w:r>
      <w:r>
        <w:t xml:space="preserve">of Interest the </w:t>
      </w:r>
      <w:r w:rsidRPr="006E3FC8">
        <w:t>State Defendants’ motion to dismiss.</w:t>
      </w:r>
      <w:r>
        <w:t xml:space="preserve">  </w:t>
      </w:r>
    </w:p>
    <w:p w:rsidR="00690AEC" w:rsidRDefault="00690AEC" w:rsidP="00285B41">
      <w:pPr>
        <w:pStyle w:val="FootnoteText"/>
      </w:pPr>
    </w:p>
  </w:footnote>
  <w:footnote w:id="5">
    <w:p w:rsidR="00690AEC" w:rsidRPr="00347008" w:rsidRDefault="00690AEC" w:rsidP="00A90040">
      <w:pPr>
        <w:spacing w:after="200"/>
        <w:rPr>
          <w:szCs w:val="24"/>
        </w:rPr>
      </w:pPr>
      <w:r w:rsidRPr="00347008">
        <w:rPr>
          <w:rStyle w:val="FootnoteReference"/>
          <w:szCs w:val="24"/>
        </w:rPr>
        <w:footnoteRef/>
      </w:r>
      <w:r w:rsidRPr="00347008">
        <w:rPr>
          <w:szCs w:val="24"/>
        </w:rPr>
        <w:t xml:space="preserve"> The regulations provide that “a public entity shall administer services, programs, and activities in the most integrated setting appropriate to the needs of qualified individuals with disabilities.”  28 C.F.R. § 35.130(d)</w:t>
      </w:r>
      <w:r w:rsidR="005B5F11" w:rsidRPr="00347008">
        <w:rPr>
          <w:szCs w:val="24"/>
        </w:rPr>
        <w:fldChar w:fldCharType="begin"/>
      </w:r>
      <w:r w:rsidRPr="00347008">
        <w:rPr>
          <w:szCs w:val="24"/>
        </w:rPr>
        <w:instrText xml:space="preserve"> TA \l "28 C.F.R. §§ 35.130" \s "28 C.F.R. § 35.130(d)" \c 6 </w:instrText>
      </w:r>
      <w:r w:rsidR="005B5F11" w:rsidRPr="00347008">
        <w:rPr>
          <w:szCs w:val="24"/>
        </w:rPr>
        <w:fldChar w:fldCharType="end"/>
      </w:r>
      <w:r w:rsidRPr="00347008">
        <w:rPr>
          <w:szCs w:val="24"/>
        </w:rPr>
        <w:t xml:space="preserve">.  The preamble discussion of the “integration regulation” explains that “the most integrated setting” is one that “enables individuals with disabilities to interact with nondisabled persons to the fullest extent possible[.]”  28 C.F.R. § 35.130(d), App. </w:t>
      </w:r>
      <w:proofErr w:type="gramStart"/>
      <w:r w:rsidRPr="00347008">
        <w:rPr>
          <w:szCs w:val="24"/>
        </w:rPr>
        <w:t>A at 572 (2010).</w:t>
      </w:r>
      <w:proofErr w:type="gramEnd"/>
      <w:r w:rsidRPr="00347008">
        <w:rPr>
          <w:szCs w:val="24"/>
        </w:rPr>
        <w:t xml:space="preserve"> </w:t>
      </w:r>
      <w:r w:rsidRPr="00E82C26">
        <w:rPr>
          <w:szCs w:val="24"/>
        </w:rPr>
        <w:t xml:space="preserve">Section 504 of the Rehabilitation Act, 29 U.S.C. § 794, contains an identical regulation issued by the Attorney General.  28 C.F.R. § 41.51(d).  </w:t>
      </w:r>
    </w:p>
  </w:footnote>
  <w:footnote w:id="6">
    <w:p w:rsidR="00690AEC" w:rsidRDefault="00690AEC" w:rsidP="00C14090">
      <w:pPr>
        <w:pStyle w:val="FootnoteText"/>
      </w:pPr>
      <w:r>
        <w:rPr>
          <w:rStyle w:val="FootnoteReference"/>
        </w:rPr>
        <w:footnoteRef/>
      </w:r>
      <w:r>
        <w:t xml:space="preserve"> </w:t>
      </w:r>
      <w:r w:rsidRPr="00F1758A">
        <w:rPr>
          <w:szCs w:val="24"/>
        </w:rPr>
        <w:t xml:space="preserve">In all ways relevant to this discussion, the ADA and Section 504 </w:t>
      </w:r>
      <w:r>
        <w:rPr>
          <w:szCs w:val="24"/>
        </w:rPr>
        <w:t xml:space="preserve">are </w:t>
      </w:r>
      <w:r w:rsidRPr="00F1758A">
        <w:rPr>
          <w:szCs w:val="24"/>
        </w:rPr>
        <w:t xml:space="preserve">generally construed to </w:t>
      </w:r>
      <w:r>
        <w:rPr>
          <w:szCs w:val="24"/>
        </w:rPr>
        <w:t>i</w:t>
      </w:r>
      <w:r w:rsidRPr="00F1758A">
        <w:rPr>
          <w:szCs w:val="24"/>
        </w:rPr>
        <w:t xml:space="preserve">mpose similar requirements.  </w:t>
      </w:r>
      <w:proofErr w:type="gramStart"/>
      <w:r w:rsidRPr="002B6310">
        <w:rPr>
          <w:i/>
        </w:rPr>
        <w:t>See</w:t>
      </w:r>
      <w:r w:rsidRPr="002B6310">
        <w:t xml:space="preserve"> </w:t>
      </w:r>
      <w:proofErr w:type="spellStart"/>
      <w:r w:rsidRPr="002B6310">
        <w:rPr>
          <w:i/>
        </w:rPr>
        <w:t>Allmond</w:t>
      </w:r>
      <w:proofErr w:type="spellEnd"/>
      <w:r w:rsidRPr="002B6310">
        <w:rPr>
          <w:i/>
        </w:rPr>
        <w:t xml:space="preserve"> v. Akal Sec., Inc</w:t>
      </w:r>
      <w:r w:rsidRPr="002B6310">
        <w:t>., 558 F.3d 1312</w:t>
      </w:r>
      <w:r>
        <w:t>, 1316, n.3</w:t>
      </w:r>
      <w:r w:rsidRPr="002B6310">
        <w:t xml:space="preserve"> (11th Cir. 2009); </w:t>
      </w:r>
      <w:r w:rsidRPr="002B6310">
        <w:rPr>
          <w:i/>
          <w:iCs/>
        </w:rPr>
        <w:t>Cash v. Smith</w:t>
      </w:r>
      <w:r w:rsidRPr="002B6310">
        <w:t>, 231 F.3d 1301, 1305</w:t>
      </w:r>
      <w:r>
        <w:t xml:space="preserve"> </w:t>
      </w:r>
      <w:r w:rsidRPr="002B6310">
        <w:t>(11th Cir</w:t>
      </w:r>
      <w:r>
        <w:t>.</w:t>
      </w:r>
      <w:r w:rsidRPr="002B6310">
        <w:t xml:space="preserve"> 2000).</w:t>
      </w:r>
      <w:proofErr w:type="gramEnd"/>
    </w:p>
    <w:p w:rsidR="00690AEC" w:rsidRDefault="00690AEC" w:rsidP="00C14090">
      <w:pPr>
        <w:pStyle w:val="FootnoteText"/>
      </w:pPr>
    </w:p>
  </w:footnote>
  <w:footnote w:id="7">
    <w:p w:rsidR="00690AEC" w:rsidRPr="00FC62F3" w:rsidRDefault="00690AEC" w:rsidP="00412070">
      <w:pPr>
        <w:rPr>
          <w:szCs w:val="24"/>
        </w:rPr>
      </w:pPr>
      <w:r w:rsidRPr="00B51274">
        <w:rPr>
          <w:rStyle w:val="FootnoteReference"/>
          <w:szCs w:val="24"/>
        </w:rPr>
        <w:footnoteRef/>
      </w:r>
      <w:r w:rsidRPr="00B51274">
        <w:rPr>
          <w:szCs w:val="24"/>
        </w:rPr>
        <w:t xml:space="preserve"> Defendants’ assertion that Plaintiffs have not stated a claim for relief under the ADA or Rehabilitation Act because the ADA does not require the State to provide transition or replacement services, or to maintain a certain “level of services” is equally without merit.  (</w:t>
      </w:r>
      <w:r w:rsidRPr="00B51274">
        <w:rPr>
          <w:i/>
          <w:szCs w:val="24"/>
        </w:rPr>
        <w:t xml:space="preserve">See </w:t>
      </w:r>
      <w:r w:rsidRPr="00B51274">
        <w:rPr>
          <w:szCs w:val="24"/>
        </w:rPr>
        <w:t xml:space="preserve">Defs.’ Mot. at 9-10).  While the ADA does not mandate what specific services </w:t>
      </w:r>
      <w:r>
        <w:rPr>
          <w:szCs w:val="24"/>
        </w:rPr>
        <w:t xml:space="preserve">or level of services </w:t>
      </w:r>
      <w:r w:rsidRPr="00B51274">
        <w:rPr>
          <w:szCs w:val="24"/>
        </w:rPr>
        <w:t xml:space="preserve">a state must offer, it does require states to refrain from adopting policies or engaging in practices that discriminate with respect to the services it actually provides.  </w:t>
      </w:r>
      <w:r w:rsidRPr="00B51274">
        <w:rPr>
          <w:i/>
          <w:szCs w:val="24"/>
        </w:rPr>
        <w:t>See</w:t>
      </w:r>
      <w:r w:rsidRPr="00B51274">
        <w:rPr>
          <w:szCs w:val="24"/>
        </w:rPr>
        <w:t xml:space="preserve"> </w:t>
      </w:r>
      <w:r w:rsidRPr="00B51274">
        <w:rPr>
          <w:i/>
          <w:szCs w:val="24"/>
        </w:rPr>
        <w:t>Haddad</w:t>
      </w:r>
      <w:r w:rsidRPr="00B51274">
        <w:rPr>
          <w:szCs w:val="24"/>
        </w:rPr>
        <w:t>, 784 F. Supp. 2d</w:t>
      </w:r>
      <w:r>
        <w:rPr>
          <w:szCs w:val="24"/>
        </w:rPr>
        <w:t xml:space="preserve">, 1284, </w:t>
      </w:r>
      <w:r w:rsidRPr="00B51274">
        <w:rPr>
          <w:szCs w:val="24"/>
        </w:rPr>
        <w:t>130</w:t>
      </w:r>
      <w:r>
        <w:rPr>
          <w:szCs w:val="24"/>
        </w:rPr>
        <w:t>1</w:t>
      </w:r>
      <w:r w:rsidRPr="00B51274">
        <w:rPr>
          <w:szCs w:val="24"/>
        </w:rPr>
        <w:t xml:space="preserve"> </w:t>
      </w:r>
      <w:r>
        <w:rPr>
          <w:szCs w:val="24"/>
        </w:rPr>
        <w:t xml:space="preserve">(M.D. Fla. 2010) </w:t>
      </w:r>
      <w:r w:rsidRPr="00B51274">
        <w:rPr>
          <w:szCs w:val="24"/>
        </w:rPr>
        <w:t>(</w:t>
      </w:r>
      <w:r>
        <w:rPr>
          <w:szCs w:val="24"/>
        </w:rPr>
        <w:t xml:space="preserve">holding that </w:t>
      </w:r>
      <w:r w:rsidRPr="00B51274">
        <w:rPr>
          <w:szCs w:val="24"/>
        </w:rPr>
        <w:t>“</w:t>
      </w:r>
      <w:r>
        <w:rPr>
          <w:szCs w:val="24"/>
        </w:rPr>
        <w:t>[</w:t>
      </w:r>
      <w:r>
        <w:t>t]</w:t>
      </w:r>
      <w:r w:rsidRPr="00B51274">
        <w:t>he ADA does not require states to provide a level of care or specific services, but once states choose to provide certain services, they must do so</w:t>
      </w:r>
      <w:r>
        <w:t xml:space="preserve"> in a nondiscriminatory fashion</w:t>
      </w:r>
      <w:r w:rsidRPr="00B51274">
        <w:t>”)</w:t>
      </w:r>
      <w:r>
        <w:t xml:space="preserve"> (citing </w:t>
      </w:r>
      <w:r w:rsidRPr="00CA63A6">
        <w:rPr>
          <w:i/>
        </w:rPr>
        <w:t>Olmstead</w:t>
      </w:r>
      <w:r>
        <w:t xml:space="preserve"> 527 U.S. at 603, n.14).</w:t>
      </w:r>
    </w:p>
  </w:footnote>
  <w:footnote w:id="8">
    <w:p w:rsidR="00690AEC" w:rsidRPr="00C92E44" w:rsidRDefault="00690AEC">
      <w:pPr>
        <w:pStyle w:val="FootnoteText"/>
      </w:pPr>
      <w:r>
        <w:rPr>
          <w:rStyle w:val="FootnoteReference"/>
        </w:rPr>
        <w:footnoteRef/>
      </w:r>
      <w:r>
        <w:t xml:space="preserve"> Defendants suggest that Plaintiffs’ claims in this Court are improper because of the existence of the Medicaid Fair Hearing process in Florida.  But Plaintiffs are not required to exhaust available administrative remedies before filing suit under Title II of the ADA or under 42 U.S.C. § 1983 for violation of the Medicaid Act.  </w:t>
      </w:r>
      <w:r w:rsidRPr="00AE50CD">
        <w:rPr>
          <w:i/>
        </w:rPr>
        <w:t>See</w:t>
      </w:r>
      <w:r>
        <w:rPr>
          <w:i/>
        </w:rPr>
        <w:t xml:space="preserve"> </w:t>
      </w:r>
      <w:r w:rsidRPr="00AE50CD">
        <w:rPr>
          <w:i/>
        </w:rPr>
        <w:t>Bledsoe v. Palm Beach County Soil and Water Conservation Dist.</w:t>
      </w:r>
      <w:r>
        <w:t>, 133 F.3d 816, 823-24 (11th Cir. 1998); 28 C.F.R. Part 35, App. B (2011), at 685 (“</w:t>
      </w:r>
      <w:r w:rsidRPr="00370156">
        <w:rPr>
          <w:szCs w:val="24"/>
        </w:rPr>
        <w:t xml:space="preserve">Because </w:t>
      </w:r>
      <w:r>
        <w:rPr>
          <w:szCs w:val="24"/>
        </w:rPr>
        <w:t xml:space="preserve">[Title II] </w:t>
      </w:r>
      <w:r w:rsidRPr="00370156">
        <w:rPr>
          <w:szCs w:val="24"/>
        </w:rPr>
        <w:t>does not require exhaustion of administrative remedies, the complainant may elect to proceed with a private suit at any time.</w:t>
      </w:r>
      <w:r>
        <w:rPr>
          <w:szCs w:val="24"/>
        </w:rPr>
        <w:t xml:space="preserve">”); </w:t>
      </w:r>
      <w:proofErr w:type="spellStart"/>
      <w:r>
        <w:rPr>
          <w:i/>
          <w:szCs w:val="24"/>
        </w:rPr>
        <w:t>Alacare</w:t>
      </w:r>
      <w:proofErr w:type="spellEnd"/>
      <w:r>
        <w:rPr>
          <w:i/>
          <w:szCs w:val="24"/>
        </w:rPr>
        <w:t xml:space="preserve">, Inc.-North v. </w:t>
      </w:r>
      <w:proofErr w:type="spellStart"/>
      <w:r>
        <w:rPr>
          <w:i/>
          <w:szCs w:val="24"/>
        </w:rPr>
        <w:t>Baggiano</w:t>
      </w:r>
      <w:proofErr w:type="spellEnd"/>
      <w:r>
        <w:rPr>
          <w:szCs w:val="24"/>
        </w:rPr>
        <w:t xml:space="preserve">, 785 F.2d 963, 968 (11th Cir. 1986) (finding no requirement to exhaust administrative remedies prior to filing suit under 42 U.S.C. </w:t>
      </w:r>
      <w:r>
        <w:t>§ 1983 for violation of the Medicaid Act)</w:t>
      </w:r>
      <w:r>
        <w:rPr>
          <w:szCs w:val="24"/>
        </w:rPr>
        <w:t xml:space="preserve">; </w:t>
      </w:r>
      <w:r>
        <w:rPr>
          <w:i/>
          <w:szCs w:val="24"/>
        </w:rPr>
        <w:t xml:space="preserve">Moore ex rel. Moore v. </w:t>
      </w:r>
      <w:proofErr w:type="spellStart"/>
      <w:r>
        <w:rPr>
          <w:i/>
          <w:szCs w:val="24"/>
        </w:rPr>
        <w:t>Medows</w:t>
      </w:r>
      <w:proofErr w:type="spellEnd"/>
      <w:r>
        <w:rPr>
          <w:szCs w:val="24"/>
        </w:rPr>
        <w:t xml:space="preserve">, No. 1:07-CV-631-TWT, 2007 WL 1876017, at *4 (N.D. Ga. June 28, 2007).  </w:t>
      </w:r>
      <w:r w:rsidRPr="00B90DEB">
        <w:rPr>
          <w:szCs w:val="24"/>
        </w:rPr>
        <w:t xml:space="preserve">Moreover, </w:t>
      </w:r>
      <w:r>
        <w:rPr>
          <w:szCs w:val="24"/>
        </w:rPr>
        <w:t xml:space="preserve">the Plaintiffs allege that, despite repeated denials and successful appeals, the State has persisted in applying its medical necessity definition unreasonably, leaving </w:t>
      </w:r>
      <w:r w:rsidRPr="00B90DEB">
        <w:rPr>
          <w:szCs w:val="24"/>
        </w:rPr>
        <w:t>caregivers less ab</w:t>
      </w:r>
      <w:r>
        <w:rPr>
          <w:szCs w:val="24"/>
        </w:rPr>
        <w:t>le to provide care while they are forced to proceed through reconsideration and appeals processes.</w:t>
      </w:r>
    </w:p>
  </w:footnote>
  <w:footnote w:id="9">
    <w:p w:rsidR="00690AEC" w:rsidRDefault="00690AEC">
      <w:pPr>
        <w:pStyle w:val="FootnoteText"/>
      </w:pPr>
      <w:r>
        <w:rPr>
          <w:rStyle w:val="FootnoteReference"/>
        </w:rPr>
        <w:footnoteRef/>
      </w:r>
      <w:r>
        <w:t xml:space="preserve"> Even where an individual meets the criteria for an advance categorical determination, she must still receive an abbreviated Level II evaluation.  The categorical determinations are not exemptions from PASRR, nor can they be used inappropriately to avoid screenings.  </w:t>
      </w:r>
      <w:proofErr w:type="gramStart"/>
      <w:r w:rsidRPr="000A438B">
        <w:rPr>
          <w:i/>
        </w:rPr>
        <w:t>See</w:t>
      </w:r>
      <w:r w:rsidRPr="000A438B">
        <w:t xml:space="preserve"> </w:t>
      </w:r>
      <w:r w:rsidRPr="00881332">
        <w:rPr>
          <w:i/>
        </w:rPr>
        <w:t>Medicare and Medicaid Programs; Preadmission Screening and Annual Resident Review</w:t>
      </w:r>
      <w:r>
        <w:t xml:space="preserve">, </w:t>
      </w:r>
      <w:r w:rsidRPr="000A438B">
        <w:rPr>
          <w:szCs w:val="24"/>
        </w:rPr>
        <w:t>57 Fed.</w:t>
      </w:r>
      <w:proofErr w:type="gramEnd"/>
      <w:r w:rsidRPr="000A438B">
        <w:rPr>
          <w:szCs w:val="24"/>
        </w:rPr>
        <w:t xml:space="preserve"> Reg. 56450-01, </w:t>
      </w:r>
      <w:r w:rsidRPr="000A438B">
        <w:rPr>
          <w:bCs/>
          <w:iCs/>
          <w:szCs w:val="24"/>
        </w:rPr>
        <w:t>*56489</w:t>
      </w:r>
      <w:r>
        <w:rPr>
          <w:bCs/>
          <w:iCs/>
          <w:szCs w:val="24"/>
        </w:rPr>
        <w:t>-90 (Nov. 30, 1992).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13" w:rsidRDefault="00E97A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13" w:rsidRDefault="00E97A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13" w:rsidRDefault="00E97A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BB42A1B"/>
    <w:multiLevelType w:val="hybridMultilevel"/>
    <w:tmpl w:val="AC5CCF0A"/>
    <w:lvl w:ilvl="0" w:tplc="31561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932FB"/>
    <w:multiLevelType w:val="hybridMultilevel"/>
    <w:tmpl w:val="94109B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2116F1"/>
    <w:multiLevelType w:val="hybridMultilevel"/>
    <w:tmpl w:val="7BD63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978F0"/>
    <w:multiLevelType w:val="hybridMultilevel"/>
    <w:tmpl w:val="D0C00D4E"/>
    <w:lvl w:ilvl="0" w:tplc="572CC0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90A54"/>
    <w:multiLevelType w:val="hybridMultilevel"/>
    <w:tmpl w:val="48EE3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83B"/>
    <w:multiLevelType w:val="hybridMultilevel"/>
    <w:tmpl w:val="E1FAC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F6DCB"/>
    <w:multiLevelType w:val="hybridMultilevel"/>
    <w:tmpl w:val="4222982A"/>
    <w:lvl w:ilvl="0" w:tplc="0C22D2A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0C00E5"/>
    <w:multiLevelType w:val="hybridMultilevel"/>
    <w:tmpl w:val="E4C29EC4"/>
    <w:lvl w:ilvl="0" w:tplc="90CEB37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43234"/>
    <w:multiLevelType w:val="hybridMultilevel"/>
    <w:tmpl w:val="92B82174"/>
    <w:lvl w:ilvl="0" w:tplc="577811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153B2A"/>
    <w:multiLevelType w:val="hybridMultilevel"/>
    <w:tmpl w:val="B6020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92FB5"/>
    <w:multiLevelType w:val="hybridMultilevel"/>
    <w:tmpl w:val="8DE619DA"/>
    <w:lvl w:ilvl="0" w:tplc="FF5C2A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42887"/>
    <w:multiLevelType w:val="hybridMultilevel"/>
    <w:tmpl w:val="58BEDC96"/>
    <w:lvl w:ilvl="0" w:tplc="83A619F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34BAA"/>
    <w:multiLevelType w:val="hybridMultilevel"/>
    <w:tmpl w:val="F2A0985E"/>
    <w:lvl w:ilvl="0" w:tplc="ADB468E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6D74439"/>
    <w:multiLevelType w:val="hybridMultilevel"/>
    <w:tmpl w:val="CBE24C2A"/>
    <w:lvl w:ilvl="0" w:tplc="FAFE67D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E618EB"/>
    <w:multiLevelType w:val="hybridMultilevel"/>
    <w:tmpl w:val="4DDEA51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6C728E4"/>
    <w:multiLevelType w:val="multilevel"/>
    <w:tmpl w:val="EC4A8B14"/>
    <w:lvl w:ilvl="0">
      <w:start w:val="1"/>
      <w:numFmt w:val="upperRoman"/>
      <w:lvlText w:val="%1."/>
      <w:legacy w:legacy="1" w:legacySpace="0" w:legacyIndent="0"/>
      <w:lvlJc w:val="left"/>
      <w:pPr>
        <w:ind w:left="1440" w:firstLine="0"/>
      </w:pPr>
    </w:lvl>
    <w:lvl w:ilvl="1">
      <w:start w:val="1"/>
      <w:numFmt w:val="upperLetter"/>
      <w:lvlText w:val="%2."/>
      <w:legacy w:legacy="1" w:legacySpace="0" w:legacyIndent="0"/>
      <w:lvlJc w:val="left"/>
      <w:pPr>
        <w:ind w:left="1440" w:firstLine="0"/>
      </w:pPr>
    </w:lvl>
    <w:lvl w:ilvl="2">
      <w:start w:val="1"/>
      <w:numFmt w:val="decimal"/>
      <w:lvlText w:val="%3."/>
      <w:legacy w:legacy="1" w:legacySpace="0" w:legacyIndent="0"/>
      <w:lvlJc w:val="left"/>
      <w:pPr>
        <w:ind w:left="1440" w:firstLine="0"/>
      </w:pPr>
    </w:lvl>
    <w:lvl w:ilvl="3">
      <w:start w:val="1"/>
      <w:numFmt w:val="lowerLetter"/>
      <w:lvlText w:val="%4."/>
      <w:legacy w:legacy="1" w:legacySpace="0" w:legacyIndent="0"/>
      <w:lvlJc w:val="left"/>
      <w:pPr>
        <w:ind w:left="1440" w:firstLine="0"/>
      </w:pPr>
    </w:lvl>
    <w:lvl w:ilvl="4">
      <w:start w:val="1"/>
      <w:numFmt w:val="decimal"/>
      <w:lvlText w:val="(%5)"/>
      <w:legacy w:legacy="1" w:legacySpace="0" w:legacyIndent="0"/>
      <w:lvlJc w:val="left"/>
      <w:pPr>
        <w:ind w:left="1440" w:firstLine="0"/>
      </w:pPr>
    </w:lvl>
    <w:lvl w:ilvl="5">
      <w:start w:val="1"/>
      <w:numFmt w:val="lowerLetter"/>
      <w:lvlText w:val="(%6)"/>
      <w:legacy w:legacy="1" w:legacySpace="0" w:legacyIndent="0"/>
      <w:lvlJc w:val="left"/>
      <w:pPr>
        <w:ind w:left="1440" w:firstLine="0"/>
      </w:pPr>
    </w:lvl>
    <w:lvl w:ilvl="6">
      <w:start w:val="1"/>
      <w:numFmt w:val="lowerRoman"/>
      <w:lvlText w:val="%7)"/>
      <w:legacy w:legacy="1" w:legacySpace="0" w:legacyIndent="0"/>
      <w:lvlJc w:val="left"/>
      <w:pPr>
        <w:ind w:left="1440" w:firstLine="0"/>
      </w:pPr>
    </w:lvl>
    <w:lvl w:ilvl="7">
      <w:start w:val="1"/>
      <w:numFmt w:val="lowerLetter"/>
      <w:lvlText w:val="%8)"/>
      <w:legacy w:legacy="1" w:legacySpace="0" w:legacyIndent="0"/>
      <w:lvlJc w:val="left"/>
      <w:pPr>
        <w:ind w:left="1440" w:firstLine="0"/>
      </w:pPr>
    </w:lvl>
    <w:lvl w:ilvl="8">
      <w:start w:val="1"/>
      <w:numFmt w:val="lowerRoman"/>
      <w:lvlText w:val="%9)"/>
      <w:legacy w:legacy="1" w:legacySpace="0" w:legacyIndent="0"/>
      <w:lvlJc w:val="left"/>
      <w:pPr>
        <w:ind w:left="1440" w:firstLine="0"/>
      </w:pPr>
    </w:lvl>
  </w:abstractNum>
  <w:abstractNum w:abstractNumId="17">
    <w:nsid w:val="6AF61B68"/>
    <w:multiLevelType w:val="hybridMultilevel"/>
    <w:tmpl w:val="00DA0C1C"/>
    <w:lvl w:ilvl="0" w:tplc="9736653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FD0C7C"/>
    <w:multiLevelType w:val="hybridMultilevel"/>
    <w:tmpl w:val="ED5EDC90"/>
    <w:lvl w:ilvl="0" w:tplc="09BAA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026785"/>
    <w:multiLevelType w:val="hybridMultilevel"/>
    <w:tmpl w:val="00DA0C1C"/>
    <w:lvl w:ilvl="0" w:tplc="9736653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B40990"/>
    <w:multiLevelType w:val="hybridMultilevel"/>
    <w:tmpl w:val="F8DEE844"/>
    <w:lvl w:ilvl="0" w:tplc="A704C43E">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BD1546E"/>
    <w:multiLevelType w:val="hybridMultilevel"/>
    <w:tmpl w:val="360252D8"/>
    <w:lvl w:ilvl="0" w:tplc="430CAF44">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9"/>
  </w:num>
  <w:num w:numId="4">
    <w:abstractNumId w:val="20"/>
  </w:num>
  <w:num w:numId="5">
    <w:abstractNumId w:val="17"/>
  </w:num>
  <w:num w:numId="6">
    <w:abstractNumId w:val="11"/>
  </w:num>
  <w:num w:numId="7">
    <w:abstractNumId w:val="12"/>
  </w:num>
  <w:num w:numId="8">
    <w:abstractNumId w:val="3"/>
  </w:num>
  <w:num w:numId="9">
    <w:abstractNumId w:val="13"/>
  </w:num>
  <w:num w:numId="10">
    <w:abstractNumId w:val="21"/>
  </w:num>
  <w:num w:numId="11">
    <w:abstractNumId w:val="15"/>
  </w:num>
  <w:num w:numId="12">
    <w:abstractNumId w:val="2"/>
  </w:num>
  <w:num w:numId="13">
    <w:abstractNumId w:val="7"/>
  </w:num>
  <w:num w:numId="14">
    <w:abstractNumId w:val="8"/>
  </w:num>
  <w:num w:numId="15">
    <w:abstractNumId w:val="18"/>
  </w:num>
  <w:num w:numId="16">
    <w:abstractNumId w:val="14"/>
  </w:num>
  <w:num w:numId="17">
    <w:abstractNumId w:val="5"/>
  </w:num>
  <w:num w:numId="18">
    <w:abstractNumId w:val="6"/>
  </w:num>
  <w:num w:numId="19">
    <w:abstractNumId w:val="4"/>
  </w:num>
  <w:num w:numId="20">
    <w:abstractNumId w:val="10"/>
  </w:num>
  <w:num w:numId="21">
    <w:abstractNumId w:val="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1872C2"/>
    <w:rsid w:val="00001FC0"/>
    <w:rsid w:val="00002F54"/>
    <w:rsid w:val="0000309A"/>
    <w:rsid w:val="00003A3D"/>
    <w:rsid w:val="00005A84"/>
    <w:rsid w:val="00007893"/>
    <w:rsid w:val="00010807"/>
    <w:rsid w:val="00011150"/>
    <w:rsid w:val="00011E06"/>
    <w:rsid w:val="000139C1"/>
    <w:rsid w:val="00013D00"/>
    <w:rsid w:val="00014C1E"/>
    <w:rsid w:val="00014F8A"/>
    <w:rsid w:val="00015055"/>
    <w:rsid w:val="000213A4"/>
    <w:rsid w:val="0002172F"/>
    <w:rsid w:val="0002203D"/>
    <w:rsid w:val="00022860"/>
    <w:rsid w:val="00026DB7"/>
    <w:rsid w:val="00033BCF"/>
    <w:rsid w:val="000373A1"/>
    <w:rsid w:val="000412FC"/>
    <w:rsid w:val="000416D3"/>
    <w:rsid w:val="000425E5"/>
    <w:rsid w:val="000429AD"/>
    <w:rsid w:val="000446B7"/>
    <w:rsid w:val="00046780"/>
    <w:rsid w:val="00046889"/>
    <w:rsid w:val="00047A86"/>
    <w:rsid w:val="000509FB"/>
    <w:rsid w:val="000531B3"/>
    <w:rsid w:val="00057987"/>
    <w:rsid w:val="00057DAE"/>
    <w:rsid w:val="000624AF"/>
    <w:rsid w:val="00070319"/>
    <w:rsid w:val="00070798"/>
    <w:rsid w:val="00070900"/>
    <w:rsid w:val="000711FA"/>
    <w:rsid w:val="00071A34"/>
    <w:rsid w:val="000738C9"/>
    <w:rsid w:val="000757C7"/>
    <w:rsid w:val="00081F23"/>
    <w:rsid w:val="00082488"/>
    <w:rsid w:val="0008503F"/>
    <w:rsid w:val="0008704E"/>
    <w:rsid w:val="00087C0D"/>
    <w:rsid w:val="0009029C"/>
    <w:rsid w:val="000A438B"/>
    <w:rsid w:val="000A45A7"/>
    <w:rsid w:val="000A51C4"/>
    <w:rsid w:val="000A5DA8"/>
    <w:rsid w:val="000A7B1A"/>
    <w:rsid w:val="000A7B21"/>
    <w:rsid w:val="000B0AC1"/>
    <w:rsid w:val="000B6660"/>
    <w:rsid w:val="000C31B8"/>
    <w:rsid w:val="000C4ED1"/>
    <w:rsid w:val="000D0BDC"/>
    <w:rsid w:val="000D1687"/>
    <w:rsid w:val="000D6F17"/>
    <w:rsid w:val="000D6F22"/>
    <w:rsid w:val="000E5EE2"/>
    <w:rsid w:val="000F1268"/>
    <w:rsid w:val="000F552C"/>
    <w:rsid w:val="00103D89"/>
    <w:rsid w:val="00104388"/>
    <w:rsid w:val="00104B34"/>
    <w:rsid w:val="0011069A"/>
    <w:rsid w:val="001125EB"/>
    <w:rsid w:val="00113946"/>
    <w:rsid w:val="00115B7E"/>
    <w:rsid w:val="00117D23"/>
    <w:rsid w:val="0012011C"/>
    <w:rsid w:val="0012309B"/>
    <w:rsid w:val="0012590A"/>
    <w:rsid w:val="001303EB"/>
    <w:rsid w:val="00130D62"/>
    <w:rsid w:val="00131176"/>
    <w:rsid w:val="001341C8"/>
    <w:rsid w:val="00135C3D"/>
    <w:rsid w:val="00136769"/>
    <w:rsid w:val="001408A4"/>
    <w:rsid w:val="001446FD"/>
    <w:rsid w:val="001451DD"/>
    <w:rsid w:val="0015024E"/>
    <w:rsid w:val="0015451F"/>
    <w:rsid w:val="00154A05"/>
    <w:rsid w:val="001563CC"/>
    <w:rsid w:val="0016202F"/>
    <w:rsid w:val="00164081"/>
    <w:rsid w:val="00165D82"/>
    <w:rsid w:val="00166203"/>
    <w:rsid w:val="00166A6E"/>
    <w:rsid w:val="00166C47"/>
    <w:rsid w:val="00170188"/>
    <w:rsid w:val="0017107F"/>
    <w:rsid w:val="001714B0"/>
    <w:rsid w:val="00175395"/>
    <w:rsid w:val="00177FCE"/>
    <w:rsid w:val="001826ED"/>
    <w:rsid w:val="00183395"/>
    <w:rsid w:val="00185171"/>
    <w:rsid w:val="00185FAC"/>
    <w:rsid w:val="001872C2"/>
    <w:rsid w:val="0019084D"/>
    <w:rsid w:val="001928FB"/>
    <w:rsid w:val="00196574"/>
    <w:rsid w:val="00196A6F"/>
    <w:rsid w:val="00196A83"/>
    <w:rsid w:val="001A0E7B"/>
    <w:rsid w:val="001A3790"/>
    <w:rsid w:val="001A3A49"/>
    <w:rsid w:val="001A4C0E"/>
    <w:rsid w:val="001A5025"/>
    <w:rsid w:val="001A60D4"/>
    <w:rsid w:val="001A6119"/>
    <w:rsid w:val="001B268E"/>
    <w:rsid w:val="001B3033"/>
    <w:rsid w:val="001B6CB3"/>
    <w:rsid w:val="001C120F"/>
    <w:rsid w:val="001D0CA9"/>
    <w:rsid w:val="001D1619"/>
    <w:rsid w:val="001D2DBF"/>
    <w:rsid w:val="001E1473"/>
    <w:rsid w:val="001E2531"/>
    <w:rsid w:val="001E3E80"/>
    <w:rsid w:val="001E57A6"/>
    <w:rsid w:val="001E5A16"/>
    <w:rsid w:val="001E5E39"/>
    <w:rsid w:val="001E67F9"/>
    <w:rsid w:val="001F0ADD"/>
    <w:rsid w:val="001F1AEC"/>
    <w:rsid w:val="001F2674"/>
    <w:rsid w:val="001F2A65"/>
    <w:rsid w:val="001F317D"/>
    <w:rsid w:val="001F3E57"/>
    <w:rsid w:val="001F5471"/>
    <w:rsid w:val="002022B4"/>
    <w:rsid w:val="00204F67"/>
    <w:rsid w:val="00212E83"/>
    <w:rsid w:val="0021688D"/>
    <w:rsid w:val="0023624B"/>
    <w:rsid w:val="002406EE"/>
    <w:rsid w:val="00254123"/>
    <w:rsid w:val="002542AD"/>
    <w:rsid w:val="002546F3"/>
    <w:rsid w:val="00255EFA"/>
    <w:rsid w:val="00257CF5"/>
    <w:rsid w:val="00264238"/>
    <w:rsid w:val="00264DFE"/>
    <w:rsid w:val="0026694B"/>
    <w:rsid w:val="00272A50"/>
    <w:rsid w:val="00273526"/>
    <w:rsid w:val="0027492E"/>
    <w:rsid w:val="002807A5"/>
    <w:rsid w:val="0028306F"/>
    <w:rsid w:val="00284B8C"/>
    <w:rsid w:val="002852C7"/>
    <w:rsid w:val="00285B41"/>
    <w:rsid w:val="00287A41"/>
    <w:rsid w:val="00290A4F"/>
    <w:rsid w:val="00290AE6"/>
    <w:rsid w:val="00291CEA"/>
    <w:rsid w:val="0029224C"/>
    <w:rsid w:val="002956E3"/>
    <w:rsid w:val="00295884"/>
    <w:rsid w:val="002A2259"/>
    <w:rsid w:val="002A42F5"/>
    <w:rsid w:val="002A4C0C"/>
    <w:rsid w:val="002A4C31"/>
    <w:rsid w:val="002A4CBB"/>
    <w:rsid w:val="002B2E83"/>
    <w:rsid w:val="002B2F31"/>
    <w:rsid w:val="002B3682"/>
    <w:rsid w:val="002B5C4E"/>
    <w:rsid w:val="002C1DB8"/>
    <w:rsid w:val="002C54FB"/>
    <w:rsid w:val="002C55AB"/>
    <w:rsid w:val="002C692D"/>
    <w:rsid w:val="002C7B21"/>
    <w:rsid w:val="002D11E0"/>
    <w:rsid w:val="002D41C2"/>
    <w:rsid w:val="002D451E"/>
    <w:rsid w:val="002D4798"/>
    <w:rsid w:val="002D4984"/>
    <w:rsid w:val="002D54BF"/>
    <w:rsid w:val="002E181C"/>
    <w:rsid w:val="002E25B2"/>
    <w:rsid w:val="002E5C5B"/>
    <w:rsid w:val="002F1392"/>
    <w:rsid w:val="002F18AB"/>
    <w:rsid w:val="002F2D26"/>
    <w:rsid w:val="002F7F17"/>
    <w:rsid w:val="00301AB3"/>
    <w:rsid w:val="003052D9"/>
    <w:rsid w:val="00306B5E"/>
    <w:rsid w:val="0031226B"/>
    <w:rsid w:val="00312270"/>
    <w:rsid w:val="00312801"/>
    <w:rsid w:val="00312EC4"/>
    <w:rsid w:val="00314B8E"/>
    <w:rsid w:val="00315732"/>
    <w:rsid w:val="00316DCC"/>
    <w:rsid w:val="003179D4"/>
    <w:rsid w:val="00321175"/>
    <w:rsid w:val="003214DB"/>
    <w:rsid w:val="0032159B"/>
    <w:rsid w:val="00321912"/>
    <w:rsid w:val="00321EF4"/>
    <w:rsid w:val="00324B28"/>
    <w:rsid w:val="0033116F"/>
    <w:rsid w:val="00331985"/>
    <w:rsid w:val="00340EDA"/>
    <w:rsid w:val="00344BB5"/>
    <w:rsid w:val="003462B0"/>
    <w:rsid w:val="003463C5"/>
    <w:rsid w:val="00347008"/>
    <w:rsid w:val="00352D6B"/>
    <w:rsid w:val="00354984"/>
    <w:rsid w:val="003565FE"/>
    <w:rsid w:val="0035674A"/>
    <w:rsid w:val="00364095"/>
    <w:rsid w:val="003677A9"/>
    <w:rsid w:val="00370156"/>
    <w:rsid w:val="00371918"/>
    <w:rsid w:val="00375070"/>
    <w:rsid w:val="003753D4"/>
    <w:rsid w:val="003756A3"/>
    <w:rsid w:val="00376769"/>
    <w:rsid w:val="003771FE"/>
    <w:rsid w:val="00377FE8"/>
    <w:rsid w:val="003831D3"/>
    <w:rsid w:val="003854D2"/>
    <w:rsid w:val="00386237"/>
    <w:rsid w:val="003931B2"/>
    <w:rsid w:val="00393A87"/>
    <w:rsid w:val="0039436E"/>
    <w:rsid w:val="003944AD"/>
    <w:rsid w:val="0039794C"/>
    <w:rsid w:val="003A03FF"/>
    <w:rsid w:val="003A063A"/>
    <w:rsid w:val="003A12CE"/>
    <w:rsid w:val="003A3E8D"/>
    <w:rsid w:val="003A65EE"/>
    <w:rsid w:val="003B1932"/>
    <w:rsid w:val="003B2302"/>
    <w:rsid w:val="003B3FD9"/>
    <w:rsid w:val="003B7AA6"/>
    <w:rsid w:val="003C1B0D"/>
    <w:rsid w:val="003C2066"/>
    <w:rsid w:val="003C266C"/>
    <w:rsid w:val="003C3AB1"/>
    <w:rsid w:val="003C4044"/>
    <w:rsid w:val="003D3DC0"/>
    <w:rsid w:val="003D58C0"/>
    <w:rsid w:val="003E02D1"/>
    <w:rsid w:val="003E0772"/>
    <w:rsid w:val="003E2C8F"/>
    <w:rsid w:val="003E511C"/>
    <w:rsid w:val="003F2B6F"/>
    <w:rsid w:val="003F3950"/>
    <w:rsid w:val="003F492D"/>
    <w:rsid w:val="00401676"/>
    <w:rsid w:val="00404566"/>
    <w:rsid w:val="00412070"/>
    <w:rsid w:val="00412142"/>
    <w:rsid w:val="00417D91"/>
    <w:rsid w:val="004230EE"/>
    <w:rsid w:val="0042440B"/>
    <w:rsid w:val="00425203"/>
    <w:rsid w:val="0042728A"/>
    <w:rsid w:val="00427756"/>
    <w:rsid w:val="004301BC"/>
    <w:rsid w:val="00431853"/>
    <w:rsid w:val="00434110"/>
    <w:rsid w:val="00434AD1"/>
    <w:rsid w:val="00434AEE"/>
    <w:rsid w:val="00435F5C"/>
    <w:rsid w:val="00440DFC"/>
    <w:rsid w:val="004469AE"/>
    <w:rsid w:val="004469D0"/>
    <w:rsid w:val="00453189"/>
    <w:rsid w:val="00453B79"/>
    <w:rsid w:val="004548A6"/>
    <w:rsid w:val="00461770"/>
    <w:rsid w:val="00466429"/>
    <w:rsid w:val="0047133C"/>
    <w:rsid w:val="004739CD"/>
    <w:rsid w:val="004751BE"/>
    <w:rsid w:val="00476D96"/>
    <w:rsid w:val="00482AC9"/>
    <w:rsid w:val="00484514"/>
    <w:rsid w:val="00485DB1"/>
    <w:rsid w:val="00486D16"/>
    <w:rsid w:val="00487852"/>
    <w:rsid w:val="00487A48"/>
    <w:rsid w:val="0049111B"/>
    <w:rsid w:val="00493565"/>
    <w:rsid w:val="00493650"/>
    <w:rsid w:val="00493EF2"/>
    <w:rsid w:val="0049438B"/>
    <w:rsid w:val="00494810"/>
    <w:rsid w:val="0049563C"/>
    <w:rsid w:val="004960ED"/>
    <w:rsid w:val="004A337D"/>
    <w:rsid w:val="004A47A9"/>
    <w:rsid w:val="004A5031"/>
    <w:rsid w:val="004A5285"/>
    <w:rsid w:val="004B2F84"/>
    <w:rsid w:val="004B6BD4"/>
    <w:rsid w:val="004B7410"/>
    <w:rsid w:val="004C035A"/>
    <w:rsid w:val="004C1BC1"/>
    <w:rsid w:val="004C1D83"/>
    <w:rsid w:val="004C3E6A"/>
    <w:rsid w:val="004C64E1"/>
    <w:rsid w:val="004C6995"/>
    <w:rsid w:val="004D0747"/>
    <w:rsid w:val="004D0F26"/>
    <w:rsid w:val="004D2B3D"/>
    <w:rsid w:val="004E2C1A"/>
    <w:rsid w:val="004E3F93"/>
    <w:rsid w:val="004E46A3"/>
    <w:rsid w:val="004E6423"/>
    <w:rsid w:val="004F03F8"/>
    <w:rsid w:val="004F1140"/>
    <w:rsid w:val="004F1C93"/>
    <w:rsid w:val="004F500A"/>
    <w:rsid w:val="004F5E1C"/>
    <w:rsid w:val="004F70A0"/>
    <w:rsid w:val="004F7C65"/>
    <w:rsid w:val="00502221"/>
    <w:rsid w:val="0050256E"/>
    <w:rsid w:val="0050507F"/>
    <w:rsid w:val="0050782C"/>
    <w:rsid w:val="005100CB"/>
    <w:rsid w:val="005108AF"/>
    <w:rsid w:val="00511E4E"/>
    <w:rsid w:val="00513FB2"/>
    <w:rsid w:val="00520E18"/>
    <w:rsid w:val="00524E56"/>
    <w:rsid w:val="00530511"/>
    <w:rsid w:val="00531889"/>
    <w:rsid w:val="0053484C"/>
    <w:rsid w:val="0053651E"/>
    <w:rsid w:val="00540434"/>
    <w:rsid w:val="00540AAB"/>
    <w:rsid w:val="00541350"/>
    <w:rsid w:val="00543258"/>
    <w:rsid w:val="00543B23"/>
    <w:rsid w:val="00544D35"/>
    <w:rsid w:val="00546606"/>
    <w:rsid w:val="00550B0B"/>
    <w:rsid w:val="00553655"/>
    <w:rsid w:val="00554B58"/>
    <w:rsid w:val="00556D47"/>
    <w:rsid w:val="005572F8"/>
    <w:rsid w:val="00557848"/>
    <w:rsid w:val="005633AF"/>
    <w:rsid w:val="0056572B"/>
    <w:rsid w:val="00571160"/>
    <w:rsid w:val="00571AF9"/>
    <w:rsid w:val="00572141"/>
    <w:rsid w:val="00574335"/>
    <w:rsid w:val="005759FD"/>
    <w:rsid w:val="005808AC"/>
    <w:rsid w:val="0058229A"/>
    <w:rsid w:val="00583C20"/>
    <w:rsid w:val="0058649E"/>
    <w:rsid w:val="005870B0"/>
    <w:rsid w:val="00593AB9"/>
    <w:rsid w:val="005A031A"/>
    <w:rsid w:val="005A2DF9"/>
    <w:rsid w:val="005A3B21"/>
    <w:rsid w:val="005A3BDC"/>
    <w:rsid w:val="005A5641"/>
    <w:rsid w:val="005B16A1"/>
    <w:rsid w:val="005B22D6"/>
    <w:rsid w:val="005B2859"/>
    <w:rsid w:val="005B2E04"/>
    <w:rsid w:val="005B5F11"/>
    <w:rsid w:val="005B7996"/>
    <w:rsid w:val="005C0212"/>
    <w:rsid w:val="005C4D12"/>
    <w:rsid w:val="005C7B80"/>
    <w:rsid w:val="005D6306"/>
    <w:rsid w:val="005E0462"/>
    <w:rsid w:val="005E05EB"/>
    <w:rsid w:val="006003EF"/>
    <w:rsid w:val="00603C5F"/>
    <w:rsid w:val="00604CB5"/>
    <w:rsid w:val="00606F54"/>
    <w:rsid w:val="00607C52"/>
    <w:rsid w:val="006143CA"/>
    <w:rsid w:val="00614F3A"/>
    <w:rsid w:val="00617619"/>
    <w:rsid w:val="0062227C"/>
    <w:rsid w:val="00623CE3"/>
    <w:rsid w:val="0062457F"/>
    <w:rsid w:val="0062746C"/>
    <w:rsid w:val="00630843"/>
    <w:rsid w:val="00633961"/>
    <w:rsid w:val="00635AAB"/>
    <w:rsid w:val="00643395"/>
    <w:rsid w:val="006453B1"/>
    <w:rsid w:val="00650040"/>
    <w:rsid w:val="00651D34"/>
    <w:rsid w:val="00652299"/>
    <w:rsid w:val="00653727"/>
    <w:rsid w:val="006541C5"/>
    <w:rsid w:val="0065463C"/>
    <w:rsid w:val="006549FC"/>
    <w:rsid w:val="006556EA"/>
    <w:rsid w:val="00662B25"/>
    <w:rsid w:val="006634F5"/>
    <w:rsid w:val="00670065"/>
    <w:rsid w:val="00670FFE"/>
    <w:rsid w:val="00683D16"/>
    <w:rsid w:val="006856BF"/>
    <w:rsid w:val="00687469"/>
    <w:rsid w:val="00690AEC"/>
    <w:rsid w:val="006913FF"/>
    <w:rsid w:val="00693842"/>
    <w:rsid w:val="00693EAF"/>
    <w:rsid w:val="0069448C"/>
    <w:rsid w:val="00695FE3"/>
    <w:rsid w:val="006969C6"/>
    <w:rsid w:val="006A5839"/>
    <w:rsid w:val="006A6668"/>
    <w:rsid w:val="006A6FE4"/>
    <w:rsid w:val="006B7DEF"/>
    <w:rsid w:val="006C284F"/>
    <w:rsid w:val="006C2C07"/>
    <w:rsid w:val="006C4364"/>
    <w:rsid w:val="006C5F61"/>
    <w:rsid w:val="006D11D9"/>
    <w:rsid w:val="006D1665"/>
    <w:rsid w:val="006D1CD9"/>
    <w:rsid w:val="006D302A"/>
    <w:rsid w:val="006D3BDA"/>
    <w:rsid w:val="006D5C07"/>
    <w:rsid w:val="006D5F17"/>
    <w:rsid w:val="006D633D"/>
    <w:rsid w:val="006E116B"/>
    <w:rsid w:val="006E20E1"/>
    <w:rsid w:val="006E3FC8"/>
    <w:rsid w:val="006E6A42"/>
    <w:rsid w:val="006E7010"/>
    <w:rsid w:val="006F1781"/>
    <w:rsid w:val="006F324E"/>
    <w:rsid w:val="006F7C14"/>
    <w:rsid w:val="0070081E"/>
    <w:rsid w:val="00701FFC"/>
    <w:rsid w:val="00703430"/>
    <w:rsid w:val="00703DE8"/>
    <w:rsid w:val="007046A1"/>
    <w:rsid w:val="007069B4"/>
    <w:rsid w:val="00711176"/>
    <w:rsid w:val="00714ACE"/>
    <w:rsid w:val="00714AF6"/>
    <w:rsid w:val="00714D07"/>
    <w:rsid w:val="00721DF3"/>
    <w:rsid w:val="00724094"/>
    <w:rsid w:val="00725CB2"/>
    <w:rsid w:val="00727D9A"/>
    <w:rsid w:val="00727E16"/>
    <w:rsid w:val="00735886"/>
    <w:rsid w:val="007379CC"/>
    <w:rsid w:val="00743167"/>
    <w:rsid w:val="00743D11"/>
    <w:rsid w:val="00744B81"/>
    <w:rsid w:val="00745D11"/>
    <w:rsid w:val="00745E78"/>
    <w:rsid w:val="0074733B"/>
    <w:rsid w:val="00753B6B"/>
    <w:rsid w:val="00753FC1"/>
    <w:rsid w:val="0075436A"/>
    <w:rsid w:val="0076027F"/>
    <w:rsid w:val="00762FF4"/>
    <w:rsid w:val="00767E4F"/>
    <w:rsid w:val="007709C5"/>
    <w:rsid w:val="0077549F"/>
    <w:rsid w:val="007771FA"/>
    <w:rsid w:val="007771FF"/>
    <w:rsid w:val="0078139A"/>
    <w:rsid w:val="00781433"/>
    <w:rsid w:val="00785BBB"/>
    <w:rsid w:val="00786A20"/>
    <w:rsid w:val="00786A71"/>
    <w:rsid w:val="00787191"/>
    <w:rsid w:val="00792112"/>
    <w:rsid w:val="00792852"/>
    <w:rsid w:val="00793482"/>
    <w:rsid w:val="007952FD"/>
    <w:rsid w:val="007A1E66"/>
    <w:rsid w:val="007B0168"/>
    <w:rsid w:val="007B390F"/>
    <w:rsid w:val="007B5F67"/>
    <w:rsid w:val="007B6B92"/>
    <w:rsid w:val="007B77DE"/>
    <w:rsid w:val="007C229E"/>
    <w:rsid w:val="007C2AD0"/>
    <w:rsid w:val="007C4804"/>
    <w:rsid w:val="007C6459"/>
    <w:rsid w:val="007D1AFE"/>
    <w:rsid w:val="007D46A6"/>
    <w:rsid w:val="007E09BB"/>
    <w:rsid w:val="007E10B4"/>
    <w:rsid w:val="007E2F93"/>
    <w:rsid w:val="007E4495"/>
    <w:rsid w:val="007F0E17"/>
    <w:rsid w:val="008006D4"/>
    <w:rsid w:val="00801DA4"/>
    <w:rsid w:val="00803C19"/>
    <w:rsid w:val="00805905"/>
    <w:rsid w:val="00805A28"/>
    <w:rsid w:val="008124B1"/>
    <w:rsid w:val="0081410F"/>
    <w:rsid w:val="00816489"/>
    <w:rsid w:val="00816F26"/>
    <w:rsid w:val="00817986"/>
    <w:rsid w:val="008213E9"/>
    <w:rsid w:val="00831AB2"/>
    <w:rsid w:val="00835EBC"/>
    <w:rsid w:val="00836574"/>
    <w:rsid w:val="00836823"/>
    <w:rsid w:val="008372B5"/>
    <w:rsid w:val="008401BF"/>
    <w:rsid w:val="00840352"/>
    <w:rsid w:val="00840F9B"/>
    <w:rsid w:val="00841614"/>
    <w:rsid w:val="008424C5"/>
    <w:rsid w:val="00842E64"/>
    <w:rsid w:val="0084514D"/>
    <w:rsid w:val="008471AE"/>
    <w:rsid w:val="0084786A"/>
    <w:rsid w:val="00850EA6"/>
    <w:rsid w:val="008522AE"/>
    <w:rsid w:val="008561C2"/>
    <w:rsid w:val="0085686C"/>
    <w:rsid w:val="00857814"/>
    <w:rsid w:val="00862125"/>
    <w:rsid w:val="008651BB"/>
    <w:rsid w:val="008774C7"/>
    <w:rsid w:val="00881332"/>
    <w:rsid w:val="00883DBD"/>
    <w:rsid w:val="00884985"/>
    <w:rsid w:val="00885127"/>
    <w:rsid w:val="00890E9B"/>
    <w:rsid w:val="00892EDE"/>
    <w:rsid w:val="008932D7"/>
    <w:rsid w:val="008A057B"/>
    <w:rsid w:val="008A0964"/>
    <w:rsid w:val="008A5C0B"/>
    <w:rsid w:val="008A788D"/>
    <w:rsid w:val="008A7F84"/>
    <w:rsid w:val="008B109F"/>
    <w:rsid w:val="008C09FD"/>
    <w:rsid w:val="008C641B"/>
    <w:rsid w:val="008D3AF6"/>
    <w:rsid w:val="008D47FD"/>
    <w:rsid w:val="008D56E1"/>
    <w:rsid w:val="008D5B2F"/>
    <w:rsid w:val="008E5F61"/>
    <w:rsid w:val="008E73FD"/>
    <w:rsid w:val="008F1E9D"/>
    <w:rsid w:val="008F2F7A"/>
    <w:rsid w:val="008F3173"/>
    <w:rsid w:val="008F334C"/>
    <w:rsid w:val="008F4472"/>
    <w:rsid w:val="008F6657"/>
    <w:rsid w:val="009012E5"/>
    <w:rsid w:val="00901639"/>
    <w:rsid w:val="00904A48"/>
    <w:rsid w:val="009071A3"/>
    <w:rsid w:val="00911471"/>
    <w:rsid w:val="009116BA"/>
    <w:rsid w:val="00912081"/>
    <w:rsid w:val="009124DA"/>
    <w:rsid w:val="00914717"/>
    <w:rsid w:val="00920BF0"/>
    <w:rsid w:val="00932A42"/>
    <w:rsid w:val="00935CFF"/>
    <w:rsid w:val="00940F1C"/>
    <w:rsid w:val="00950A1F"/>
    <w:rsid w:val="00950B57"/>
    <w:rsid w:val="00952B83"/>
    <w:rsid w:val="00954DFD"/>
    <w:rsid w:val="00956E57"/>
    <w:rsid w:val="0096127F"/>
    <w:rsid w:val="0096511F"/>
    <w:rsid w:val="00965BCA"/>
    <w:rsid w:val="009667F0"/>
    <w:rsid w:val="009711DB"/>
    <w:rsid w:val="00971201"/>
    <w:rsid w:val="00973402"/>
    <w:rsid w:val="00973477"/>
    <w:rsid w:val="00974E37"/>
    <w:rsid w:val="0097525D"/>
    <w:rsid w:val="0097613D"/>
    <w:rsid w:val="00982C52"/>
    <w:rsid w:val="009906C3"/>
    <w:rsid w:val="009921AB"/>
    <w:rsid w:val="0099432B"/>
    <w:rsid w:val="0099490D"/>
    <w:rsid w:val="009A144D"/>
    <w:rsid w:val="009A24D2"/>
    <w:rsid w:val="009B6600"/>
    <w:rsid w:val="009B73C6"/>
    <w:rsid w:val="009C16E1"/>
    <w:rsid w:val="009C1812"/>
    <w:rsid w:val="009C3F4E"/>
    <w:rsid w:val="009C6188"/>
    <w:rsid w:val="009D0676"/>
    <w:rsid w:val="009D3A62"/>
    <w:rsid w:val="009D3ECA"/>
    <w:rsid w:val="009D47AF"/>
    <w:rsid w:val="009D5E01"/>
    <w:rsid w:val="009D62B0"/>
    <w:rsid w:val="009E3A1C"/>
    <w:rsid w:val="009E5760"/>
    <w:rsid w:val="009E7183"/>
    <w:rsid w:val="009F1516"/>
    <w:rsid w:val="009F1CA9"/>
    <w:rsid w:val="009F358F"/>
    <w:rsid w:val="009F3D14"/>
    <w:rsid w:val="009F3E35"/>
    <w:rsid w:val="009F5D7E"/>
    <w:rsid w:val="00A00808"/>
    <w:rsid w:val="00A00CE6"/>
    <w:rsid w:val="00A01C53"/>
    <w:rsid w:val="00A02E41"/>
    <w:rsid w:val="00A043C4"/>
    <w:rsid w:val="00A053AF"/>
    <w:rsid w:val="00A05B86"/>
    <w:rsid w:val="00A05CDB"/>
    <w:rsid w:val="00A06DAE"/>
    <w:rsid w:val="00A114C6"/>
    <w:rsid w:val="00A16E7F"/>
    <w:rsid w:val="00A17C04"/>
    <w:rsid w:val="00A23BAF"/>
    <w:rsid w:val="00A24129"/>
    <w:rsid w:val="00A249D3"/>
    <w:rsid w:val="00A253E6"/>
    <w:rsid w:val="00A25B3D"/>
    <w:rsid w:val="00A25FB9"/>
    <w:rsid w:val="00A261E8"/>
    <w:rsid w:val="00A269BE"/>
    <w:rsid w:val="00A26B2B"/>
    <w:rsid w:val="00A2732D"/>
    <w:rsid w:val="00A27601"/>
    <w:rsid w:val="00A276DA"/>
    <w:rsid w:val="00A330E1"/>
    <w:rsid w:val="00A344EA"/>
    <w:rsid w:val="00A35250"/>
    <w:rsid w:val="00A3559E"/>
    <w:rsid w:val="00A36FBF"/>
    <w:rsid w:val="00A37E1A"/>
    <w:rsid w:val="00A417FC"/>
    <w:rsid w:val="00A42568"/>
    <w:rsid w:val="00A51FEA"/>
    <w:rsid w:val="00A560BA"/>
    <w:rsid w:val="00A60D67"/>
    <w:rsid w:val="00A63A36"/>
    <w:rsid w:val="00A67A74"/>
    <w:rsid w:val="00A70F24"/>
    <w:rsid w:val="00A72B47"/>
    <w:rsid w:val="00A73585"/>
    <w:rsid w:val="00A76EFF"/>
    <w:rsid w:val="00A81A85"/>
    <w:rsid w:val="00A846AC"/>
    <w:rsid w:val="00A85581"/>
    <w:rsid w:val="00A86320"/>
    <w:rsid w:val="00A90040"/>
    <w:rsid w:val="00A909C6"/>
    <w:rsid w:val="00A93B2C"/>
    <w:rsid w:val="00A94A03"/>
    <w:rsid w:val="00A96027"/>
    <w:rsid w:val="00A9610A"/>
    <w:rsid w:val="00AA4A16"/>
    <w:rsid w:val="00AA4E75"/>
    <w:rsid w:val="00AA6788"/>
    <w:rsid w:val="00AB3942"/>
    <w:rsid w:val="00AB6E85"/>
    <w:rsid w:val="00AC107F"/>
    <w:rsid w:val="00AC1F7C"/>
    <w:rsid w:val="00AC2115"/>
    <w:rsid w:val="00AC4895"/>
    <w:rsid w:val="00AC4AA1"/>
    <w:rsid w:val="00AC5480"/>
    <w:rsid w:val="00AD4F7C"/>
    <w:rsid w:val="00AE0844"/>
    <w:rsid w:val="00AE1DE4"/>
    <w:rsid w:val="00AE2C5E"/>
    <w:rsid w:val="00AE2EC6"/>
    <w:rsid w:val="00AE3BB2"/>
    <w:rsid w:val="00AE50CD"/>
    <w:rsid w:val="00AE5202"/>
    <w:rsid w:val="00AE5271"/>
    <w:rsid w:val="00AE6A6B"/>
    <w:rsid w:val="00AF33D4"/>
    <w:rsid w:val="00AF70AF"/>
    <w:rsid w:val="00B0058F"/>
    <w:rsid w:val="00B0164E"/>
    <w:rsid w:val="00B032A9"/>
    <w:rsid w:val="00B03B9E"/>
    <w:rsid w:val="00B06393"/>
    <w:rsid w:val="00B07298"/>
    <w:rsid w:val="00B116BF"/>
    <w:rsid w:val="00B14999"/>
    <w:rsid w:val="00B15ADC"/>
    <w:rsid w:val="00B176B0"/>
    <w:rsid w:val="00B20318"/>
    <w:rsid w:val="00B21086"/>
    <w:rsid w:val="00B22169"/>
    <w:rsid w:val="00B23A1A"/>
    <w:rsid w:val="00B23C06"/>
    <w:rsid w:val="00B23D07"/>
    <w:rsid w:val="00B272B6"/>
    <w:rsid w:val="00B31D09"/>
    <w:rsid w:val="00B352F5"/>
    <w:rsid w:val="00B42341"/>
    <w:rsid w:val="00B435D7"/>
    <w:rsid w:val="00B4448A"/>
    <w:rsid w:val="00B466B8"/>
    <w:rsid w:val="00B470DA"/>
    <w:rsid w:val="00B47D9C"/>
    <w:rsid w:val="00B51274"/>
    <w:rsid w:val="00B548EB"/>
    <w:rsid w:val="00B550F3"/>
    <w:rsid w:val="00B55347"/>
    <w:rsid w:val="00B55356"/>
    <w:rsid w:val="00B56BBF"/>
    <w:rsid w:val="00B57E3A"/>
    <w:rsid w:val="00B60745"/>
    <w:rsid w:val="00B60B76"/>
    <w:rsid w:val="00B703A8"/>
    <w:rsid w:val="00B738DB"/>
    <w:rsid w:val="00B742BB"/>
    <w:rsid w:val="00B774E7"/>
    <w:rsid w:val="00B77E27"/>
    <w:rsid w:val="00B81140"/>
    <w:rsid w:val="00B82D3F"/>
    <w:rsid w:val="00B84B6C"/>
    <w:rsid w:val="00B85B72"/>
    <w:rsid w:val="00B90DEB"/>
    <w:rsid w:val="00B93ACD"/>
    <w:rsid w:val="00B95856"/>
    <w:rsid w:val="00BA0FDC"/>
    <w:rsid w:val="00BA220E"/>
    <w:rsid w:val="00BA3AD3"/>
    <w:rsid w:val="00BA435A"/>
    <w:rsid w:val="00BA65A6"/>
    <w:rsid w:val="00BB1FED"/>
    <w:rsid w:val="00BB3197"/>
    <w:rsid w:val="00BB330E"/>
    <w:rsid w:val="00BB42F4"/>
    <w:rsid w:val="00BB4455"/>
    <w:rsid w:val="00BB6763"/>
    <w:rsid w:val="00BC309C"/>
    <w:rsid w:val="00BC4D20"/>
    <w:rsid w:val="00BC5F89"/>
    <w:rsid w:val="00BC6C96"/>
    <w:rsid w:val="00BC7221"/>
    <w:rsid w:val="00BC762C"/>
    <w:rsid w:val="00BD0C2B"/>
    <w:rsid w:val="00BD17B9"/>
    <w:rsid w:val="00BD63DB"/>
    <w:rsid w:val="00BE0BE5"/>
    <w:rsid w:val="00BE2104"/>
    <w:rsid w:val="00BE2BFC"/>
    <w:rsid w:val="00BE64A8"/>
    <w:rsid w:val="00BE671E"/>
    <w:rsid w:val="00BF5502"/>
    <w:rsid w:val="00BF63E1"/>
    <w:rsid w:val="00C01DE1"/>
    <w:rsid w:val="00C060C3"/>
    <w:rsid w:val="00C12BD0"/>
    <w:rsid w:val="00C14090"/>
    <w:rsid w:val="00C157DB"/>
    <w:rsid w:val="00C15E0B"/>
    <w:rsid w:val="00C1657F"/>
    <w:rsid w:val="00C23DB7"/>
    <w:rsid w:val="00C24543"/>
    <w:rsid w:val="00C27E65"/>
    <w:rsid w:val="00C41364"/>
    <w:rsid w:val="00C428B0"/>
    <w:rsid w:val="00C43557"/>
    <w:rsid w:val="00C43B1D"/>
    <w:rsid w:val="00C45848"/>
    <w:rsid w:val="00C46D14"/>
    <w:rsid w:val="00C47D7F"/>
    <w:rsid w:val="00C522C8"/>
    <w:rsid w:val="00C52952"/>
    <w:rsid w:val="00C53984"/>
    <w:rsid w:val="00C54009"/>
    <w:rsid w:val="00C55811"/>
    <w:rsid w:val="00C56B37"/>
    <w:rsid w:val="00C579EF"/>
    <w:rsid w:val="00C629BF"/>
    <w:rsid w:val="00C62AC3"/>
    <w:rsid w:val="00C7044B"/>
    <w:rsid w:val="00C70554"/>
    <w:rsid w:val="00C71D78"/>
    <w:rsid w:val="00C7226A"/>
    <w:rsid w:val="00C722D0"/>
    <w:rsid w:val="00C734B6"/>
    <w:rsid w:val="00C7436E"/>
    <w:rsid w:val="00C7473B"/>
    <w:rsid w:val="00C77F5B"/>
    <w:rsid w:val="00C81EF8"/>
    <w:rsid w:val="00C83519"/>
    <w:rsid w:val="00C84BB0"/>
    <w:rsid w:val="00C851AF"/>
    <w:rsid w:val="00C85EB0"/>
    <w:rsid w:val="00C86F7B"/>
    <w:rsid w:val="00C9000A"/>
    <w:rsid w:val="00C90922"/>
    <w:rsid w:val="00C91A34"/>
    <w:rsid w:val="00C92E44"/>
    <w:rsid w:val="00C9568E"/>
    <w:rsid w:val="00CA14A8"/>
    <w:rsid w:val="00CA18B3"/>
    <w:rsid w:val="00CA63A6"/>
    <w:rsid w:val="00CA6ADC"/>
    <w:rsid w:val="00CB6FAB"/>
    <w:rsid w:val="00CC0140"/>
    <w:rsid w:val="00CC5259"/>
    <w:rsid w:val="00CC5C67"/>
    <w:rsid w:val="00CC76CF"/>
    <w:rsid w:val="00CD257F"/>
    <w:rsid w:val="00CD684F"/>
    <w:rsid w:val="00CD7B7C"/>
    <w:rsid w:val="00CE57F0"/>
    <w:rsid w:val="00CF0E9F"/>
    <w:rsid w:val="00CF7459"/>
    <w:rsid w:val="00CF7BAA"/>
    <w:rsid w:val="00D01B94"/>
    <w:rsid w:val="00D02201"/>
    <w:rsid w:val="00D065F7"/>
    <w:rsid w:val="00D070C7"/>
    <w:rsid w:val="00D10CA9"/>
    <w:rsid w:val="00D12F43"/>
    <w:rsid w:val="00D21E73"/>
    <w:rsid w:val="00D25A6B"/>
    <w:rsid w:val="00D265D8"/>
    <w:rsid w:val="00D26704"/>
    <w:rsid w:val="00D31DE7"/>
    <w:rsid w:val="00D33958"/>
    <w:rsid w:val="00D3504C"/>
    <w:rsid w:val="00D40BAE"/>
    <w:rsid w:val="00D417B3"/>
    <w:rsid w:val="00D4342B"/>
    <w:rsid w:val="00D43665"/>
    <w:rsid w:val="00D45379"/>
    <w:rsid w:val="00D464F1"/>
    <w:rsid w:val="00D47ACD"/>
    <w:rsid w:val="00D50B31"/>
    <w:rsid w:val="00D535DF"/>
    <w:rsid w:val="00D55688"/>
    <w:rsid w:val="00D55EEB"/>
    <w:rsid w:val="00D60245"/>
    <w:rsid w:val="00D662C1"/>
    <w:rsid w:val="00D70C9B"/>
    <w:rsid w:val="00D73B3F"/>
    <w:rsid w:val="00D80D25"/>
    <w:rsid w:val="00D8277E"/>
    <w:rsid w:val="00D84191"/>
    <w:rsid w:val="00D85290"/>
    <w:rsid w:val="00D91155"/>
    <w:rsid w:val="00D91556"/>
    <w:rsid w:val="00D93300"/>
    <w:rsid w:val="00D9774E"/>
    <w:rsid w:val="00DA1EF6"/>
    <w:rsid w:val="00DA309F"/>
    <w:rsid w:val="00DA5451"/>
    <w:rsid w:val="00DB00F7"/>
    <w:rsid w:val="00DC1DD2"/>
    <w:rsid w:val="00DC68EA"/>
    <w:rsid w:val="00DD0A16"/>
    <w:rsid w:val="00DD1D79"/>
    <w:rsid w:val="00DD7CC1"/>
    <w:rsid w:val="00DE2403"/>
    <w:rsid w:val="00DE4816"/>
    <w:rsid w:val="00DE6B3D"/>
    <w:rsid w:val="00DE6F24"/>
    <w:rsid w:val="00DE7264"/>
    <w:rsid w:val="00DE78FD"/>
    <w:rsid w:val="00DF0CAF"/>
    <w:rsid w:val="00DF2397"/>
    <w:rsid w:val="00DF25C7"/>
    <w:rsid w:val="00DF2735"/>
    <w:rsid w:val="00DF3EE9"/>
    <w:rsid w:val="00E02222"/>
    <w:rsid w:val="00E0292C"/>
    <w:rsid w:val="00E0575C"/>
    <w:rsid w:val="00E06350"/>
    <w:rsid w:val="00E068BF"/>
    <w:rsid w:val="00E06FC4"/>
    <w:rsid w:val="00E0769B"/>
    <w:rsid w:val="00E13089"/>
    <w:rsid w:val="00E15909"/>
    <w:rsid w:val="00E17572"/>
    <w:rsid w:val="00E21C0A"/>
    <w:rsid w:val="00E2386A"/>
    <w:rsid w:val="00E23B8A"/>
    <w:rsid w:val="00E2658A"/>
    <w:rsid w:val="00E267D9"/>
    <w:rsid w:val="00E30AA2"/>
    <w:rsid w:val="00E329E1"/>
    <w:rsid w:val="00E32E93"/>
    <w:rsid w:val="00E330C8"/>
    <w:rsid w:val="00E40508"/>
    <w:rsid w:val="00E4627C"/>
    <w:rsid w:val="00E46D2F"/>
    <w:rsid w:val="00E545CC"/>
    <w:rsid w:val="00E60C89"/>
    <w:rsid w:val="00E62CB9"/>
    <w:rsid w:val="00E638E9"/>
    <w:rsid w:val="00E64160"/>
    <w:rsid w:val="00E65C95"/>
    <w:rsid w:val="00E65DB6"/>
    <w:rsid w:val="00E6638F"/>
    <w:rsid w:val="00E67F86"/>
    <w:rsid w:val="00E71559"/>
    <w:rsid w:val="00E72475"/>
    <w:rsid w:val="00E733A6"/>
    <w:rsid w:val="00E77AC1"/>
    <w:rsid w:val="00E80C57"/>
    <w:rsid w:val="00E80EF0"/>
    <w:rsid w:val="00E820E0"/>
    <w:rsid w:val="00E825AB"/>
    <w:rsid w:val="00E8284C"/>
    <w:rsid w:val="00E85F41"/>
    <w:rsid w:val="00E8628B"/>
    <w:rsid w:val="00E86ADE"/>
    <w:rsid w:val="00E90DBC"/>
    <w:rsid w:val="00E917F7"/>
    <w:rsid w:val="00E921C6"/>
    <w:rsid w:val="00E94B5A"/>
    <w:rsid w:val="00E94FCF"/>
    <w:rsid w:val="00E965A9"/>
    <w:rsid w:val="00E97A13"/>
    <w:rsid w:val="00EA2B78"/>
    <w:rsid w:val="00EA4427"/>
    <w:rsid w:val="00EB0301"/>
    <w:rsid w:val="00EB6AAB"/>
    <w:rsid w:val="00EB7CDA"/>
    <w:rsid w:val="00EC0970"/>
    <w:rsid w:val="00EC1104"/>
    <w:rsid w:val="00EC4444"/>
    <w:rsid w:val="00EC4C2B"/>
    <w:rsid w:val="00EC5C5A"/>
    <w:rsid w:val="00ED18AF"/>
    <w:rsid w:val="00ED23C6"/>
    <w:rsid w:val="00ED49C5"/>
    <w:rsid w:val="00EE0740"/>
    <w:rsid w:val="00EE099A"/>
    <w:rsid w:val="00EE0B44"/>
    <w:rsid w:val="00EE0D06"/>
    <w:rsid w:val="00EF00DC"/>
    <w:rsid w:val="00EF2D32"/>
    <w:rsid w:val="00EF32DB"/>
    <w:rsid w:val="00EF43F8"/>
    <w:rsid w:val="00F01F14"/>
    <w:rsid w:val="00F049EE"/>
    <w:rsid w:val="00F109BE"/>
    <w:rsid w:val="00F125C1"/>
    <w:rsid w:val="00F12A24"/>
    <w:rsid w:val="00F15DEB"/>
    <w:rsid w:val="00F16881"/>
    <w:rsid w:val="00F16D80"/>
    <w:rsid w:val="00F23FE3"/>
    <w:rsid w:val="00F24E47"/>
    <w:rsid w:val="00F26DC8"/>
    <w:rsid w:val="00F304ED"/>
    <w:rsid w:val="00F307ED"/>
    <w:rsid w:val="00F364F9"/>
    <w:rsid w:val="00F37984"/>
    <w:rsid w:val="00F37FC8"/>
    <w:rsid w:val="00F4075A"/>
    <w:rsid w:val="00F408D2"/>
    <w:rsid w:val="00F41F55"/>
    <w:rsid w:val="00F43344"/>
    <w:rsid w:val="00F45389"/>
    <w:rsid w:val="00F458BD"/>
    <w:rsid w:val="00F50143"/>
    <w:rsid w:val="00F62556"/>
    <w:rsid w:val="00F64F2A"/>
    <w:rsid w:val="00F702ED"/>
    <w:rsid w:val="00F7054B"/>
    <w:rsid w:val="00F72978"/>
    <w:rsid w:val="00F72DFC"/>
    <w:rsid w:val="00F72FD3"/>
    <w:rsid w:val="00F7439B"/>
    <w:rsid w:val="00F7494A"/>
    <w:rsid w:val="00F75ADA"/>
    <w:rsid w:val="00F8046A"/>
    <w:rsid w:val="00F813C2"/>
    <w:rsid w:val="00F81806"/>
    <w:rsid w:val="00F84C4C"/>
    <w:rsid w:val="00F85961"/>
    <w:rsid w:val="00F85B88"/>
    <w:rsid w:val="00F8761B"/>
    <w:rsid w:val="00F87715"/>
    <w:rsid w:val="00F9178F"/>
    <w:rsid w:val="00F91CE9"/>
    <w:rsid w:val="00F92BF7"/>
    <w:rsid w:val="00F92C51"/>
    <w:rsid w:val="00F96BD3"/>
    <w:rsid w:val="00FA1C8F"/>
    <w:rsid w:val="00FA6AFB"/>
    <w:rsid w:val="00FA7056"/>
    <w:rsid w:val="00FB06F0"/>
    <w:rsid w:val="00FB19E8"/>
    <w:rsid w:val="00FB4DAF"/>
    <w:rsid w:val="00FB5A6C"/>
    <w:rsid w:val="00FB6A57"/>
    <w:rsid w:val="00FC32FD"/>
    <w:rsid w:val="00FC3EBB"/>
    <w:rsid w:val="00FC41C6"/>
    <w:rsid w:val="00FC70CE"/>
    <w:rsid w:val="00FC7ED9"/>
    <w:rsid w:val="00FD09CA"/>
    <w:rsid w:val="00FD6026"/>
    <w:rsid w:val="00FD6D5D"/>
    <w:rsid w:val="00FD7CD3"/>
    <w:rsid w:val="00FE2DE7"/>
    <w:rsid w:val="00FE542F"/>
    <w:rsid w:val="00FF1471"/>
    <w:rsid w:val="00FF31F3"/>
    <w:rsid w:val="00FF3A28"/>
    <w:rsid w:val="00FF4289"/>
    <w:rsid w:val="00FF4B00"/>
    <w:rsid w:val="00FF4DF6"/>
    <w:rsid w:val="00FF5383"/>
    <w:rsid w:val="00FF57A3"/>
    <w:rsid w:val="00FF5D80"/>
    <w:rsid w:val="00FF6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04"/>
    <w:rPr>
      <w:sz w:val="24"/>
    </w:rPr>
  </w:style>
  <w:style w:type="paragraph" w:styleId="Heading3">
    <w:name w:val="heading 3"/>
    <w:basedOn w:val="Normal"/>
    <w:next w:val="Normal"/>
    <w:link w:val="Heading3Char"/>
    <w:uiPriority w:val="9"/>
    <w:unhideWhenUsed/>
    <w:qFormat/>
    <w:rsid w:val="00BD17B9"/>
    <w:pPr>
      <w:keepNext/>
      <w:keepLines/>
      <w:numPr>
        <w:numId w:val="14"/>
      </w:numPr>
      <w:spacing w:before="240" w:after="240"/>
      <w:ind w:left="2160" w:hanging="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t Char,fn Char,fnt Char"/>
    <w:basedOn w:val="DefaultParagraphFont"/>
    <w:link w:val="FootnoteText"/>
    <w:uiPriority w:val="99"/>
    <w:rsid w:val="009A24D2"/>
    <w:rPr>
      <w:sz w:val="24"/>
    </w:rPr>
  </w:style>
  <w:style w:type="paragraph" w:customStyle="1" w:styleId="Level1">
    <w:name w:val="Level 1"/>
    <w:basedOn w:val="Normal"/>
    <w:uiPriority w:val="99"/>
    <w:rsid w:val="00D26704"/>
    <w:pPr>
      <w:widowControl w:val="0"/>
    </w:pPr>
  </w:style>
  <w:style w:type="paragraph" w:customStyle="1" w:styleId="Level2">
    <w:name w:val="Level 2"/>
    <w:basedOn w:val="Normal"/>
    <w:uiPriority w:val="99"/>
    <w:rsid w:val="00D26704"/>
    <w:pPr>
      <w:widowControl w:val="0"/>
    </w:pPr>
  </w:style>
  <w:style w:type="paragraph" w:customStyle="1" w:styleId="Level3">
    <w:name w:val="Level 3"/>
    <w:basedOn w:val="Normal"/>
    <w:rsid w:val="00D26704"/>
    <w:pPr>
      <w:widowControl w:val="0"/>
    </w:pPr>
  </w:style>
  <w:style w:type="paragraph" w:customStyle="1" w:styleId="Level4">
    <w:name w:val="Level 4"/>
    <w:basedOn w:val="Normal"/>
    <w:rsid w:val="00D26704"/>
    <w:pPr>
      <w:widowControl w:val="0"/>
    </w:pPr>
  </w:style>
  <w:style w:type="paragraph" w:customStyle="1" w:styleId="Level5">
    <w:name w:val="Level 5"/>
    <w:basedOn w:val="Normal"/>
    <w:rsid w:val="00D26704"/>
    <w:pPr>
      <w:widowControl w:val="0"/>
    </w:pPr>
  </w:style>
  <w:style w:type="paragraph" w:customStyle="1" w:styleId="Level6">
    <w:name w:val="Level 6"/>
    <w:basedOn w:val="Normal"/>
    <w:rsid w:val="00D26704"/>
    <w:pPr>
      <w:widowControl w:val="0"/>
    </w:pPr>
  </w:style>
  <w:style w:type="paragraph" w:customStyle="1" w:styleId="Level7">
    <w:name w:val="Level 7"/>
    <w:basedOn w:val="Normal"/>
    <w:rsid w:val="00D26704"/>
    <w:pPr>
      <w:widowControl w:val="0"/>
    </w:pPr>
  </w:style>
  <w:style w:type="paragraph" w:customStyle="1" w:styleId="Level8">
    <w:name w:val="Level 8"/>
    <w:basedOn w:val="Normal"/>
    <w:rsid w:val="00D26704"/>
    <w:pPr>
      <w:widowControl w:val="0"/>
    </w:pPr>
  </w:style>
  <w:style w:type="paragraph" w:customStyle="1" w:styleId="Level9">
    <w:name w:val="Level 9"/>
    <w:basedOn w:val="Normal"/>
    <w:rsid w:val="00D26704"/>
    <w:pPr>
      <w:widowControl w:val="0"/>
    </w:pPr>
    <w:rPr>
      <w:b/>
    </w:rPr>
  </w:style>
  <w:style w:type="paragraph" w:styleId="FootnoteText">
    <w:name w:val="footnote text"/>
    <w:aliases w:val="ft,fn,fnt"/>
    <w:basedOn w:val="Normal"/>
    <w:link w:val="FootnoteTextChar"/>
    <w:uiPriority w:val="99"/>
    <w:rsid w:val="009A24D2"/>
    <w:pPr>
      <w:widowControl w:val="0"/>
    </w:pPr>
  </w:style>
  <w:style w:type="character" w:styleId="FootnoteReference">
    <w:name w:val="footnote reference"/>
    <w:basedOn w:val="DefaultParagraphFont"/>
    <w:uiPriority w:val="99"/>
    <w:rsid w:val="00D26704"/>
    <w:rPr>
      <w:vertAlign w:val="superscript"/>
    </w:rPr>
  </w:style>
  <w:style w:type="paragraph" w:customStyle="1" w:styleId="26">
    <w:name w:val="_26"/>
    <w:basedOn w:val="Normal"/>
    <w:rsid w:val="00D26704"/>
    <w:pPr>
      <w:widowControl w:val="0"/>
    </w:pPr>
  </w:style>
  <w:style w:type="paragraph" w:customStyle="1" w:styleId="25">
    <w:name w:val="_25"/>
    <w:basedOn w:val="Normal"/>
    <w:rsid w:val="00D267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styleId="NormalWeb">
    <w:name w:val="Normal (Web)"/>
    <w:basedOn w:val="Normal"/>
    <w:rsid w:val="00D26704"/>
  </w:style>
  <w:style w:type="paragraph" w:customStyle="1" w:styleId="24">
    <w:name w:val="_24"/>
    <w:basedOn w:val="Normal"/>
    <w:rsid w:val="00D26704"/>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D26704"/>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D26704"/>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D26704"/>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D26704"/>
    <w:pPr>
      <w:tabs>
        <w:tab w:val="left" w:pos="5040"/>
        <w:tab w:val="left" w:pos="5760"/>
        <w:tab w:val="left" w:pos="6480"/>
        <w:tab w:val="left" w:pos="7200"/>
        <w:tab w:val="left" w:pos="7920"/>
        <w:tab w:val="left" w:pos="8640"/>
      </w:tabs>
      <w:ind w:left="5040"/>
    </w:pPr>
  </w:style>
  <w:style w:type="paragraph" w:customStyle="1" w:styleId="19">
    <w:name w:val="_19"/>
    <w:basedOn w:val="Normal"/>
    <w:rsid w:val="00D26704"/>
    <w:pPr>
      <w:tabs>
        <w:tab w:val="left" w:pos="5760"/>
        <w:tab w:val="left" w:pos="6480"/>
        <w:tab w:val="left" w:pos="7200"/>
        <w:tab w:val="left" w:pos="7920"/>
        <w:tab w:val="left" w:pos="8640"/>
      </w:tabs>
      <w:ind w:left="5760"/>
    </w:pPr>
  </w:style>
  <w:style w:type="paragraph" w:customStyle="1" w:styleId="18">
    <w:name w:val="_18"/>
    <w:basedOn w:val="Normal"/>
    <w:rsid w:val="00D26704"/>
    <w:pPr>
      <w:tabs>
        <w:tab w:val="left" w:pos="6480"/>
        <w:tab w:val="left" w:pos="7200"/>
        <w:tab w:val="left" w:pos="7920"/>
        <w:tab w:val="left" w:pos="8640"/>
      </w:tabs>
      <w:ind w:left="6480"/>
    </w:pPr>
  </w:style>
  <w:style w:type="paragraph" w:customStyle="1" w:styleId="17">
    <w:name w:val="_17"/>
    <w:basedOn w:val="Normal"/>
    <w:rsid w:val="00D26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D267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D26704"/>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D26704"/>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D26704"/>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D26704"/>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D26704"/>
    <w:pPr>
      <w:tabs>
        <w:tab w:val="left" w:pos="5040"/>
        <w:tab w:val="left" w:pos="5760"/>
        <w:tab w:val="left" w:pos="6480"/>
        <w:tab w:val="left" w:pos="7200"/>
        <w:tab w:val="left" w:pos="7920"/>
        <w:tab w:val="left" w:pos="8640"/>
      </w:tabs>
      <w:ind w:left="5040"/>
    </w:pPr>
  </w:style>
  <w:style w:type="paragraph" w:customStyle="1" w:styleId="10">
    <w:name w:val="_10"/>
    <w:basedOn w:val="Normal"/>
    <w:rsid w:val="00D26704"/>
    <w:pPr>
      <w:tabs>
        <w:tab w:val="left" w:pos="5760"/>
        <w:tab w:val="left" w:pos="6480"/>
        <w:tab w:val="left" w:pos="7200"/>
        <w:tab w:val="left" w:pos="7920"/>
        <w:tab w:val="left" w:pos="8640"/>
      </w:tabs>
      <w:ind w:left="5760"/>
    </w:pPr>
  </w:style>
  <w:style w:type="paragraph" w:customStyle="1" w:styleId="9">
    <w:name w:val="_9"/>
    <w:basedOn w:val="Normal"/>
    <w:rsid w:val="00D26704"/>
    <w:pPr>
      <w:tabs>
        <w:tab w:val="left" w:pos="6480"/>
        <w:tab w:val="left" w:pos="7200"/>
        <w:tab w:val="left" w:pos="7920"/>
        <w:tab w:val="left" w:pos="8640"/>
      </w:tabs>
      <w:ind w:left="6480"/>
    </w:pPr>
  </w:style>
  <w:style w:type="paragraph" w:customStyle="1" w:styleId="8">
    <w:name w:val="_8"/>
    <w:basedOn w:val="Normal"/>
    <w:rsid w:val="00D26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D267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D26704"/>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D26704"/>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D26704"/>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D26704"/>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D26704"/>
    <w:pPr>
      <w:tabs>
        <w:tab w:val="left" w:pos="5040"/>
        <w:tab w:val="left" w:pos="5760"/>
        <w:tab w:val="left" w:pos="6480"/>
        <w:tab w:val="left" w:pos="7200"/>
        <w:tab w:val="left" w:pos="7920"/>
        <w:tab w:val="left" w:pos="8640"/>
      </w:tabs>
      <w:ind w:left="5040"/>
    </w:pPr>
  </w:style>
  <w:style w:type="paragraph" w:customStyle="1" w:styleId="1">
    <w:name w:val="_1"/>
    <w:basedOn w:val="Normal"/>
    <w:rsid w:val="00D26704"/>
    <w:pPr>
      <w:tabs>
        <w:tab w:val="left" w:pos="5760"/>
        <w:tab w:val="left" w:pos="6480"/>
        <w:tab w:val="left" w:pos="7200"/>
        <w:tab w:val="left" w:pos="7920"/>
        <w:tab w:val="left" w:pos="8640"/>
      </w:tabs>
      <w:ind w:left="5760"/>
    </w:pPr>
  </w:style>
  <w:style w:type="paragraph" w:customStyle="1" w:styleId="a">
    <w:name w:val="_"/>
    <w:basedOn w:val="Normal"/>
    <w:rsid w:val="00D26704"/>
    <w:pPr>
      <w:tabs>
        <w:tab w:val="left" w:pos="6480"/>
        <w:tab w:val="left" w:pos="7200"/>
        <w:tab w:val="left" w:pos="7920"/>
        <w:tab w:val="left" w:pos="8640"/>
      </w:tabs>
      <w:ind w:left="6480"/>
    </w:pPr>
  </w:style>
  <w:style w:type="character" w:customStyle="1" w:styleId="DefaultPara">
    <w:name w:val="Default Para"/>
    <w:basedOn w:val="DefaultParagraphFont"/>
    <w:rsid w:val="00D26704"/>
  </w:style>
  <w:style w:type="paragraph" w:customStyle="1" w:styleId="a0">
    <w:name w:val="آ"/>
    <w:basedOn w:val="Normal"/>
    <w:rsid w:val="00D26704"/>
  </w:style>
  <w:style w:type="character" w:customStyle="1" w:styleId="documentbody">
    <w:name w:val="documentbody"/>
    <w:basedOn w:val="DefaultParagraphFont"/>
    <w:rsid w:val="009F1516"/>
  </w:style>
  <w:style w:type="character" w:styleId="Hyperlink">
    <w:name w:val="Hyperlink"/>
    <w:basedOn w:val="DefaultParagraphFont"/>
    <w:uiPriority w:val="99"/>
    <w:unhideWhenUsed/>
    <w:rsid w:val="00CF7459"/>
    <w:rPr>
      <w:color w:val="0000FF"/>
      <w:u w:val="single"/>
    </w:rPr>
  </w:style>
  <w:style w:type="paragraph" w:styleId="ListParagraph">
    <w:name w:val="List Paragraph"/>
    <w:basedOn w:val="Normal"/>
    <w:uiPriority w:val="34"/>
    <w:qFormat/>
    <w:rsid w:val="002A2259"/>
    <w:pPr>
      <w:ind w:left="720"/>
      <w:contextualSpacing/>
    </w:pPr>
  </w:style>
  <w:style w:type="paragraph" w:styleId="Footer">
    <w:name w:val="footer"/>
    <w:basedOn w:val="Normal"/>
    <w:link w:val="FooterChar"/>
    <w:uiPriority w:val="99"/>
    <w:unhideWhenUsed/>
    <w:rsid w:val="004B6BD4"/>
    <w:pPr>
      <w:tabs>
        <w:tab w:val="center" w:pos="4680"/>
        <w:tab w:val="right" w:pos="9360"/>
      </w:tabs>
    </w:pPr>
  </w:style>
  <w:style w:type="character" w:customStyle="1" w:styleId="FooterChar">
    <w:name w:val="Footer Char"/>
    <w:basedOn w:val="DefaultParagraphFont"/>
    <w:link w:val="Footer"/>
    <w:uiPriority w:val="99"/>
    <w:rsid w:val="004B6BD4"/>
    <w:rPr>
      <w:sz w:val="24"/>
    </w:rPr>
  </w:style>
  <w:style w:type="paragraph" w:styleId="Header">
    <w:name w:val="header"/>
    <w:basedOn w:val="Normal"/>
    <w:link w:val="HeaderChar"/>
    <w:uiPriority w:val="99"/>
    <w:semiHidden/>
    <w:unhideWhenUsed/>
    <w:rsid w:val="002E181C"/>
    <w:pPr>
      <w:tabs>
        <w:tab w:val="center" w:pos="4680"/>
        <w:tab w:val="right" w:pos="9360"/>
      </w:tabs>
    </w:pPr>
  </w:style>
  <w:style w:type="character" w:customStyle="1" w:styleId="HeaderChar">
    <w:name w:val="Header Char"/>
    <w:basedOn w:val="DefaultParagraphFont"/>
    <w:link w:val="Header"/>
    <w:uiPriority w:val="99"/>
    <w:semiHidden/>
    <w:rsid w:val="002E181C"/>
    <w:rPr>
      <w:sz w:val="24"/>
    </w:rPr>
  </w:style>
  <w:style w:type="character" w:customStyle="1" w:styleId="FootnoteTextChar1">
    <w:name w:val="Footnote Text Char1"/>
    <w:basedOn w:val="DefaultParagraphFont"/>
    <w:uiPriority w:val="99"/>
    <w:semiHidden/>
    <w:locked/>
    <w:rsid w:val="00AE3BB2"/>
    <w:rPr>
      <w:rFonts w:eastAsia="Calibri"/>
      <w:sz w:val="24"/>
      <w:szCs w:val="24"/>
    </w:rPr>
  </w:style>
  <w:style w:type="paragraph" w:customStyle="1" w:styleId="ParaNumbers">
    <w:name w:val="Para Numbers"/>
    <w:uiPriority w:val="99"/>
    <w:rsid w:val="00F87715"/>
    <w:pPr>
      <w:autoSpaceDE w:val="0"/>
      <w:autoSpaceDN w:val="0"/>
      <w:adjustRightInd w:val="0"/>
    </w:pPr>
    <w:rPr>
      <w:rFonts w:eastAsia="Calibri"/>
      <w:sz w:val="24"/>
      <w:szCs w:val="24"/>
    </w:rPr>
  </w:style>
  <w:style w:type="character" w:styleId="CommentReference">
    <w:name w:val="annotation reference"/>
    <w:basedOn w:val="DefaultParagraphFont"/>
    <w:uiPriority w:val="99"/>
    <w:semiHidden/>
    <w:unhideWhenUsed/>
    <w:rsid w:val="00DF0CAF"/>
    <w:rPr>
      <w:sz w:val="16"/>
      <w:szCs w:val="16"/>
    </w:rPr>
  </w:style>
  <w:style w:type="paragraph" w:styleId="CommentText">
    <w:name w:val="annotation text"/>
    <w:basedOn w:val="Normal"/>
    <w:link w:val="CommentTextChar"/>
    <w:uiPriority w:val="99"/>
    <w:semiHidden/>
    <w:unhideWhenUsed/>
    <w:rsid w:val="00DF0CAF"/>
    <w:rPr>
      <w:sz w:val="20"/>
    </w:rPr>
  </w:style>
  <w:style w:type="character" w:customStyle="1" w:styleId="CommentTextChar">
    <w:name w:val="Comment Text Char"/>
    <w:basedOn w:val="DefaultParagraphFont"/>
    <w:link w:val="CommentText"/>
    <w:uiPriority w:val="99"/>
    <w:semiHidden/>
    <w:rsid w:val="00DF0CAF"/>
  </w:style>
  <w:style w:type="paragraph" w:styleId="CommentSubject">
    <w:name w:val="annotation subject"/>
    <w:basedOn w:val="CommentText"/>
    <w:next w:val="CommentText"/>
    <w:link w:val="CommentSubjectChar"/>
    <w:uiPriority w:val="99"/>
    <w:semiHidden/>
    <w:unhideWhenUsed/>
    <w:rsid w:val="00DF0CAF"/>
    <w:rPr>
      <w:b/>
      <w:bCs/>
    </w:rPr>
  </w:style>
  <w:style w:type="character" w:customStyle="1" w:styleId="CommentSubjectChar">
    <w:name w:val="Comment Subject Char"/>
    <w:basedOn w:val="CommentTextChar"/>
    <w:link w:val="CommentSubject"/>
    <w:uiPriority w:val="99"/>
    <w:semiHidden/>
    <w:rsid w:val="00DF0CAF"/>
    <w:rPr>
      <w:b/>
      <w:bCs/>
    </w:rPr>
  </w:style>
  <w:style w:type="paragraph" w:styleId="BalloonText">
    <w:name w:val="Balloon Text"/>
    <w:basedOn w:val="Normal"/>
    <w:link w:val="BalloonTextChar"/>
    <w:uiPriority w:val="99"/>
    <w:semiHidden/>
    <w:unhideWhenUsed/>
    <w:rsid w:val="00DF0CAF"/>
    <w:rPr>
      <w:rFonts w:ascii="Tahoma" w:hAnsi="Tahoma" w:cs="Tahoma"/>
      <w:sz w:val="16"/>
      <w:szCs w:val="16"/>
    </w:rPr>
  </w:style>
  <w:style w:type="character" w:customStyle="1" w:styleId="BalloonTextChar">
    <w:name w:val="Balloon Text Char"/>
    <w:basedOn w:val="DefaultParagraphFont"/>
    <w:link w:val="BalloonText"/>
    <w:uiPriority w:val="99"/>
    <w:semiHidden/>
    <w:rsid w:val="00DF0CAF"/>
    <w:rPr>
      <w:rFonts w:ascii="Tahoma" w:hAnsi="Tahoma" w:cs="Tahoma"/>
      <w:sz w:val="16"/>
      <w:szCs w:val="16"/>
    </w:rPr>
  </w:style>
  <w:style w:type="paragraph" w:styleId="BlockText">
    <w:name w:val="Block Text"/>
    <w:basedOn w:val="Normal"/>
    <w:uiPriority w:val="99"/>
    <w:unhideWhenUsed/>
    <w:rsid w:val="00CC0140"/>
    <w:pPr>
      <w:autoSpaceDE w:val="0"/>
      <w:autoSpaceDN w:val="0"/>
      <w:adjustRightInd w:val="0"/>
      <w:spacing w:after="120"/>
      <w:ind w:left="1440" w:right="1440"/>
    </w:pPr>
    <w:rPr>
      <w:rFonts w:eastAsia="Calibri"/>
    </w:rPr>
  </w:style>
  <w:style w:type="character" w:customStyle="1" w:styleId="Heading3Char">
    <w:name w:val="Heading 3 Char"/>
    <w:basedOn w:val="DefaultParagraphFont"/>
    <w:link w:val="Heading3"/>
    <w:uiPriority w:val="9"/>
    <w:rsid w:val="00BD17B9"/>
    <w:rPr>
      <w:rFonts w:eastAsiaTheme="majorEastAsia" w:cstheme="majorBidi"/>
      <w:b/>
      <w:bCs/>
      <w:sz w:val="24"/>
    </w:rPr>
  </w:style>
  <w:style w:type="character" w:styleId="FollowedHyperlink">
    <w:name w:val="FollowedHyperlink"/>
    <w:basedOn w:val="DefaultParagraphFont"/>
    <w:uiPriority w:val="99"/>
    <w:semiHidden/>
    <w:unhideWhenUsed/>
    <w:rsid w:val="00057DAE"/>
    <w:rPr>
      <w:color w:val="800080" w:themeColor="followedHyperlink"/>
      <w:u w:val="single"/>
    </w:rPr>
  </w:style>
  <w:style w:type="paragraph" w:styleId="NoSpacing">
    <w:name w:val="No Spacing"/>
    <w:uiPriority w:val="1"/>
    <w:qFormat/>
    <w:rsid w:val="00A90040"/>
    <w:pPr>
      <w:autoSpaceDE w:val="0"/>
      <w:autoSpaceDN w:val="0"/>
      <w:adjustRightInd w:val="0"/>
      <w:ind w:firstLine="720"/>
    </w:pPr>
    <w:rPr>
      <w:rFonts w:ascii="Century Schoolbook" w:hAnsi="Century Schoolbook" w:cs="Segoe Print"/>
      <w:sz w:val="24"/>
      <w:szCs w:val="24"/>
    </w:rPr>
  </w:style>
  <w:style w:type="character" w:styleId="Emphasis">
    <w:name w:val="Emphasis"/>
    <w:basedOn w:val="DefaultParagraphFont"/>
    <w:uiPriority w:val="20"/>
    <w:qFormat/>
    <w:rsid w:val="000139C1"/>
    <w:rPr>
      <w:i/>
      <w:iCs/>
    </w:rPr>
  </w:style>
  <w:style w:type="character" w:customStyle="1" w:styleId="resultsublistitem">
    <w:name w:val="resultsublistitem"/>
    <w:basedOn w:val="DefaultParagraphFont"/>
    <w:rsid w:val="00F12A24"/>
  </w:style>
  <w:style w:type="character" w:customStyle="1" w:styleId="apple-converted-space">
    <w:name w:val="apple-converted-space"/>
    <w:basedOn w:val="DefaultParagraphFont"/>
    <w:rsid w:val="00E30AA2"/>
  </w:style>
  <w:style w:type="table" w:styleId="TableGrid">
    <w:name w:val="Table Grid"/>
    <w:basedOn w:val="TableNormal"/>
    <w:uiPriority w:val="59"/>
    <w:rsid w:val="007B6B92"/>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253816">
      <w:bodyDiv w:val="1"/>
      <w:marLeft w:val="0"/>
      <w:marRight w:val="0"/>
      <w:marTop w:val="0"/>
      <w:marBottom w:val="0"/>
      <w:divBdr>
        <w:top w:val="none" w:sz="0" w:space="0" w:color="auto"/>
        <w:left w:val="none" w:sz="0" w:space="0" w:color="auto"/>
        <w:bottom w:val="none" w:sz="0" w:space="0" w:color="auto"/>
        <w:right w:val="none" w:sz="0" w:space="0" w:color="auto"/>
      </w:divBdr>
      <w:divsChild>
        <w:div w:id="948661543">
          <w:marLeft w:val="0"/>
          <w:marRight w:val="0"/>
          <w:marTop w:val="0"/>
          <w:marBottom w:val="0"/>
          <w:divBdr>
            <w:top w:val="none" w:sz="0" w:space="0" w:color="auto"/>
            <w:left w:val="none" w:sz="0" w:space="0" w:color="auto"/>
            <w:bottom w:val="none" w:sz="0" w:space="0" w:color="auto"/>
            <w:right w:val="none" w:sz="0" w:space="0" w:color="auto"/>
          </w:divBdr>
          <w:divsChild>
            <w:div w:id="4359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5289">
      <w:bodyDiv w:val="1"/>
      <w:marLeft w:val="0"/>
      <w:marRight w:val="0"/>
      <w:marTop w:val="0"/>
      <w:marBottom w:val="0"/>
      <w:divBdr>
        <w:top w:val="none" w:sz="0" w:space="0" w:color="auto"/>
        <w:left w:val="none" w:sz="0" w:space="0" w:color="auto"/>
        <w:bottom w:val="none" w:sz="0" w:space="0" w:color="auto"/>
        <w:right w:val="none" w:sz="0" w:space="0" w:color="auto"/>
      </w:divBdr>
    </w:div>
    <w:div w:id="463893716">
      <w:bodyDiv w:val="1"/>
      <w:marLeft w:val="0"/>
      <w:marRight w:val="0"/>
      <w:marTop w:val="0"/>
      <w:marBottom w:val="0"/>
      <w:divBdr>
        <w:top w:val="none" w:sz="0" w:space="0" w:color="auto"/>
        <w:left w:val="none" w:sz="0" w:space="0" w:color="auto"/>
        <w:bottom w:val="none" w:sz="0" w:space="0" w:color="auto"/>
        <w:right w:val="none" w:sz="0" w:space="0" w:color="auto"/>
      </w:divBdr>
    </w:div>
    <w:div w:id="1003437036">
      <w:bodyDiv w:val="1"/>
      <w:marLeft w:val="0"/>
      <w:marRight w:val="0"/>
      <w:marTop w:val="0"/>
      <w:marBottom w:val="0"/>
      <w:divBdr>
        <w:top w:val="none" w:sz="0" w:space="0" w:color="auto"/>
        <w:left w:val="none" w:sz="0" w:space="0" w:color="auto"/>
        <w:bottom w:val="none" w:sz="0" w:space="0" w:color="auto"/>
        <w:right w:val="none" w:sz="0" w:space="0" w:color="auto"/>
      </w:divBdr>
    </w:div>
    <w:div w:id="1182359034">
      <w:bodyDiv w:val="1"/>
      <w:marLeft w:val="0"/>
      <w:marRight w:val="0"/>
      <w:marTop w:val="0"/>
      <w:marBottom w:val="0"/>
      <w:divBdr>
        <w:top w:val="none" w:sz="0" w:space="0" w:color="auto"/>
        <w:left w:val="none" w:sz="0" w:space="0" w:color="auto"/>
        <w:bottom w:val="none" w:sz="0" w:space="0" w:color="auto"/>
        <w:right w:val="none" w:sz="0" w:space="0" w:color="auto"/>
      </w:divBdr>
    </w:div>
    <w:div w:id="14489640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871">
          <w:marLeft w:val="0"/>
          <w:marRight w:val="0"/>
          <w:marTop w:val="0"/>
          <w:marBottom w:val="0"/>
          <w:divBdr>
            <w:top w:val="none" w:sz="0" w:space="0" w:color="auto"/>
            <w:left w:val="none" w:sz="0" w:space="0" w:color="auto"/>
            <w:bottom w:val="none" w:sz="0" w:space="0" w:color="auto"/>
            <w:right w:val="none" w:sz="0" w:space="0" w:color="auto"/>
          </w:divBdr>
          <w:divsChild>
            <w:div w:id="10885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4428">
      <w:bodyDiv w:val="1"/>
      <w:marLeft w:val="0"/>
      <w:marRight w:val="0"/>
      <w:marTop w:val="0"/>
      <w:marBottom w:val="0"/>
      <w:divBdr>
        <w:top w:val="none" w:sz="0" w:space="0" w:color="auto"/>
        <w:left w:val="none" w:sz="0" w:space="0" w:color="auto"/>
        <w:bottom w:val="none" w:sz="0" w:space="0" w:color="auto"/>
        <w:right w:val="none" w:sz="0" w:space="0" w:color="auto"/>
      </w:divBdr>
      <w:divsChild>
        <w:div w:id="1556118899">
          <w:marLeft w:val="0"/>
          <w:marRight w:val="0"/>
          <w:marTop w:val="0"/>
          <w:marBottom w:val="0"/>
          <w:divBdr>
            <w:top w:val="none" w:sz="0" w:space="0" w:color="auto"/>
            <w:left w:val="none" w:sz="0" w:space="0" w:color="auto"/>
            <w:bottom w:val="none" w:sz="0" w:space="0" w:color="auto"/>
            <w:right w:val="none" w:sz="0" w:space="0" w:color="auto"/>
          </w:divBdr>
          <w:divsChild>
            <w:div w:id="4373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5716">
      <w:bodyDiv w:val="1"/>
      <w:marLeft w:val="0"/>
      <w:marRight w:val="0"/>
      <w:marTop w:val="0"/>
      <w:marBottom w:val="0"/>
      <w:divBdr>
        <w:top w:val="none" w:sz="0" w:space="0" w:color="auto"/>
        <w:left w:val="none" w:sz="0" w:space="0" w:color="auto"/>
        <w:bottom w:val="none" w:sz="0" w:space="0" w:color="auto"/>
        <w:right w:val="none" w:sz="0" w:space="0" w:color="auto"/>
      </w:divBdr>
      <w:divsChild>
        <w:div w:id="598635337">
          <w:marLeft w:val="0"/>
          <w:marRight w:val="0"/>
          <w:marTop w:val="0"/>
          <w:marBottom w:val="0"/>
          <w:divBdr>
            <w:top w:val="none" w:sz="0" w:space="0" w:color="auto"/>
            <w:left w:val="none" w:sz="0" w:space="0" w:color="auto"/>
            <w:bottom w:val="none" w:sz="0" w:space="0" w:color="auto"/>
            <w:right w:val="none" w:sz="0" w:space="0" w:color="auto"/>
          </w:divBdr>
          <w:divsChild>
            <w:div w:id="1005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vis.England@usdoj.gov" TargetMode="External"/><Relationship Id="rId13" Type="http://schemas.openxmlformats.org/officeDocument/2006/relationships/hyperlink" Target="mailto:matthewdietz@usdisabilitylaw.com" TargetMode="External"/><Relationship Id="rId18" Type="http://schemas.openxmlformats.org/officeDocument/2006/relationships/hyperlink" Target="mailto:lscoles@radeylaw.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Veronica.Harrell-James@usdoj.gov" TargetMode="External"/><Relationship Id="rId12" Type="http://schemas.openxmlformats.org/officeDocument/2006/relationships/hyperlink" Target="mailto:pannino@law.fsu.edu" TargetMode="External"/><Relationship Id="rId17" Type="http://schemas.openxmlformats.org/officeDocument/2006/relationships/hyperlink" Target="mailto:Hthomas@radeylaw.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uart.Williams@ahca.myflorida.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ll@nfcfej.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Beverly.Smith@ahca.myflorida.com" TargetMode="External"/><Relationship Id="rId23" Type="http://schemas.openxmlformats.org/officeDocument/2006/relationships/header" Target="header3.xml"/><Relationship Id="rId10" Type="http://schemas.openxmlformats.org/officeDocument/2006/relationships/hyperlink" Target="mailto:jamie@nfcfej.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grunewald@nfcfej.org" TargetMode="External"/><Relationship Id="rId14" Type="http://schemas.openxmlformats.org/officeDocument/2006/relationships/hyperlink" Target="mailto:Andrew.Sheeran@ahca.myflorid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5969</Words>
  <Characters>34599</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40488</CharactersWithSpaces>
  <SharedDoc>false</SharedDoc>
  <HLinks>
    <vt:vector size="42" baseType="variant">
      <vt:variant>
        <vt:i4>2031725</vt:i4>
      </vt:variant>
      <vt:variant>
        <vt:i4>13</vt:i4>
      </vt:variant>
      <vt:variant>
        <vt:i4>0</vt:i4>
      </vt:variant>
      <vt:variant>
        <vt:i4>5</vt:i4>
      </vt:variant>
      <vt:variant>
        <vt:lpwstr>https://web2.westlaw.com/find/default.wl?tf=-1&amp;rs=WLW10.06&amp;referencepositiontype=S&amp;serialnum=1992090812&amp;fn=_top&amp;sv=Split&amp;referenceposition=1018&amp;pbc=E540320B&amp;tc=-1&amp;ordoc=2020280173&amp;findtype=Y&amp;db=350&amp;vr=2.0&amp;rp=%2ffind%2fdefault.wl&amp;mt=Westlaw</vt:lpwstr>
      </vt:variant>
      <vt:variant>
        <vt:lpwstr/>
      </vt:variant>
      <vt:variant>
        <vt:i4>5701690</vt:i4>
      </vt:variant>
      <vt:variant>
        <vt:i4>10</vt:i4>
      </vt:variant>
      <vt:variant>
        <vt:i4>0</vt:i4>
      </vt:variant>
      <vt:variant>
        <vt:i4>5</vt:i4>
      </vt:variant>
      <vt:variant>
        <vt:lpwstr>https://web2.westlaw.com/find/default.wl?tf=-1&amp;rs=WLW10.06&amp;fn=_top&amp;sv=Split&amp;docname=USFRCPR23&amp;tc=-1&amp;pbc=E540320B&amp;ordoc=2020280173&amp;findtype=L&amp;db=1004365&amp;vr=2.0&amp;rp=%2ffind%2fdefault.wl&amp;mt=Westlaw</vt:lpwstr>
      </vt:variant>
      <vt:variant>
        <vt:lpwstr/>
      </vt:variant>
      <vt:variant>
        <vt:i4>5701690</vt:i4>
      </vt:variant>
      <vt:variant>
        <vt:i4>7</vt:i4>
      </vt:variant>
      <vt:variant>
        <vt:i4>0</vt:i4>
      </vt:variant>
      <vt:variant>
        <vt:i4>5</vt:i4>
      </vt:variant>
      <vt:variant>
        <vt:lpwstr>https://web2.westlaw.com/find/default.wl?tf=-1&amp;rs=WLW10.06&amp;fn=_top&amp;sv=Split&amp;docname=USFRCPR23&amp;tc=-1&amp;pbc=E540320B&amp;ordoc=2020280173&amp;findtype=L&amp;db=1004365&amp;vr=2.0&amp;rp=%2ffind%2fdefault.wl&amp;mt=Westlaw</vt:lpwstr>
      </vt:variant>
      <vt:variant>
        <vt:lpwstr/>
      </vt:variant>
      <vt:variant>
        <vt:i4>1835051</vt:i4>
      </vt:variant>
      <vt:variant>
        <vt:i4>2</vt:i4>
      </vt:variant>
      <vt:variant>
        <vt:i4>0</vt:i4>
      </vt:variant>
      <vt:variant>
        <vt:i4>5</vt:i4>
      </vt:variant>
      <vt:variant>
        <vt:lpwstr>https://web2.westlaw.com/find/default.wl?serialnum=2019373334&amp;tc=-1&amp;rp=%2ffind%2fdefault.wl&amp;sv=Split&amp;rs=WLW10.06&amp;db=0000999&amp;tf=-1&amp;findtype=Y&amp;fn=_top&amp;mt=Westlaw&amp;vr=2.0&amp;pbc=3113C321&amp;ordoc=2020731954</vt:lpwstr>
      </vt:variant>
      <vt:variant>
        <vt:lpwstr/>
      </vt:variant>
      <vt:variant>
        <vt:i4>1114176</vt:i4>
      </vt:variant>
      <vt:variant>
        <vt:i4>6</vt:i4>
      </vt:variant>
      <vt:variant>
        <vt:i4>0</vt:i4>
      </vt:variant>
      <vt:variant>
        <vt:i4>5</vt:i4>
      </vt:variant>
      <vt:variant>
        <vt:lpwstr>http://www.hfs.illinois.gov/hcbswaivers/disabilities.html</vt:lpwstr>
      </vt:variant>
      <vt:variant>
        <vt:lpwstr/>
      </vt:variant>
      <vt:variant>
        <vt:i4>3276909</vt:i4>
      </vt:variant>
      <vt:variant>
        <vt:i4>3</vt:i4>
      </vt:variant>
      <vt:variant>
        <vt:i4>0</vt:i4>
      </vt:variant>
      <vt:variant>
        <vt:i4>5</vt:i4>
      </vt:variant>
      <vt:variant>
        <vt:lpwstr>http://www.hfs.illinois.gov/hcbswaivers/tdmfc.html</vt:lpwstr>
      </vt:variant>
      <vt:variant>
        <vt:lpwstr/>
      </vt:variant>
      <vt:variant>
        <vt:i4>8323097</vt:i4>
      </vt:variant>
      <vt:variant>
        <vt:i4>0</vt:i4>
      </vt:variant>
      <vt:variant>
        <vt:i4>0</vt:i4>
      </vt:variant>
      <vt:variant>
        <vt:i4>5</vt:i4>
      </vt:variant>
      <vt:variant>
        <vt:lpwstr>https://web2.westlaw.com/find/default.wl?vc=0&amp;ordoc=2006375602&amp;rp=%2ffind%2fdefault.wl&amp;DB=506&amp;SerialNum=2004316899&amp;FindType=Y&amp;AP=&amp;fn=_top&amp;rs=WLW10.06&amp;pbc=506E3ACA&amp;ifm=NotSet&amp;mt=122&amp;vr=2.0&amp;sv=Split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2012-07-05T16:18:00Z</dcterms:created>
  <dcterms:modified xsi:type="dcterms:W3CDTF">2012-07-05T16:18:00Z</dcterms:modified>
</cp:coreProperties>
</file>