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21F8" w14:textId="77777777" w:rsidR="00F67551" w:rsidRPr="00E9617D" w:rsidRDefault="00ED4EEE" w:rsidP="002158E5">
      <w:pPr>
        <w:spacing w:after="240"/>
        <w:jc w:val="center"/>
        <w:rPr>
          <w:b/>
          <w:sz w:val="44"/>
          <w:szCs w:val="44"/>
          <w:u w:val="single"/>
        </w:rPr>
      </w:pPr>
      <w:r w:rsidRPr="00E9617D">
        <w:rPr>
          <w:b/>
          <w:sz w:val="44"/>
          <w:szCs w:val="44"/>
          <w:u w:val="single"/>
        </w:rPr>
        <w:t>C1. CHAPTER 1</w:t>
      </w:r>
    </w:p>
    <w:p w14:paraId="795D21F9" w14:textId="77777777" w:rsidR="00F67551" w:rsidRPr="00E9617D" w:rsidRDefault="00ED4EEE" w:rsidP="0096499B">
      <w:pPr>
        <w:spacing w:after="360"/>
        <w:jc w:val="center"/>
        <w:rPr>
          <w:b/>
          <w:sz w:val="36"/>
          <w:szCs w:val="36"/>
        </w:rPr>
      </w:pPr>
      <w:r w:rsidRPr="00E9617D">
        <w:rPr>
          <w:b/>
          <w:sz w:val="36"/>
          <w:szCs w:val="36"/>
          <w:u w:val="single"/>
        </w:rPr>
        <w:t>INTRODUCTION</w:t>
      </w:r>
    </w:p>
    <w:p w14:paraId="795D21FA" w14:textId="77777777" w:rsidR="00F67551" w:rsidRDefault="00ED4EEE" w:rsidP="00ED4EEE">
      <w:pPr>
        <w:tabs>
          <w:tab w:val="left" w:pos="540"/>
          <w:tab w:val="left" w:pos="1080"/>
          <w:tab w:val="left" w:pos="1800"/>
        </w:tabs>
        <w:spacing w:after="240"/>
      </w:pPr>
      <w:r w:rsidRPr="00ED4EEE">
        <w:t xml:space="preserve">C1.1.  </w:t>
      </w:r>
      <w:r w:rsidR="00F67551" w:rsidRPr="00ED4EEE">
        <w:rPr>
          <w:u w:val="single"/>
        </w:rPr>
        <w:t>GENERAL</w:t>
      </w:r>
      <w:bookmarkStart w:id="0" w:name="_GoBack"/>
      <w:bookmarkEnd w:id="0"/>
    </w:p>
    <w:p w14:paraId="795D21FB" w14:textId="37FA2FD8" w:rsidR="00F67551" w:rsidRDefault="00ED4EEE" w:rsidP="00ED4EEE">
      <w:pPr>
        <w:tabs>
          <w:tab w:val="left" w:pos="540"/>
          <w:tab w:val="left" w:pos="1080"/>
          <w:tab w:val="left" w:pos="1800"/>
        </w:tabs>
        <w:spacing w:after="240"/>
      </w:pPr>
      <w:r>
        <w:tab/>
        <w:t xml:space="preserve">C1.1.1.  </w:t>
      </w:r>
      <w:r w:rsidR="00F67551" w:rsidRPr="00ED4EEE">
        <w:rPr>
          <w:u w:val="single"/>
        </w:rPr>
        <w:t>Purpose</w:t>
      </w:r>
      <w:r w:rsidR="00F67551">
        <w:t>.  This volume provides DoD standard procedures and</w:t>
      </w:r>
      <w:r w:rsidR="00D70127">
        <w:t xml:space="preserve"> electronic data interchange</w:t>
      </w:r>
      <w:r w:rsidR="00F67551">
        <w:t xml:space="preserve"> </w:t>
      </w:r>
      <w:r w:rsidR="00D70127">
        <w:t>(</w:t>
      </w:r>
      <w:r w:rsidR="00F67551">
        <w:t>ED</w:t>
      </w:r>
      <w:r w:rsidR="00D70127">
        <w:t>I)</w:t>
      </w:r>
      <w:r w:rsidR="00F67551">
        <w:t xml:space="preserve"> conventions for the interchange of post award contra</w:t>
      </w:r>
      <w:r w:rsidR="00A0179C">
        <w:t xml:space="preserve">ct data using </w:t>
      </w:r>
      <w:r w:rsidR="00D70127">
        <w:t xml:space="preserve">American National Standards </w:t>
      </w:r>
      <w:r w:rsidR="00AC6C36">
        <w:t>Institute</w:t>
      </w:r>
      <w:r w:rsidR="00D70127">
        <w:t xml:space="preserve"> (</w:t>
      </w:r>
      <w:r w:rsidR="00F67551">
        <w:t>ANSI</w:t>
      </w:r>
      <w:r w:rsidR="00D70127">
        <w:t>) Accredited Standards Committee (</w:t>
      </w:r>
      <w:r w:rsidR="00F67551">
        <w:t>ASC</w:t>
      </w:r>
      <w:r w:rsidR="00D70127">
        <w:t>)</w:t>
      </w:r>
      <w:r w:rsidR="00F67551">
        <w:t xml:space="preserve"> X12 transactions.  </w:t>
      </w:r>
    </w:p>
    <w:p w14:paraId="795D21FC" w14:textId="1E64A63B" w:rsidR="00572189" w:rsidRDefault="00ED4EEE" w:rsidP="00572189">
      <w:pPr>
        <w:tabs>
          <w:tab w:val="left" w:pos="540"/>
          <w:tab w:val="left" w:pos="1080"/>
          <w:tab w:val="left" w:pos="1620"/>
        </w:tabs>
        <w:spacing w:after="240"/>
      </w:pPr>
      <w:r>
        <w:tab/>
        <w:t xml:space="preserve">C1.1.2.  </w:t>
      </w:r>
      <w:r w:rsidR="004F369A">
        <w:rPr>
          <w:u w:val="single"/>
        </w:rPr>
        <w:t>Defense Logistics Management System (DLMS) Volume Access</w:t>
      </w:r>
      <w:r w:rsidR="00F67551">
        <w:t xml:space="preserve">.  </w:t>
      </w:r>
      <w:r w:rsidR="00572189">
        <w:t xml:space="preserve">Use of this volume requires simultaneous access to </w:t>
      </w:r>
      <w:r w:rsidR="004F369A">
        <w:t xml:space="preserve">the </w:t>
      </w:r>
      <w:r w:rsidR="00572189">
        <w:t xml:space="preserve">DLMS Manual Volume 1 </w:t>
      </w:r>
      <w:r w:rsidR="004F369A">
        <w:t xml:space="preserve">administrative items such as </w:t>
      </w:r>
      <w:r w:rsidR="00572189">
        <w:t xml:space="preserve">the list of acronyms and abbreviations, </w:t>
      </w:r>
      <w:r w:rsidR="004F369A">
        <w:t xml:space="preserve">terms and </w:t>
      </w:r>
      <w:r w:rsidR="00572189">
        <w:t>definitions, and references; instructions for acquiring access to the DLMS standards data base; DLMS to Defense Logistics Standard System (DLSS) conversion guides; specific guidance that applies to all implementation conventions; and both functional and technical information that is relatively stable and applies to the DLMS as a whole.</w:t>
      </w:r>
    </w:p>
    <w:p w14:paraId="795D21FD" w14:textId="5004CB59" w:rsidR="00F67551" w:rsidRDefault="00ED4EEE" w:rsidP="00ED4EEE">
      <w:pPr>
        <w:tabs>
          <w:tab w:val="left" w:pos="540"/>
          <w:tab w:val="left" w:pos="1080"/>
          <w:tab w:val="left" w:pos="1800"/>
        </w:tabs>
        <w:spacing w:after="240"/>
      </w:pPr>
      <w:r>
        <w:t xml:space="preserve">C1.2.  </w:t>
      </w:r>
      <w:r w:rsidR="00F67551" w:rsidRPr="00ED4EEE">
        <w:rPr>
          <w:u w:val="single"/>
        </w:rPr>
        <w:t>POLICY</w:t>
      </w:r>
      <w:r w:rsidR="00D70127">
        <w:t xml:space="preserve">.  The </w:t>
      </w:r>
      <w:r w:rsidR="00C1583E">
        <w:t>Federal Acquisition Regulation (</w:t>
      </w:r>
      <w:hyperlink r:id="rId12" w:history="1">
        <w:r w:rsidR="00D70127" w:rsidRPr="00812228">
          <w:rPr>
            <w:rStyle w:val="Hyperlink"/>
          </w:rPr>
          <w:t>FAR</w:t>
        </w:r>
      </w:hyperlink>
      <w:r w:rsidR="00C1583E">
        <w:t>)</w:t>
      </w:r>
      <w:r w:rsidR="00D70127">
        <w:t xml:space="preserve"> and the </w:t>
      </w:r>
      <w:r w:rsidR="005823A3">
        <w:t xml:space="preserve">Defense </w:t>
      </w:r>
      <w:r w:rsidR="00D70127">
        <w:t xml:space="preserve">Federal Acquisition Regulation </w:t>
      </w:r>
      <w:r w:rsidR="00F67551">
        <w:t>Supplement (</w:t>
      </w:r>
      <w:hyperlink r:id="rId13" w:history="1">
        <w:r w:rsidR="00F67551" w:rsidRPr="00812228">
          <w:rPr>
            <w:rStyle w:val="Hyperlink"/>
          </w:rPr>
          <w:t>DFARS</w:t>
        </w:r>
      </w:hyperlink>
      <w:r w:rsidR="00F67551">
        <w:t>) provide the DoD policies governing procedures in this volume.</w:t>
      </w:r>
    </w:p>
    <w:p w14:paraId="795D21FE" w14:textId="41C4CA51" w:rsidR="00F67551" w:rsidRDefault="00ED4EEE" w:rsidP="00ED4EEE">
      <w:pPr>
        <w:tabs>
          <w:tab w:val="left" w:pos="540"/>
          <w:tab w:val="left" w:pos="1080"/>
          <w:tab w:val="left" w:pos="1800"/>
        </w:tabs>
        <w:spacing w:after="240"/>
      </w:pPr>
      <w:r w:rsidRPr="00ED4EEE">
        <w:t xml:space="preserve">C1.3.  </w:t>
      </w:r>
      <w:r w:rsidR="00F67551" w:rsidRPr="00ED4EEE">
        <w:rPr>
          <w:u w:val="single"/>
        </w:rPr>
        <w:t>APPLICABILITY</w:t>
      </w:r>
      <w:r w:rsidR="00572189">
        <w:t>.  This manual applies</w:t>
      </w:r>
      <w:r w:rsidR="00F67551">
        <w:t xml:space="preserve"> to the Office of the Secretary of Defense</w:t>
      </w:r>
      <w:r w:rsidR="001110D2">
        <w:t>,</w:t>
      </w:r>
      <w:r w:rsidR="00F67551">
        <w:t xml:space="preserve"> the Military </w:t>
      </w:r>
      <w:r w:rsidR="004F369A">
        <w:t>Departments, the</w:t>
      </w:r>
      <w:r w:rsidR="00F67551">
        <w:t xml:space="preserve"> Joint Staff</w:t>
      </w:r>
      <w:r w:rsidR="001110D2">
        <w:t>,</w:t>
      </w:r>
      <w:r w:rsidR="00F67551">
        <w:t xml:space="preserve"> the </w:t>
      </w:r>
      <w:r w:rsidR="004F369A">
        <w:t xml:space="preserve">Combatant </w:t>
      </w:r>
      <w:r w:rsidR="00F67551">
        <w:t>Commands</w:t>
      </w:r>
      <w:r w:rsidR="007678C1">
        <w:t>,</w:t>
      </w:r>
      <w:r w:rsidR="00F67551">
        <w:t xml:space="preserve"> and the Defense Agencies, hereafter referred to collectively as the DoD Components.</w:t>
      </w:r>
      <w:r w:rsidR="004F369A">
        <w:t xml:space="preserve">  </w:t>
      </w:r>
      <w:r w:rsidR="004F369A" w:rsidRPr="00031775">
        <w:t xml:space="preserve">The manual applies, by agreement, to external organizations conducting logistics business operations with </w:t>
      </w:r>
      <w:r w:rsidR="00AA1F8B">
        <w:t>the Department of Defense</w:t>
      </w:r>
      <w:r w:rsidR="00AA1F8B" w:rsidRPr="00031775">
        <w:t xml:space="preserve"> </w:t>
      </w:r>
      <w:r w:rsidR="004F369A" w:rsidRPr="00031775">
        <w:t>including (a) non-Government organizations, both commercial and nonprofit; (b) Federal agencies of the U.S. Government other than DoD; (c) foreign national governments; and (d) international government organizations.</w:t>
      </w:r>
    </w:p>
    <w:p w14:paraId="795D21FF" w14:textId="35925D18" w:rsidR="00F67551" w:rsidRDefault="00ED4EEE" w:rsidP="00ED4EEE">
      <w:pPr>
        <w:tabs>
          <w:tab w:val="left" w:pos="540"/>
          <w:tab w:val="left" w:pos="1080"/>
          <w:tab w:val="left" w:pos="1800"/>
        </w:tabs>
        <w:spacing w:after="240"/>
      </w:pPr>
      <w:r>
        <w:t xml:space="preserve">C1.4.  </w:t>
      </w:r>
      <w:r w:rsidR="004F369A">
        <w:rPr>
          <w:u w:val="single"/>
        </w:rPr>
        <w:t>SUPPLY</w:t>
      </w:r>
      <w:r w:rsidR="004F369A" w:rsidRPr="00ED4EEE">
        <w:rPr>
          <w:u w:val="single"/>
        </w:rPr>
        <w:t xml:space="preserve"> </w:t>
      </w:r>
      <w:r w:rsidR="00F67551" w:rsidRPr="00ED4EEE">
        <w:rPr>
          <w:u w:val="single"/>
        </w:rPr>
        <w:t>PROCESS REVIEW COMMITTEE</w:t>
      </w:r>
      <w:r w:rsidR="00F67551">
        <w:t xml:space="preserve">.  The </w:t>
      </w:r>
      <w:r w:rsidR="004F369A">
        <w:t xml:space="preserve">Supply </w:t>
      </w:r>
      <w:r w:rsidR="0021559E">
        <w:t>Process Review Committee (</w:t>
      </w:r>
      <w:r w:rsidR="00F67551">
        <w:t>PRC</w:t>
      </w:r>
      <w:r w:rsidR="0021559E">
        <w:t>)</w:t>
      </w:r>
      <w:r w:rsidR="00F67551">
        <w:t xml:space="preserve"> is the forum through which the DoD Components and other participating organizations may participate in the development, expansion, improvement, maintenance, and administration of </w:t>
      </w:r>
      <w:r w:rsidR="004F369A">
        <w:t xml:space="preserve">contract administration </w:t>
      </w:r>
      <w:r w:rsidR="00F67551">
        <w:t xml:space="preserve">requirements for the DLMS.  The </w:t>
      </w:r>
      <w:r w:rsidR="00A0179C">
        <w:t>c</w:t>
      </w:r>
      <w:r w:rsidR="00F67551">
        <w:t xml:space="preserve">hair, </w:t>
      </w:r>
      <w:r w:rsidR="004F369A">
        <w:t xml:space="preserve">Supply </w:t>
      </w:r>
      <w:r w:rsidR="00F67551">
        <w:t xml:space="preserve">PRC, in coordination with the </w:t>
      </w:r>
      <w:r w:rsidR="004F369A">
        <w:t xml:space="preserve">Supply </w:t>
      </w:r>
      <w:r w:rsidR="00F67551">
        <w:t xml:space="preserve">PRC representatives, </w:t>
      </w:r>
      <w:r w:rsidR="004F369A">
        <w:t>Wide Area Workflow Program Management Office</w:t>
      </w:r>
      <w:r w:rsidR="00431467">
        <w:t>,</w:t>
      </w:r>
      <w:r w:rsidR="004F369A">
        <w:t xml:space="preserve"> and</w:t>
      </w:r>
      <w:r w:rsidR="00431467">
        <w:t xml:space="preserve"> Director of Defense Procurement and Acquisition Policy (DPAP)</w:t>
      </w:r>
      <w:r w:rsidR="004F369A">
        <w:t xml:space="preserve"> </w:t>
      </w:r>
      <w:r w:rsidR="00F67551">
        <w:t xml:space="preserve">is responsible for the content of this volume of the DLMS.  </w:t>
      </w:r>
      <w:r w:rsidR="00CD5DD4">
        <w:t>Refer to Volume 1, C</w:t>
      </w:r>
      <w:r w:rsidR="00F67551">
        <w:t>hapter 1, for a discussion of DLMS PRC functions and responsibilities.</w:t>
      </w:r>
    </w:p>
    <w:p w14:paraId="795D2200" w14:textId="4B0A2920" w:rsidR="00F67551" w:rsidRDefault="00ED4EEE" w:rsidP="00F15F6D">
      <w:pPr>
        <w:tabs>
          <w:tab w:val="left" w:pos="540"/>
          <w:tab w:val="left" w:pos="1080"/>
          <w:tab w:val="left" w:pos="1620"/>
        </w:tabs>
        <w:spacing w:after="240"/>
      </w:pPr>
      <w:r>
        <w:t xml:space="preserve">C1.5.  </w:t>
      </w:r>
      <w:r w:rsidR="00F67551" w:rsidRPr="00ED4EEE">
        <w:rPr>
          <w:u w:val="single"/>
        </w:rPr>
        <w:t>NONCOMPLIANCE</w:t>
      </w:r>
      <w:r w:rsidR="00F67551">
        <w:t xml:space="preserve">.  </w:t>
      </w:r>
      <w:r w:rsidR="00CD5DD4">
        <w:t xml:space="preserve">If reasonable attempts to obtain </w:t>
      </w:r>
      <w:r w:rsidR="009034F4">
        <w:t>1)</w:t>
      </w:r>
      <w:r w:rsidR="00AC0469">
        <w:t xml:space="preserve"> </w:t>
      </w:r>
      <w:r w:rsidR="00CD5DD4">
        <w:t xml:space="preserve">compliance with prescribed procedures or </w:t>
      </w:r>
      <w:r w:rsidR="009034F4">
        <w:t xml:space="preserve">2) </w:t>
      </w:r>
      <w:r w:rsidR="00CD5DD4">
        <w:t xml:space="preserve">resolution of DLMS </w:t>
      </w:r>
      <w:r w:rsidR="009034F4">
        <w:t>contract administration</w:t>
      </w:r>
      <w:r w:rsidR="00CD5DD4">
        <w:t xml:space="preserve">-related problems are unsatisfactory, the activity having the problem may request assistance from their DLMS </w:t>
      </w:r>
      <w:r w:rsidR="004F369A">
        <w:t xml:space="preserve">Supply </w:t>
      </w:r>
      <w:r w:rsidR="00CD5DD4">
        <w:t xml:space="preserve">PRC representative.  The request </w:t>
      </w:r>
      <w:r w:rsidR="00AC0469">
        <w:t xml:space="preserve">shall </w:t>
      </w:r>
      <w:r w:rsidR="00CD5DD4">
        <w:t xml:space="preserve">include information and </w:t>
      </w:r>
      <w:r w:rsidR="00CD5DD4">
        <w:lastRenderedPageBreak/>
        <w:t>copies of all correspondence pertinent to the problem; including the transaction set number, the transaction number</w:t>
      </w:r>
      <w:r w:rsidR="00AC0469">
        <w:t>,</w:t>
      </w:r>
      <w:r w:rsidR="00CD5DD4">
        <w:t xml:space="preserve"> and the date of the transaction involved.  The representative shall take the necessary actions to resolve the issue or problem.  The actions may include requesting assistance from the </w:t>
      </w:r>
      <w:r w:rsidR="004F369A">
        <w:t xml:space="preserve">Supply </w:t>
      </w:r>
      <w:r w:rsidR="00CD5DD4">
        <w:t>PRC chair.</w:t>
      </w:r>
    </w:p>
    <w:p w14:paraId="5B2504D5" w14:textId="7C0B0012" w:rsidR="00331984" w:rsidRDefault="00331984" w:rsidP="007F0C71">
      <w:pPr>
        <w:spacing w:after="240"/>
        <w:jc w:val="center"/>
      </w:pPr>
    </w:p>
    <w:sectPr w:rsidR="00331984" w:rsidSect="00165E08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2203" w14:textId="77777777" w:rsidR="00117FCB" w:rsidRDefault="00117FCB">
      <w:r>
        <w:separator/>
      </w:r>
    </w:p>
  </w:endnote>
  <w:endnote w:type="continuationSeparator" w:id="0">
    <w:p w14:paraId="795D2204" w14:textId="77777777" w:rsidR="00117FCB" w:rsidRDefault="0011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16A6" w14:textId="152F5A6F" w:rsidR="00117FCB" w:rsidRPr="00ED4EEE" w:rsidRDefault="00117FCB" w:rsidP="00ED4EEE">
    <w:pPr>
      <w:pStyle w:val="Footer"/>
      <w:framePr w:wrap="around" w:vAnchor="text" w:hAnchor="margin" w:xAlign="center" w:y="1"/>
      <w:rPr>
        <w:rStyle w:val="PageNumber"/>
        <w:b w:val="0"/>
      </w:rPr>
    </w:pPr>
    <w:r w:rsidRPr="00ED4EEE">
      <w:rPr>
        <w:rStyle w:val="PageNumber"/>
        <w:b w:val="0"/>
      </w:rPr>
      <w:t>C</w:t>
    </w:r>
    <w:r>
      <w:rPr>
        <w:rStyle w:val="PageNumber"/>
        <w:b w:val="0"/>
      </w:rPr>
      <w:t>1</w:t>
    </w:r>
    <w:r w:rsidRPr="00ED4EEE">
      <w:rPr>
        <w:rStyle w:val="PageNumber"/>
        <w:b w:val="0"/>
      </w:rPr>
      <w:t>-</w:t>
    </w:r>
    <w:r w:rsidRPr="00ED4EEE">
      <w:rPr>
        <w:rStyle w:val="PageNumber"/>
        <w:b w:val="0"/>
      </w:rPr>
      <w:fldChar w:fldCharType="begin"/>
    </w:r>
    <w:r w:rsidRPr="00ED4EEE">
      <w:rPr>
        <w:rStyle w:val="PageNumber"/>
        <w:b w:val="0"/>
      </w:rPr>
      <w:instrText xml:space="preserve">PAGE  </w:instrText>
    </w:r>
    <w:r w:rsidRPr="00ED4EEE">
      <w:rPr>
        <w:rStyle w:val="PageNumber"/>
        <w:b w:val="0"/>
      </w:rPr>
      <w:fldChar w:fldCharType="separate"/>
    </w:r>
    <w:r w:rsidR="00165E08">
      <w:rPr>
        <w:rStyle w:val="PageNumber"/>
        <w:b w:val="0"/>
        <w:noProof/>
      </w:rPr>
      <w:t>1</w:t>
    </w:r>
    <w:r w:rsidRPr="00ED4EEE">
      <w:rPr>
        <w:rStyle w:val="PageNumber"/>
        <w:b w:val="0"/>
      </w:rPr>
      <w:fldChar w:fldCharType="end"/>
    </w:r>
  </w:p>
  <w:p w14:paraId="04EFC303" w14:textId="4D63865A" w:rsidR="00117FCB" w:rsidRPr="00ED4EEE" w:rsidRDefault="00117FCB" w:rsidP="00ED4EEE">
    <w:pPr>
      <w:pStyle w:val="Footer"/>
      <w:tabs>
        <w:tab w:val="clear" w:pos="4320"/>
        <w:tab w:val="clear" w:pos="8640"/>
      </w:tabs>
      <w:jc w:val="right"/>
    </w:pPr>
    <w:r>
      <w:t>CHAPTER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2201" w14:textId="77777777" w:rsidR="00117FCB" w:rsidRDefault="00117FCB">
      <w:r>
        <w:separator/>
      </w:r>
    </w:p>
  </w:footnote>
  <w:footnote w:type="continuationSeparator" w:id="0">
    <w:p w14:paraId="795D2202" w14:textId="77777777" w:rsidR="00117FCB" w:rsidRDefault="0011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A88F" w14:textId="4AFA6E05" w:rsidR="00117FCB" w:rsidRDefault="00117FCB" w:rsidP="00117FCB">
    <w:pPr>
      <w:pStyle w:val="Header"/>
      <w:jc w:val="right"/>
    </w:pPr>
    <w:r>
      <w:rPr>
        <w:u w:val="none"/>
      </w:rPr>
      <w:t xml:space="preserve">DLM 4000.25, Volume 7, </w:t>
    </w:r>
    <w:r w:rsidR="00165E08">
      <w:rPr>
        <w:u w:val="none"/>
      </w:rPr>
      <w:t>Ap</w:t>
    </w:r>
    <w:r w:rsidR="00165E08">
      <w:rPr>
        <w:u w:val="none"/>
      </w:rPr>
      <w:t xml:space="preserve">ril 24, </w:t>
    </w:r>
    <w:r>
      <w:rPr>
        <w:u w:val="none"/>
      </w:rPr>
      <w:t>2012</w:t>
    </w:r>
  </w:p>
  <w:p w14:paraId="7539DADF" w14:textId="77777777" w:rsidR="00117FCB" w:rsidRDefault="00117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D1EB164"/>
    <w:lvl w:ilvl="0">
      <w:start w:val="1"/>
      <w:numFmt w:val="decimal"/>
      <w:pStyle w:val="Heading1"/>
      <w:suff w:val="nothing"/>
      <w:lvlText w:val="C%1. CHAPTER 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9F22E4"/>
    <w:multiLevelType w:val="hybridMultilevel"/>
    <w:tmpl w:val="873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2A"/>
    <w:rsid w:val="00017ABC"/>
    <w:rsid w:val="000E0F3A"/>
    <w:rsid w:val="001110D2"/>
    <w:rsid w:val="00117FCB"/>
    <w:rsid w:val="00136A42"/>
    <w:rsid w:val="00165E08"/>
    <w:rsid w:val="001C46D8"/>
    <w:rsid w:val="001E77E3"/>
    <w:rsid w:val="0021559E"/>
    <w:rsid w:val="002158E5"/>
    <w:rsid w:val="002609FA"/>
    <w:rsid w:val="002809DA"/>
    <w:rsid w:val="002A0AF2"/>
    <w:rsid w:val="002A27F5"/>
    <w:rsid w:val="002B52BD"/>
    <w:rsid w:val="00303255"/>
    <w:rsid w:val="00331984"/>
    <w:rsid w:val="003767BF"/>
    <w:rsid w:val="003C0A66"/>
    <w:rsid w:val="00412921"/>
    <w:rsid w:val="00431467"/>
    <w:rsid w:val="004A0CF8"/>
    <w:rsid w:val="004F369A"/>
    <w:rsid w:val="00552543"/>
    <w:rsid w:val="00554641"/>
    <w:rsid w:val="00565368"/>
    <w:rsid w:val="00572189"/>
    <w:rsid w:val="00576A3E"/>
    <w:rsid w:val="005823A3"/>
    <w:rsid w:val="00587E6E"/>
    <w:rsid w:val="005B70F0"/>
    <w:rsid w:val="005F03CE"/>
    <w:rsid w:val="005F4514"/>
    <w:rsid w:val="00667CA4"/>
    <w:rsid w:val="00715025"/>
    <w:rsid w:val="007678C1"/>
    <w:rsid w:val="007A7FCE"/>
    <w:rsid w:val="007B69B4"/>
    <w:rsid w:val="007F0C71"/>
    <w:rsid w:val="00801380"/>
    <w:rsid w:val="00812228"/>
    <w:rsid w:val="00843275"/>
    <w:rsid w:val="00863E39"/>
    <w:rsid w:val="008E221C"/>
    <w:rsid w:val="009034F4"/>
    <w:rsid w:val="00916CA0"/>
    <w:rsid w:val="0096499B"/>
    <w:rsid w:val="00967122"/>
    <w:rsid w:val="00A0179C"/>
    <w:rsid w:val="00AA1F8B"/>
    <w:rsid w:val="00AC0469"/>
    <w:rsid w:val="00AC6C36"/>
    <w:rsid w:val="00B1022A"/>
    <w:rsid w:val="00B30C3F"/>
    <w:rsid w:val="00B860C4"/>
    <w:rsid w:val="00C1583E"/>
    <w:rsid w:val="00C40261"/>
    <w:rsid w:val="00CD5DD4"/>
    <w:rsid w:val="00CF3D1D"/>
    <w:rsid w:val="00D04172"/>
    <w:rsid w:val="00D106EE"/>
    <w:rsid w:val="00D24261"/>
    <w:rsid w:val="00D70127"/>
    <w:rsid w:val="00DC5D2D"/>
    <w:rsid w:val="00DE2EF7"/>
    <w:rsid w:val="00E24CD1"/>
    <w:rsid w:val="00E30B34"/>
    <w:rsid w:val="00E51561"/>
    <w:rsid w:val="00E9617D"/>
    <w:rsid w:val="00ED4EEE"/>
    <w:rsid w:val="00F15F6D"/>
    <w:rsid w:val="00F36F69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5D2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368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565368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565368"/>
    <w:pPr>
      <w:numPr>
        <w:ilvl w:val="1"/>
        <w:numId w:val="14"/>
      </w:numPr>
      <w:spacing w:before="240" w:after="60"/>
      <w:outlineLvl w:val="1"/>
    </w:pPr>
  </w:style>
  <w:style w:type="paragraph" w:styleId="Heading3">
    <w:name w:val="heading 3"/>
    <w:basedOn w:val="Normal"/>
    <w:autoRedefine/>
    <w:qFormat/>
    <w:rsid w:val="00565368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565368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565368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565368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565368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565368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565368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65368"/>
    <w:rPr>
      <w:vertAlign w:val="superscript"/>
    </w:rPr>
  </w:style>
  <w:style w:type="character" w:styleId="FootnoteReference">
    <w:name w:val="footnote reference"/>
    <w:semiHidden/>
    <w:rsid w:val="00565368"/>
    <w:rPr>
      <w:vertAlign w:val="superscript"/>
    </w:rPr>
  </w:style>
  <w:style w:type="character" w:styleId="PageNumber">
    <w:name w:val="page number"/>
    <w:rsid w:val="00565368"/>
    <w:rPr>
      <w:rFonts w:ascii="Arial" w:hAnsi="Arial"/>
      <w:b/>
      <w:sz w:val="24"/>
    </w:rPr>
  </w:style>
  <w:style w:type="paragraph" w:styleId="Footer">
    <w:name w:val="footer"/>
    <w:basedOn w:val="Normal"/>
    <w:rsid w:val="0056536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565368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65368"/>
    <w:rPr>
      <w:sz w:val="20"/>
    </w:rPr>
  </w:style>
  <w:style w:type="paragraph" w:customStyle="1" w:styleId="SubTitle">
    <w:name w:val="Sub Title"/>
    <w:basedOn w:val="Title"/>
    <w:rsid w:val="00565368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565368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565368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65368"/>
    <w:pPr>
      <w:spacing w:after="160"/>
      <w:ind w:left="1440"/>
    </w:pPr>
  </w:style>
  <w:style w:type="paragraph" w:styleId="BodyText">
    <w:name w:val="Body Text"/>
    <w:basedOn w:val="Normal"/>
    <w:rsid w:val="00565368"/>
    <w:pPr>
      <w:spacing w:after="120"/>
    </w:pPr>
  </w:style>
  <w:style w:type="paragraph" w:styleId="ListBullet">
    <w:name w:val="List Bullet"/>
    <w:basedOn w:val="Normal"/>
    <w:rsid w:val="00565368"/>
    <w:pPr>
      <w:spacing w:after="120"/>
      <w:ind w:left="360" w:hanging="360"/>
    </w:pPr>
  </w:style>
  <w:style w:type="paragraph" w:styleId="ListBullet2">
    <w:name w:val="List Bullet 2"/>
    <w:basedOn w:val="Normal"/>
    <w:rsid w:val="00565368"/>
    <w:pPr>
      <w:ind w:left="720" w:hanging="360"/>
    </w:pPr>
  </w:style>
  <w:style w:type="paragraph" w:styleId="ListBullet3">
    <w:name w:val="List Bullet 3"/>
    <w:basedOn w:val="Normal"/>
    <w:rsid w:val="00565368"/>
    <w:pPr>
      <w:ind w:left="1080" w:hanging="360"/>
    </w:pPr>
  </w:style>
  <w:style w:type="paragraph" w:styleId="ListNumber">
    <w:name w:val="List Number"/>
    <w:basedOn w:val="Normal"/>
    <w:rsid w:val="00565368"/>
    <w:pPr>
      <w:ind w:left="360" w:hanging="360"/>
    </w:pPr>
  </w:style>
  <w:style w:type="paragraph" w:styleId="ListNumber2">
    <w:name w:val="List Number 2"/>
    <w:basedOn w:val="Normal"/>
    <w:rsid w:val="00565368"/>
    <w:pPr>
      <w:ind w:left="720" w:hanging="360"/>
    </w:pPr>
  </w:style>
  <w:style w:type="paragraph" w:styleId="ListNumber3">
    <w:name w:val="List Number 3"/>
    <w:basedOn w:val="Normal"/>
    <w:rsid w:val="00565368"/>
    <w:pPr>
      <w:ind w:left="1080" w:hanging="360"/>
    </w:pPr>
  </w:style>
  <w:style w:type="paragraph" w:styleId="DocumentMap">
    <w:name w:val="Document Map"/>
    <w:basedOn w:val="Normal"/>
    <w:semiHidden/>
    <w:rsid w:val="0056536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sid w:val="004F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69A"/>
    <w:rPr>
      <w:sz w:val="20"/>
    </w:rPr>
  </w:style>
  <w:style w:type="character" w:customStyle="1" w:styleId="CommentTextChar">
    <w:name w:val="Comment Text Char"/>
    <w:link w:val="CommentText"/>
    <w:rsid w:val="004F36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369A"/>
    <w:rPr>
      <w:b/>
      <w:bCs/>
    </w:rPr>
  </w:style>
  <w:style w:type="character" w:customStyle="1" w:styleId="CommentSubjectChar">
    <w:name w:val="Comment Subject Char"/>
    <w:link w:val="CommentSubject"/>
    <w:rsid w:val="004F369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4F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69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767B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30C3F"/>
    <w:rPr>
      <w:rFonts w:ascii="Arial" w:hAnsi="Arial"/>
      <w:sz w:val="24"/>
      <w:u w:val="single"/>
    </w:rPr>
  </w:style>
  <w:style w:type="character" w:styleId="FollowedHyperlink">
    <w:name w:val="FollowedHyperlink"/>
    <w:basedOn w:val="DefaultParagraphFont"/>
    <w:rsid w:val="008122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2.dla.mil/j-6/dlmso/elibrary/manuals/regulations.as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2.dla.mil/j-6/dlmso/elibrary/manuals/nondod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A197-428D-472C-8665-C15E10E5833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BB5E81-638D-4598-94D1-0AA455897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B08B2-05C4-4C38-9276-DE98A6F5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ADB806-CF0C-4998-ADDA-2B86B168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</Template>
  <TotalTime>93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7; Chapter 1</vt:lpstr>
    </vt:vector>
  </TitlesOfParts>
  <Company>Defense Logistics Agency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7; Chapter 1</dc:title>
  <dc:subject>Introduction</dc:subject>
  <dc:creator>hpo0020</dc:creator>
  <cp:lastModifiedBy>DLA Logistics Management Standards - HLM0034</cp:lastModifiedBy>
  <cp:revision>14</cp:revision>
  <cp:lastPrinted>2012-02-27T21:17:00Z</cp:lastPrinted>
  <dcterms:created xsi:type="dcterms:W3CDTF">2012-02-13T21:26:00Z</dcterms:created>
  <dcterms:modified xsi:type="dcterms:W3CDTF">2012-05-25T15:17:00Z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