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A175" w14:textId="77777777" w:rsidR="000B413F" w:rsidRPr="003E2DE6" w:rsidRDefault="00287B8C" w:rsidP="002010DB">
      <w:pPr>
        <w:spacing w:after="240"/>
        <w:jc w:val="center"/>
        <w:rPr>
          <w:b/>
          <w:sz w:val="44"/>
          <w:szCs w:val="44"/>
          <w:u w:val="single"/>
        </w:rPr>
      </w:pPr>
      <w:r w:rsidRPr="003E2DE6">
        <w:rPr>
          <w:b/>
          <w:sz w:val="44"/>
          <w:szCs w:val="44"/>
          <w:u w:val="single"/>
        </w:rPr>
        <w:t>AP2.21</w:t>
      </w:r>
      <w:r w:rsidR="002849E9" w:rsidRPr="003E2DE6">
        <w:rPr>
          <w:b/>
          <w:sz w:val="44"/>
          <w:szCs w:val="44"/>
          <w:u w:val="single"/>
        </w:rPr>
        <w:t>.</w:t>
      </w:r>
      <w:r w:rsidRPr="003E2DE6">
        <w:rPr>
          <w:b/>
          <w:sz w:val="44"/>
          <w:szCs w:val="44"/>
          <w:u w:val="single"/>
        </w:rPr>
        <w:t xml:space="preserve"> </w:t>
      </w:r>
      <w:r w:rsidR="00AF639B" w:rsidRPr="003E2DE6">
        <w:rPr>
          <w:b/>
          <w:sz w:val="44"/>
          <w:szCs w:val="44"/>
          <w:u w:val="single"/>
        </w:rPr>
        <w:t>APPENDIX 2.21</w:t>
      </w:r>
    </w:p>
    <w:p w14:paraId="0B6BA176" w14:textId="77777777" w:rsidR="000B413F" w:rsidRDefault="000B413F" w:rsidP="00BA7B0E">
      <w:pPr>
        <w:spacing w:after="360"/>
        <w:jc w:val="center"/>
        <w:rPr>
          <w:b/>
          <w:bCs/>
          <w:sz w:val="36"/>
          <w:szCs w:val="36"/>
          <w:u w:val="single"/>
        </w:rPr>
      </w:pPr>
      <w:bookmarkStart w:id="0" w:name="_GoBack"/>
      <w:r>
        <w:rPr>
          <w:b/>
          <w:bCs/>
          <w:sz w:val="36"/>
          <w:szCs w:val="36"/>
          <w:u w:val="single"/>
        </w:rPr>
        <w:t>TYPE OF CONTRACTOR CODES</w:t>
      </w:r>
    </w:p>
    <w:bookmarkEnd w:id="0"/>
    <w:p w14:paraId="0B6BA178" w14:textId="77777777" w:rsidR="000B413F" w:rsidRPr="009A4A44" w:rsidRDefault="000B413F" w:rsidP="002010DB">
      <w:pPr>
        <w:tabs>
          <w:tab w:val="left" w:pos="3564"/>
        </w:tabs>
        <w:spacing w:after="240"/>
      </w:pPr>
      <w:r w:rsidRPr="009A4A44">
        <w:rPr>
          <w:bCs/>
        </w:rPr>
        <w:t>NUMBER OF CHARACTERS:</w:t>
      </w:r>
      <w:r w:rsidRPr="009A4A44">
        <w:rPr>
          <w:bCs/>
        </w:rPr>
        <w:tab/>
      </w:r>
      <w:r w:rsidRPr="009A4A44">
        <w:t>One</w:t>
      </w:r>
    </w:p>
    <w:p w14:paraId="0B6BA17A" w14:textId="77777777" w:rsidR="000B413F" w:rsidRPr="009A4A44" w:rsidRDefault="000B413F" w:rsidP="002010DB">
      <w:pPr>
        <w:tabs>
          <w:tab w:val="left" w:pos="3564"/>
        </w:tabs>
        <w:spacing w:after="240"/>
      </w:pPr>
      <w:r w:rsidRPr="009A4A44">
        <w:rPr>
          <w:bCs/>
        </w:rPr>
        <w:t>TYPE OF CODE:</w:t>
      </w:r>
      <w:r w:rsidRPr="009A4A44">
        <w:rPr>
          <w:bCs/>
        </w:rPr>
        <w:tab/>
      </w:r>
      <w:r w:rsidRPr="009A4A44">
        <w:t>Alphabetic</w:t>
      </w:r>
    </w:p>
    <w:p w14:paraId="0B6BA17C" w14:textId="36E08700" w:rsidR="000B413F" w:rsidRPr="009A4A44" w:rsidRDefault="000B413F" w:rsidP="002010DB">
      <w:pPr>
        <w:tabs>
          <w:tab w:val="left" w:pos="3564"/>
        </w:tabs>
        <w:spacing w:after="240"/>
        <w:ind w:left="3564" w:hanging="3564"/>
      </w:pPr>
      <w:r w:rsidRPr="009A4A44">
        <w:rPr>
          <w:bCs/>
        </w:rPr>
        <w:t>EXPLANATION:</w:t>
      </w:r>
      <w:r w:rsidRPr="009A4A44">
        <w:t xml:space="preserve"> </w:t>
      </w:r>
      <w:r w:rsidRPr="009A4A44">
        <w:tab/>
        <w:t xml:space="preserve">Obsolete code, formerly published in </w:t>
      </w:r>
      <w:r w:rsidR="002010DB" w:rsidRPr="009A4A44">
        <w:t>Military Standard Contract Administration Procedures (</w:t>
      </w:r>
      <w:r w:rsidRPr="009A4A44">
        <w:t>MILSCAP</w:t>
      </w:r>
      <w:r w:rsidR="002010DB" w:rsidRPr="009A4A44">
        <w:t>)</w:t>
      </w:r>
      <w:r w:rsidRPr="009A4A44">
        <w:t xml:space="preserve"> which identifies the type of contractor.  This code is published here only for convenience in interpreting the data when entered in the </w:t>
      </w:r>
      <w:r w:rsidR="002010DB" w:rsidRPr="009A4A44">
        <w:t>Document I</w:t>
      </w:r>
      <w:r w:rsidR="00A64A44" w:rsidRPr="009A4A44">
        <w:t xml:space="preserve">dentifier </w:t>
      </w:r>
      <w:r w:rsidR="002010DB" w:rsidRPr="009A4A44">
        <w:t>C</w:t>
      </w:r>
      <w:r w:rsidRPr="009A4A44">
        <w:t>ode DLW, Logistics Reassignment Contract History Data transaction.</w:t>
      </w:r>
    </w:p>
    <w:p w14:paraId="0B6BA17E" w14:textId="77777777" w:rsidR="000B413F" w:rsidRPr="009A4A44" w:rsidRDefault="000B413F" w:rsidP="002010DB">
      <w:pPr>
        <w:tabs>
          <w:tab w:val="left" w:pos="3564"/>
        </w:tabs>
        <w:spacing w:after="240"/>
      </w:pPr>
      <w:r w:rsidRPr="009A4A44">
        <w:rPr>
          <w:bCs/>
        </w:rPr>
        <w:t>RECORD POSITION:</w:t>
      </w:r>
      <w:r w:rsidRPr="009A4A44">
        <w:t xml:space="preserve">  </w:t>
      </w:r>
      <w:r w:rsidRPr="009A4A44">
        <w:tab/>
        <w:t>80</w:t>
      </w: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0B413F" w:rsidRPr="00336C58" w14:paraId="0B6BA182" w14:textId="77777777" w:rsidTr="002010DB">
        <w:trPr>
          <w:cantSplit/>
          <w:tblHeader/>
        </w:trPr>
        <w:tc>
          <w:tcPr>
            <w:tcW w:w="1260" w:type="dxa"/>
            <w:vAlign w:val="center"/>
          </w:tcPr>
          <w:p w14:paraId="0B6BA180" w14:textId="77777777" w:rsidR="000B413F" w:rsidRPr="00336C58" w:rsidRDefault="000B413F" w:rsidP="00336C58">
            <w:pPr>
              <w:spacing w:before="120" w:after="120"/>
              <w:rPr>
                <w:rFonts w:cs="Arial"/>
                <w:u w:val="single"/>
              </w:rPr>
            </w:pPr>
            <w:r w:rsidRPr="00336C58">
              <w:rPr>
                <w:bCs/>
                <w:u w:val="single"/>
              </w:rPr>
              <w:t>CODE</w:t>
            </w:r>
          </w:p>
        </w:tc>
        <w:tc>
          <w:tcPr>
            <w:tcW w:w="8280" w:type="dxa"/>
          </w:tcPr>
          <w:p w14:paraId="0B6BA181" w14:textId="77777777" w:rsidR="000B413F" w:rsidRPr="00336C58" w:rsidRDefault="000B413F" w:rsidP="00336C58">
            <w:pPr>
              <w:spacing w:before="120" w:after="120"/>
              <w:rPr>
                <w:bCs/>
                <w:u w:val="single"/>
              </w:rPr>
            </w:pPr>
            <w:r w:rsidRPr="00336C58">
              <w:rPr>
                <w:bCs/>
                <w:u w:val="single"/>
              </w:rPr>
              <w:t>EXPLANATION</w:t>
            </w:r>
          </w:p>
        </w:tc>
      </w:tr>
      <w:tr w:rsidR="000B413F" w14:paraId="0B6BA185" w14:textId="77777777" w:rsidTr="002010DB">
        <w:trPr>
          <w:cantSplit/>
          <w:trHeight w:val="403"/>
        </w:trPr>
        <w:tc>
          <w:tcPr>
            <w:tcW w:w="1260" w:type="dxa"/>
          </w:tcPr>
          <w:p w14:paraId="0B6BA183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A</w:t>
            </w:r>
          </w:p>
        </w:tc>
        <w:tc>
          <w:tcPr>
            <w:tcW w:w="8280" w:type="dxa"/>
          </w:tcPr>
          <w:p w14:paraId="0B6BA184" w14:textId="34F01AE9" w:rsidR="000B413F" w:rsidRDefault="000B413F" w:rsidP="00160927">
            <w:pPr>
              <w:spacing w:before="60" w:after="60"/>
              <w:rPr>
                <w:rFonts w:cs="Arial"/>
              </w:rPr>
            </w:pPr>
            <w:r>
              <w:t>Large Business</w:t>
            </w:r>
            <w:r w:rsidR="002010DB">
              <w:t xml:space="preserve">.  </w:t>
            </w:r>
            <w:r>
              <w:t>Any domestic concern (see</w:t>
            </w:r>
            <w:r w:rsidR="00160927">
              <w:t xml:space="preserve"> Defense Federal Acquisition Regulation Supplement (</w:t>
            </w:r>
            <w:hyperlink r:id="rId11" w:history="1">
              <w:r w:rsidRPr="002D39E2">
                <w:rPr>
                  <w:rStyle w:val="Hyperlink"/>
                </w:rPr>
                <w:t>DFARS</w:t>
              </w:r>
            </w:hyperlink>
            <w:r w:rsidR="00160927">
              <w:rPr>
                <w:rStyle w:val="Hyperlink"/>
              </w:rPr>
              <w:t>)</w:t>
            </w:r>
            <w:r>
              <w:t xml:space="preserve"> 25.001) </w:t>
            </w:r>
            <w:r w:rsidR="00A64A44">
              <w:t>that</w:t>
            </w:r>
            <w:r>
              <w:t xml:space="preserve"> does not meet the size standards set by the Small and Disadvantaged Business Administration (see F</w:t>
            </w:r>
            <w:r w:rsidR="002010DB">
              <w:t>Federal Acquisition Regulation (F</w:t>
            </w:r>
            <w:r>
              <w:t>AR</w:t>
            </w:r>
            <w:r w:rsidR="002010DB">
              <w:t>)</w:t>
            </w:r>
            <w:r>
              <w:t xml:space="preserve"> subpart 19.1).</w:t>
            </w:r>
          </w:p>
        </w:tc>
      </w:tr>
      <w:tr w:rsidR="000B413F" w14:paraId="0B6BA188" w14:textId="77777777" w:rsidTr="002010DB">
        <w:trPr>
          <w:cantSplit/>
          <w:trHeight w:val="403"/>
        </w:trPr>
        <w:tc>
          <w:tcPr>
            <w:tcW w:w="1260" w:type="dxa"/>
          </w:tcPr>
          <w:p w14:paraId="0B6BA186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E</w:t>
            </w:r>
          </w:p>
        </w:tc>
        <w:tc>
          <w:tcPr>
            <w:tcW w:w="8280" w:type="dxa"/>
          </w:tcPr>
          <w:p w14:paraId="0B6BA187" w14:textId="7A453B93" w:rsidR="000B413F" w:rsidRDefault="000B413F" w:rsidP="002010DB">
            <w:pPr>
              <w:spacing w:before="60" w:after="60"/>
              <w:rPr>
                <w:rFonts w:cs="Arial"/>
              </w:rPr>
            </w:pPr>
            <w:r>
              <w:t>Woman-Owned Large Business</w:t>
            </w:r>
            <w:r w:rsidR="002010DB">
              <w:t xml:space="preserve">.  </w:t>
            </w:r>
            <w:r>
              <w:t xml:space="preserve">A business concern that is woman-owned (see FAR 52.219-3) and </w:t>
            </w:r>
            <w:r>
              <w:rPr>
                <w:u w:val="single"/>
              </w:rPr>
              <w:t>not</w:t>
            </w:r>
            <w:r>
              <w:t xml:space="preserve"> small (see FAR sub-part 19.1).</w:t>
            </w:r>
          </w:p>
        </w:tc>
      </w:tr>
      <w:tr w:rsidR="000B413F" w14:paraId="0B6BA18B" w14:textId="77777777" w:rsidTr="002010DB">
        <w:trPr>
          <w:cantSplit/>
          <w:trHeight w:val="403"/>
        </w:trPr>
        <w:tc>
          <w:tcPr>
            <w:tcW w:w="1260" w:type="dxa"/>
          </w:tcPr>
          <w:p w14:paraId="0B6BA189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F</w:t>
            </w:r>
          </w:p>
        </w:tc>
        <w:tc>
          <w:tcPr>
            <w:tcW w:w="8280" w:type="dxa"/>
          </w:tcPr>
          <w:p w14:paraId="0B6BA18A" w14:textId="4D0B7BED" w:rsidR="000B413F" w:rsidRDefault="000B413F" w:rsidP="002010DB">
            <w:pPr>
              <w:spacing w:before="60" w:after="60"/>
              <w:rPr>
                <w:rFonts w:cs="Arial"/>
              </w:rPr>
            </w:pPr>
            <w:r>
              <w:t>Woman-Owned Small Business</w:t>
            </w:r>
            <w:r w:rsidR="002010DB">
              <w:t xml:space="preserve">.  </w:t>
            </w:r>
            <w:r>
              <w:t>A business concern that is woman-owned (see FAR 52.219-3) and small (see FAR subpart 19.1).</w:t>
            </w:r>
          </w:p>
        </w:tc>
      </w:tr>
      <w:tr w:rsidR="000B413F" w14:paraId="0B6BA18E" w14:textId="77777777" w:rsidTr="002010DB">
        <w:trPr>
          <w:cantSplit/>
          <w:trHeight w:val="403"/>
        </w:trPr>
        <w:tc>
          <w:tcPr>
            <w:tcW w:w="1260" w:type="dxa"/>
          </w:tcPr>
          <w:p w14:paraId="0B6BA18C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I</w:t>
            </w:r>
          </w:p>
        </w:tc>
        <w:tc>
          <w:tcPr>
            <w:tcW w:w="8280" w:type="dxa"/>
          </w:tcPr>
          <w:p w14:paraId="0B6BA18D" w14:textId="649179CF" w:rsidR="000B413F" w:rsidRDefault="000B413F" w:rsidP="00160927">
            <w:pPr>
              <w:spacing w:before="60" w:after="60"/>
              <w:rPr>
                <w:rFonts w:cs="Arial"/>
              </w:rPr>
            </w:pPr>
            <w:r>
              <w:t>Intra-Governmental</w:t>
            </w:r>
            <w:r w:rsidR="002010DB">
              <w:t xml:space="preserve">.  </w:t>
            </w:r>
            <w:r>
              <w:t xml:space="preserve">The contractor is a Federal Government Agency other than DoD (see </w:t>
            </w:r>
            <w:r w:rsidR="002010DB">
              <w:t>(D</w:t>
            </w:r>
            <w:r>
              <w:t>FARS</w:t>
            </w:r>
            <w:r w:rsidR="002010DB">
              <w:t>)</w:t>
            </w:r>
            <w:r>
              <w:t xml:space="preserve"> 4.671-5(b)(13)(vi) and (vii)).</w:t>
            </w:r>
          </w:p>
        </w:tc>
      </w:tr>
      <w:tr w:rsidR="000B413F" w14:paraId="0B6BA191" w14:textId="77777777" w:rsidTr="002010DB">
        <w:trPr>
          <w:cantSplit/>
          <w:trHeight w:val="403"/>
        </w:trPr>
        <w:tc>
          <w:tcPr>
            <w:tcW w:w="1260" w:type="dxa"/>
          </w:tcPr>
          <w:p w14:paraId="0B6BA18F" w14:textId="3BFAE306" w:rsidR="000B413F" w:rsidRDefault="000B413F" w:rsidP="00FB3C83">
            <w:pPr>
              <w:spacing w:before="60" w:after="60"/>
              <w:jc w:val="center"/>
              <w:rPr>
                <w:rFonts w:cs="Arial"/>
              </w:rPr>
            </w:pPr>
            <w:r>
              <w:t>J</w:t>
            </w:r>
          </w:p>
        </w:tc>
        <w:tc>
          <w:tcPr>
            <w:tcW w:w="8280" w:type="dxa"/>
          </w:tcPr>
          <w:p w14:paraId="0B6BA190" w14:textId="22E43B71" w:rsidR="000B413F" w:rsidRDefault="000B413F" w:rsidP="002010DB">
            <w:pPr>
              <w:spacing w:before="60" w:after="60"/>
              <w:rPr>
                <w:rFonts w:cs="Arial"/>
              </w:rPr>
            </w:pPr>
            <w:r>
              <w:t>Small Business</w:t>
            </w:r>
            <w:r w:rsidR="002010DB">
              <w:t xml:space="preserve">.  </w:t>
            </w:r>
            <w:r>
              <w:t>A business concern in the United States, its possessions, or Puerto Rico meeting the criteria established in FAR 19.101.</w:t>
            </w:r>
          </w:p>
        </w:tc>
      </w:tr>
      <w:tr w:rsidR="000B413F" w14:paraId="0B6BA194" w14:textId="77777777" w:rsidTr="002010DB">
        <w:trPr>
          <w:cantSplit/>
          <w:trHeight w:val="403"/>
        </w:trPr>
        <w:tc>
          <w:tcPr>
            <w:tcW w:w="1260" w:type="dxa"/>
          </w:tcPr>
          <w:p w14:paraId="0B6BA192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K</w:t>
            </w:r>
          </w:p>
        </w:tc>
        <w:tc>
          <w:tcPr>
            <w:tcW w:w="8280" w:type="dxa"/>
          </w:tcPr>
          <w:p w14:paraId="0B6BA193" w14:textId="28C924DC" w:rsidR="000B413F" w:rsidRDefault="000B413F" w:rsidP="002010DB">
            <w:pPr>
              <w:spacing w:before="60" w:after="60"/>
              <w:rPr>
                <w:rFonts w:cs="Arial"/>
              </w:rPr>
            </w:pPr>
            <w:r>
              <w:t>Nonprofit</w:t>
            </w:r>
            <w:r w:rsidR="002010DB">
              <w:t xml:space="preserve">.  </w:t>
            </w:r>
            <w:r>
              <w:t>Any corporation, foundation, trust, or institution not organized for profit (see DFARS 4.671-5(e)(v)).</w:t>
            </w:r>
          </w:p>
        </w:tc>
      </w:tr>
      <w:tr w:rsidR="000B413F" w14:paraId="0B6BA197" w14:textId="77777777" w:rsidTr="002010DB">
        <w:trPr>
          <w:cantSplit/>
          <w:trHeight w:val="403"/>
        </w:trPr>
        <w:tc>
          <w:tcPr>
            <w:tcW w:w="1260" w:type="dxa"/>
          </w:tcPr>
          <w:p w14:paraId="0B6BA195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L</w:t>
            </w:r>
          </w:p>
        </w:tc>
        <w:tc>
          <w:tcPr>
            <w:tcW w:w="8280" w:type="dxa"/>
          </w:tcPr>
          <w:p w14:paraId="0B6BA196" w14:textId="4797D859" w:rsidR="000B413F" w:rsidRDefault="000B413F" w:rsidP="002010DB">
            <w:pPr>
              <w:spacing w:before="60" w:after="60"/>
              <w:rPr>
                <w:rFonts w:cs="Arial"/>
              </w:rPr>
            </w:pPr>
            <w:r>
              <w:t>Contractor for Work Outside USA</w:t>
            </w:r>
            <w:r w:rsidR="002010DB">
              <w:t xml:space="preserve">.  </w:t>
            </w:r>
            <w:r>
              <w:t>Any business concern outside the United States, its possessions, or Puerto Rico (see DFARS 4.671-5(e)(1)(iv)).</w:t>
            </w:r>
          </w:p>
        </w:tc>
      </w:tr>
      <w:tr w:rsidR="000B413F" w14:paraId="0B6BA19A" w14:textId="77777777" w:rsidTr="002010DB">
        <w:trPr>
          <w:cantSplit/>
          <w:trHeight w:val="403"/>
        </w:trPr>
        <w:tc>
          <w:tcPr>
            <w:tcW w:w="1260" w:type="dxa"/>
          </w:tcPr>
          <w:p w14:paraId="0B6BA198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8280" w:type="dxa"/>
          </w:tcPr>
          <w:p w14:paraId="0B6BA199" w14:textId="2753B2AA" w:rsidR="000B413F" w:rsidRDefault="000B413F" w:rsidP="002010DB">
            <w:pPr>
              <w:spacing w:before="60" w:after="60"/>
              <w:rPr>
                <w:rFonts w:cs="Arial"/>
              </w:rPr>
            </w:pPr>
            <w:r>
              <w:t>Disadvantaged Large Business Concern</w:t>
            </w:r>
            <w:r w:rsidR="002010DB">
              <w:t xml:space="preserve">.  </w:t>
            </w:r>
            <w:r>
              <w:t xml:space="preserve">A business concern owned and controlled by socially and economically disadvantaged individuals (see FAR 52.219-2) that is </w:t>
            </w:r>
            <w:r>
              <w:rPr>
                <w:u w:val="single"/>
              </w:rPr>
              <w:t>not</w:t>
            </w:r>
            <w:r>
              <w:t xml:space="preserve"> small (see FAR 19.101).</w:t>
            </w:r>
          </w:p>
        </w:tc>
      </w:tr>
      <w:tr w:rsidR="000B413F" w14:paraId="0B6BA19D" w14:textId="77777777" w:rsidTr="002010DB">
        <w:trPr>
          <w:cantSplit/>
          <w:trHeight w:val="403"/>
        </w:trPr>
        <w:tc>
          <w:tcPr>
            <w:tcW w:w="1260" w:type="dxa"/>
          </w:tcPr>
          <w:p w14:paraId="0B6BA19B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lastRenderedPageBreak/>
              <w:t>N</w:t>
            </w:r>
          </w:p>
        </w:tc>
        <w:tc>
          <w:tcPr>
            <w:tcW w:w="8280" w:type="dxa"/>
          </w:tcPr>
          <w:p w14:paraId="0B6BA19C" w14:textId="50F9DF8D" w:rsidR="000B413F" w:rsidRDefault="000B413F" w:rsidP="002010DB">
            <w:pPr>
              <w:spacing w:before="60" w:after="60"/>
              <w:rPr>
                <w:rFonts w:cs="Arial"/>
              </w:rPr>
            </w:pPr>
            <w:r>
              <w:t>Disadvantaged Small Business Concern</w:t>
            </w:r>
            <w:r w:rsidR="002010DB">
              <w:t xml:space="preserve">.  </w:t>
            </w:r>
            <w:r>
              <w:t>A business concern owned and controlled by socially and economically disadvantaged individuals (see FAR 52.219-2) that is small (see FAR 19.101).</w:t>
            </w:r>
          </w:p>
        </w:tc>
      </w:tr>
      <w:tr w:rsidR="000B413F" w14:paraId="0B6BA1A0" w14:textId="77777777" w:rsidTr="002010DB">
        <w:trPr>
          <w:cantSplit/>
          <w:trHeight w:val="403"/>
        </w:trPr>
        <w:tc>
          <w:tcPr>
            <w:tcW w:w="1260" w:type="dxa"/>
          </w:tcPr>
          <w:p w14:paraId="0B6BA19E" w14:textId="77777777" w:rsidR="000B413F" w:rsidRDefault="000B413F" w:rsidP="00A64A44">
            <w:pPr>
              <w:spacing w:before="60" w:after="60"/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8280" w:type="dxa"/>
          </w:tcPr>
          <w:p w14:paraId="0B6BA19F" w14:textId="1D01FC1E" w:rsidR="000B413F" w:rsidRDefault="000B413F" w:rsidP="002010DB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</w:rPr>
            </w:pPr>
            <w:r>
              <w:t>Foreign Contractor for Work Within USA</w:t>
            </w:r>
            <w:r w:rsidR="002010DB">
              <w:t xml:space="preserve">.  </w:t>
            </w:r>
            <w:r>
              <w:t>The contractor is not a domestic concern (see DFARS 25.001), and the work will be performed within the United States, its possessions, or Puerto Rico.</w:t>
            </w:r>
          </w:p>
        </w:tc>
      </w:tr>
    </w:tbl>
    <w:p w14:paraId="0B6BA1A1" w14:textId="77777777" w:rsidR="000B413F" w:rsidRDefault="000B413F">
      <w:pPr>
        <w:pStyle w:val="Heading2"/>
        <w:numPr>
          <w:ilvl w:val="0"/>
          <w:numId w:val="0"/>
        </w:numPr>
      </w:pPr>
    </w:p>
    <w:sectPr w:rsidR="000B413F" w:rsidSect="00BA7B0E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A1A4" w14:textId="77777777" w:rsidR="00682F06" w:rsidRDefault="00682F06">
      <w:r>
        <w:separator/>
      </w:r>
    </w:p>
  </w:endnote>
  <w:endnote w:type="continuationSeparator" w:id="0">
    <w:p w14:paraId="0B6BA1A5" w14:textId="77777777" w:rsidR="00682F06" w:rsidRDefault="0068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A1AA" w14:textId="77777777" w:rsidR="00AE525D" w:rsidRDefault="007A3784" w:rsidP="000B41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52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2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BA1AB" w14:textId="77777777" w:rsidR="00AE525D" w:rsidRDefault="00AE525D">
    <w:pPr>
      <w:pStyle w:val="Footer"/>
      <w:jc w:val="center"/>
      <w:rPr>
        <w:b/>
      </w:rPr>
    </w:pPr>
    <w:r>
      <w:rPr>
        <w:b/>
      </w:rPr>
      <w:t>AP2.21-</w:t>
    </w:r>
  </w:p>
  <w:p w14:paraId="0B6BA1AC" w14:textId="77777777" w:rsidR="00AE525D" w:rsidRDefault="00AE525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A1AD" w14:textId="77777777" w:rsidR="00AE525D" w:rsidRPr="00287B8C" w:rsidRDefault="00AE525D" w:rsidP="000B413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AP2.21-</w:t>
    </w:r>
    <w:r w:rsidR="007A3784" w:rsidRPr="00287B8C">
      <w:rPr>
        <w:rStyle w:val="PageNumber"/>
        <w:b w:val="0"/>
      </w:rPr>
      <w:fldChar w:fldCharType="begin"/>
    </w:r>
    <w:r w:rsidRPr="00287B8C">
      <w:rPr>
        <w:rStyle w:val="PageNumber"/>
        <w:b w:val="0"/>
      </w:rPr>
      <w:instrText xml:space="preserve">PAGE  </w:instrText>
    </w:r>
    <w:r w:rsidR="007A3784" w:rsidRPr="00287B8C">
      <w:rPr>
        <w:rStyle w:val="PageNumber"/>
        <w:b w:val="0"/>
      </w:rPr>
      <w:fldChar w:fldCharType="separate"/>
    </w:r>
    <w:r w:rsidR="003D036A">
      <w:rPr>
        <w:rStyle w:val="PageNumber"/>
        <w:b w:val="0"/>
        <w:noProof/>
      </w:rPr>
      <w:t>1</w:t>
    </w:r>
    <w:r w:rsidR="007A3784" w:rsidRPr="00287B8C">
      <w:rPr>
        <w:rStyle w:val="PageNumber"/>
        <w:b w:val="0"/>
      </w:rPr>
      <w:fldChar w:fldCharType="end"/>
    </w:r>
  </w:p>
  <w:p w14:paraId="0B6BA1AE" w14:textId="77777777" w:rsidR="00AE525D" w:rsidRPr="00287B8C" w:rsidRDefault="00AE525D" w:rsidP="00AF639B">
    <w:pPr>
      <w:pStyle w:val="Footer"/>
      <w:tabs>
        <w:tab w:val="clear" w:pos="4320"/>
        <w:tab w:val="clear" w:pos="8640"/>
      </w:tabs>
      <w:jc w:val="right"/>
    </w:pPr>
    <w:r>
      <w:t>APPENDIX 2.21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BA1A2" w14:textId="77777777" w:rsidR="00682F06" w:rsidRDefault="00682F06">
      <w:r>
        <w:separator/>
      </w:r>
    </w:p>
  </w:footnote>
  <w:footnote w:type="continuationSeparator" w:id="0">
    <w:p w14:paraId="0B6BA1A3" w14:textId="77777777" w:rsidR="00682F06" w:rsidRDefault="0068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A1A6" w14:textId="77777777" w:rsidR="00AE525D" w:rsidRDefault="00AE525D">
    <w:pPr>
      <w:rPr>
        <w:b/>
        <w:bCs/>
        <w:iCs/>
      </w:rPr>
    </w:pPr>
  </w:p>
  <w:p w14:paraId="0B6BA1A7" w14:textId="77777777" w:rsidR="00AE525D" w:rsidRDefault="00AE525D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0B6BA1A8" w14:textId="77777777" w:rsidR="00AE525D" w:rsidRDefault="00AE525D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A1A9" w14:textId="46A2417E" w:rsidR="00AE525D" w:rsidRPr="00A64A44" w:rsidRDefault="003C6666" w:rsidP="00287B8C">
    <w:pPr>
      <w:pStyle w:val="Header"/>
      <w:jc w:val="right"/>
      <w:rPr>
        <w:bCs/>
        <w:iCs/>
        <w:u w:val="none"/>
      </w:rPr>
    </w:pPr>
    <w:r w:rsidRPr="00A64A44">
      <w:rPr>
        <w:rFonts w:cs="Arial"/>
        <w:szCs w:val="24"/>
        <w:u w:val="none"/>
      </w:rPr>
      <w:t xml:space="preserve">DLM 4000.25-2, </w:t>
    </w:r>
    <w:r w:rsidR="003D036A">
      <w:rPr>
        <w:rFonts w:cs="Arial"/>
        <w:szCs w:val="24"/>
        <w:u w:val="none"/>
      </w:rPr>
      <w:t>June 13</w:t>
    </w:r>
    <w:r w:rsidR="00A64A44">
      <w:rPr>
        <w:rFonts w:cs="Arial"/>
        <w:szCs w:val="24"/>
        <w:u w:val="none"/>
      </w:rPr>
      <w:t xml:space="preserve">, </w:t>
    </w:r>
    <w:r w:rsidRPr="00A64A44">
      <w:rPr>
        <w:rFonts w:cs="Arial"/>
        <w:szCs w:val="24"/>
        <w:u w:val="none"/>
      </w:rPr>
      <w:t>20</w:t>
    </w:r>
    <w:r w:rsidR="00C6418C" w:rsidRPr="00A64A44">
      <w:rPr>
        <w:rFonts w:cs="Arial"/>
        <w:szCs w:val="24"/>
        <w:u w:val="none"/>
      </w:rPr>
      <w:t>1</w:t>
    </w:r>
    <w:r w:rsidR="00A64A44"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CCB6FD02"/>
    <w:lvl w:ilvl="0">
      <w:start w:val="1"/>
      <w:numFmt w:val="none"/>
      <w:pStyle w:val="Heading1"/>
      <w:suff w:val="nothing"/>
      <w:lvlText w:val="AP2.21 APPENDIX 2.21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2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2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2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2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2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2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2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2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>
    <w:nsid w:val="25C06F62"/>
    <w:multiLevelType w:val="hybridMultilevel"/>
    <w:tmpl w:val="19008AC4"/>
    <w:lvl w:ilvl="0" w:tplc="485668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4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B8C"/>
    <w:rsid w:val="00017E41"/>
    <w:rsid w:val="00087DFC"/>
    <w:rsid w:val="000B413F"/>
    <w:rsid w:val="00160927"/>
    <w:rsid w:val="002010DB"/>
    <w:rsid w:val="002672EA"/>
    <w:rsid w:val="002849E9"/>
    <w:rsid w:val="00287B8C"/>
    <w:rsid w:val="002C028B"/>
    <w:rsid w:val="002D39E2"/>
    <w:rsid w:val="00336C58"/>
    <w:rsid w:val="003A30C5"/>
    <w:rsid w:val="003C6666"/>
    <w:rsid w:val="003D036A"/>
    <w:rsid w:val="003E2DE6"/>
    <w:rsid w:val="00545D71"/>
    <w:rsid w:val="005F61C5"/>
    <w:rsid w:val="00674D9A"/>
    <w:rsid w:val="00682F06"/>
    <w:rsid w:val="00733C2A"/>
    <w:rsid w:val="007A3784"/>
    <w:rsid w:val="009A4A44"/>
    <w:rsid w:val="00A64A44"/>
    <w:rsid w:val="00AE525D"/>
    <w:rsid w:val="00AF639B"/>
    <w:rsid w:val="00BA7B0E"/>
    <w:rsid w:val="00C6418C"/>
    <w:rsid w:val="00CC40EC"/>
    <w:rsid w:val="00DE171B"/>
    <w:rsid w:val="00EA1197"/>
    <w:rsid w:val="00F72B2B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BA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784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A3784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A3784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A3784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A3784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A3784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A3784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A3784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A3784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A3784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7A3784"/>
    <w:rPr>
      <w:vertAlign w:val="superscript"/>
    </w:rPr>
  </w:style>
  <w:style w:type="character" w:styleId="FootnoteReference">
    <w:name w:val="footnote reference"/>
    <w:basedOn w:val="DefaultParagraphFont"/>
    <w:semiHidden/>
    <w:rsid w:val="007A3784"/>
    <w:rPr>
      <w:vertAlign w:val="superscript"/>
    </w:rPr>
  </w:style>
  <w:style w:type="character" w:styleId="PageNumber">
    <w:name w:val="page number"/>
    <w:basedOn w:val="DefaultParagraphFont"/>
    <w:rsid w:val="007A3784"/>
    <w:rPr>
      <w:rFonts w:ascii="Arial" w:hAnsi="Arial"/>
      <w:b/>
      <w:sz w:val="24"/>
    </w:rPr>
  </w:style>
  <w:style w:type="paragraph" w:styleId="Footer">
    <w:name w:val="footer"/>
    <w:basedOn w:val="Normal"/>
    <w:rsid w:val="007A37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A3784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A3784"/>
    <w:rPr>
      <w:sz w:val="20"/>
    </w:rPr>
  </w:style>
  <w:style w:type="paragraph" w:customStyle="1" w:styleId="SubTitle">
    <w:name w:val="Sub Title"/>
    <w:basedOn w:val="Title"/>
    <w:rsid w:val="007A3784"/>
    <w:rPr>
      <w:u w:val="single"/>
    </w:rPr>
  </w:style>
  <w:style w:type="paragraph" w:styleId="Title">
    <w:name w:val="Title"/>
    <w:basedOn w:val="Normal"/>
    <w:next w:val="Header"/>
    <w:qFormat/>
    <w:rsid w:val="007A3784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A3784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A3784"/>
    <w:pPr>
      <w:spacing w:after="160"/>
      <w:ind w:left="1440"/>
    </w:pPr>
  </w:style>
  <w:style w:type="paragraph" w:styleId="BodyText">
    <w:name w:val="Body Text"/>
    <w:basedOn w:val="Normal"/>
    <w:rsid w:val="007A3784"/>
    <w:pPr>
      <w:spacing w:after="120"/>
    </w:pPr>
  </w:style>
  <w:style w:type="paragraph" w:styleId="ListBullet">
    <w:name w:val="List Bullet"/>
    <w:basedOn w:val="Normal"/>
    <w:rsid w:val="007A3784"/>
    <w:pPr>
      <w:spacing w:after="120"/>
      <w:ind w:left="360" w:hanging="360"/>
    </w:pPr>
  </w:style>
  <w:style w:type="paragraph" w:styleId="ListBullet2">
    <w:name w:val="List Bullet 2"/>
    <w:basedOn w:val="Normal"/>
    <w:rsid w:val="007A3784"/>
    <w:pPr>
      <w:ind w:left="720" w:hanging="360"/>
    </w:pPr>
  </w:style>
  <w:style w:type="paragraph" w:styleId="ListBullet3">
    <w:name w:val="List Bullet 3"/>
    <w:basedOn w:val="Normal"/>
    <w:rsid w:val="007A3784"/>
    <w:pPr>
      <w:ind w:left="1080" w:hanging="360"/>
    </w:pPr>
  </w:style>
  <w:style w:type="paragraph" w:styleId="ListNumber">
    <w:name w:val="List Number"/>
    <w:basedOn w:val="Normal"/>
    <w:rsid w:val="007A3784"/>
    <w:pPr>
      <w:ind w:left="360" w:hanging="360"/>
    </w:pPr>
  </w:style>
  <w:style w:type="paragraph" w:styleId="ListNumber2">
    <w:name w:val="List Number 2"/>
    <w:basedOn w:val="Normal"/>
    <w:rsid w:val="007A3784"/>
    <w:pPr>
      <w:ind w:left="720" w:hanging="360"/>
    </w:pPr>
  </w:style>
  <w:style w:type="paragraph" w:styleId="ListNumber3">
    <w:name w:val="List Number 3"/>
    <w:basedOn w:val="Normal"/>
    <w:rsid w:val="007A3784"/>
    <w:pPr>
      <w:ind w:left="1080" w:hanging="360"/>
    </w:pPr>
  </w:style>
  <w:style w:type="paragraph" w:styleId="DocumentMap">
    <w:name w:val="Document Map"/>
    <w:basedOn w:val="Normal"/>
    <w:semiHidden/>
    <w:rsid w:val="007A3784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A3784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Hyperlink">
    <w:name w:val="Hyperlink"/>
    <w:basedOn w:val="DefaultParagraphFont"/>
    <w:rsid w:val="002D39E2"/>
    <w:rPr>
      <w:color w:val="0000FF"/>
      <w:u w:val="single"/>
    </w:rPr>
  </w:style>
  <w:style w:type="table" w:styleId="TableGrid">
    <w:name w:val="Table Grid"/>
    <w:basedOn w:val="TableNormal"/>
    <w:rsid w:val="0020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1609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cq.osd.mil/dpap/dars/dfars/index.ht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60B94E-77F6-44D3-9A71-9E5A18897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FD8F4F-64E9-4F07-8976-059FC85D1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E697F-5E07-495D-8A3F-0F0888F2CD3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22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AP2.21 Type Contractor Codes</vt:lpstr>
    </vt:vector>
  </TitlesOfParts>
  <Company>DLA Logistics Management Standards</Company>
  <LinksUpToDate>false</LinksUpToDate>
  <CharactersWithSpaces>2169</CharactersWithSpaces>
  <SharedDoc>false</SharedDoc>
  <HLinks>
    <vt:vector size="6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http://www.acq.osd.mil/dpap/dars/dfars/index.htm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AP2.21 Type Contractor Codes</dc:title>
  <dc:subject>TYPE OF CONTRACTOR CODES</dc:subject>
  <dc:creator>Mary Jane Johnson</dc:creator>
  <cp:keywords/>
  <cp:lastModifiedBy>HT92118</cp:lastModifiedBy>
  <cp:revision>12</cp:revision>
  <cp:lastPrinted>2001-08-17T15:06:00Z</cp:lastPrinted>
  <dcterms:created xsi:type="dcterms:W3CDTF">2009-12-16T17:21:00Z</dcterms:created>
  <dcterms:modified xsi:type="dcterms:W3CDTF">2012-06-14T14:53:00Z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