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55" w:rsidRPr="00D85E94" w:rsidRDefault="00BE3255" w:rsidP="00BE3255">
      <w:pPr>
        <w:jc w:val="center"/>
        <w:rPr>
          <w:b/>
          <w:bCs/>
          <w:szCs w:val="24"/>
        </w:rPr>
      </w:pPr>
      <w:r w:rsidRPr="00D85E94">
        <w:rPr>
          <w:b/>
          <w:bCs/>
          <w:szCs w:val="24"/>
        </w:rPr>
        <w:t>IN THE UNITED STATES DISTRICT COURT</w:t>
      </w:r>
    </w:p>
    <w:p w:rsidR="00BE3255" w:rsidRPr="00D85E94" w:rsidRDefault="00BE3255" w:rsidP="00BE3255">
      <w:pPr>
        <w:jc w:val="center"/>
        <w:rPr>
          <w:b/>
          <w:bCs/>
          <w:szCs w:val="24"/>
        </w:rPr>
      </w:pPr>
      <w:r w:rsidRPr="00D85E94">
        <w:rPr>
          <w:b/>
          <w:bCs/>
          <w:szCs w:val="24"/>
        </w:rPr>
        <w:t>FOR THE WESTERN DISTRICT OF TEXAS</w:t>
      </w:r>
    </w:p>
    <w:p w:rsidR="00BE3255" w:rsidRPr="00D85E94" w:rsidRDefault="00BE3255" w:rsidP="00BE3255">
      <w:pPr>
        <w:spacing w:after="360"/>
        <w:jc w:val="center"/>
        <w:rPr>
          <w:b/>
          <w:bCs/>
          <w:szCs w:val="24"/>
        </w:rPr>
      </w:pPr>
      <w:r w:rsidRPr="00D85E94">
        <w:rPr>
          <w:b/>
          <w:bCs/>
          <w:szCs w:val="24"/>
        </w:rPr>
        <w:t>SAN ANTONIO DIVISION</w:t>
      </w:r>
    </w:p>
    <w:p w:rsidR="00BE3255" w:rsidRPr="002C195D" w:rsidRDefault="00BE3255" w:rsidP="00BE3255">
      <w:pPr>
        <w:tabs>
          <w:tab w:val="center" w:pos="4680"/>
          <w:tab w:val="left" w:pos="5760"/>
          <w:tab w:val="left" w:pos="6480"/>
          <w:tab w:val="left" w:pos="7200"/>
          <w:tab w:val="left" w:pos="7920"/>
          <w:tab w:val="left" w:pos="8640"/>
          <w:tab w:val="right" w:pos="9360"/>
        </w:tabs>
        <w:rPr>
          <w:bCs/>
          <w:szCs w:val="24"/>
        </w:rPr>
      </w:pPr>
      <w:r w:rsidRPr="002C195D">
        <w:rPr>
          <w:bCs/>
          <w:szCs w:val="24"/>
        </w:rPr>
        <w:t>ERIC STEWARD, by his next friend</w:t>
      </w:r>
      <w:r w:rsidRPr="002C195D">
        <w:rPr>
          <w:bCs/>
          <w:szCs w:val="24"/>
        </w:rPr>
        <w:tab/>
      </w:r>
      <w:r w:rsidR="00FD361B">
        <w:rPr>
          <w:bCs/>
          <w:szCs w:val="24"/>
        </w:rPr>
        <w:t>)</w:t>
      </w:r>
    </w:p>
    <w:p w:rsidR="00BE3255" w:rsidRPr="002C195D" w:rsidRDefault="00BE3255" w:rsidP="00BE3255">
      <w:pPr>
        <w:tabs>
          <w:tab w:val="center" w:pos="4680"/>
          <w:tab w:val="left" w:pos="5040"/>
          <w:tab w:val="left" w:pos="5760"/>
          <w:tab w:val="left" w:pos="6480"/>
          <w:tab w:val="left" w:pos="7200"/>
          <w:tab w:val="left" w:pos="7920"/>
          <w:tab w:val="left" w:pos="8640"/>
          <w:tab w:val="right" w:pos="9360"/>
        </w:tabs>
        <w:rPr>
          <w:bCs/>
          <w:szCs w:val="24"/>
        </w:rPr>
      </w:pPr>
      <w:r w:rsidRPr="002C195D">
        <w:rPr>
          <w:bCs/>
          <w:szCs w:val="24"/>
        </w:rPr>
        <w:t>and</w:t>
      </w:r>
      <w:r w:rsidRPr="002C195D">
        <w:rPr>
          <w:bCs/>
          <w:szCs w:val="24"/>
          <w:lang w:val="nb-NO"/>
        </w:rPr>
        <w:t xml:space="preserve"> mother, Lillian Minor, </w:t>
      </w:r>
      <w:r w:rsidRPr="002C195D">
        <w:rPr>
          <w:bCs/>
          <w:i/>
          <w:szCs w:val="24"/>
          <w:lang w:val="nb-NO"/>
        </w:rPr>
        <w:t>et al.</w:t>
      </w:r>
      <w:r w:rsidRPr="002C195D">
        <w:rPr>
          <w:bCs/>
          <w:szCs w:val="24"/>
          <w:lang w:val="nb-NO"/>
        </w:rPr>
        <w:t>,</w:t>
      </w:r>
      <w:r w:rsidRPr="002C195D">
        <w:rPr>
          <w:bCs/>
          <w:szCs w:val="24"/>
          <w:lang w:val="nb-NO"/>
        </w:rPr>
        <w:tab/>
      </w:r>
      <w:r w:rsidR="00FD361B">
        <w:rPr>
          <w:bCs/>
          <w:szCs w:val="24"/>
        </w:rPr>
        <w:t>)</w:t>
      </w:r>
    </w:p>
    <w:p w:rsidR="00BE3255" w:rsidRPr="002C195D" w:rsidRDefault="00FD361B" w:rsidP="00BE3255">
      <w:pPr>
        <w:tabs>
          <w:tab w:val="center" w:pos="4680"/>
          <w:tab w:val="left" w:pos="5760"/>
          <w:tab w:val="left" w:pos="6480"/>
          <w:tab w:val="left" w:pos="7200"/>
          <w:tab w:val="left" w:pos="7920"/>
          <w:tab w:val="left" w:pos="8640"/>
          <w:tab w:val="right" w:pos="9360"/>
        </w:tabs>
        <w:rPr>
          <w:bCs/>
          <w:szCs w:val="24"/>
        </w:rPr>
      </w:pPr>
      <w:r>
        <w:rPr>
          <w:bCs/>
          <w:szCs w:val="24"/>
        </w:rPr>
        <w:tab/>
        <w:t>)</w:t>
      </w:r>
    </w:p>
    <w:p w:rsidR="00BE3255" w:rsidRPr="002C195D" w:rsidRDefault="00BE3255" w:rsidP="00BE3255">
      <w:pPr>
        <w:tabs>
          <w:tab w:val="left" w:pos="2160"/>
          <w:tab w:val="center" w:pos="4680"/>
          <w:tab w:val="left" w:pos="5760"/>
          <w:tab w:val="left" w:pos="6480"/>
          <w:tab w:val="left" w:pos="7200"/>
          <w:tab w:val="left" w:pos="7920"/>
          <w:tab w:val="left" w:pos="8640"/>
          <w:tab w:val="right" w:pos="9360"/>
        </w:tabs>
        <w:rPr>
          <w:bCs/>
          <w:szCs w:val="24"/>
        </w:rPr>
      </w:pPr>
      <w:r w:rsidRPr="002C195D">
        <w:rPr>
          <w:bCs/>
          <w:szCs w:val="24"/>
        </w:rPr>
        <w:tab/>
      </w:r>
      <w:r w:rsidR="000B776D">
        <w:rPr>
          <w:bCs/>
          <w:szCs w:val="24"/>
        </w:rPr>
        <w:t>Plaintiffs</w:t>
      </w:r>
      <w:r w:rsidR="00FD361B">
        <w:rPr>
          <w:bCs/>
          <w:szCs w:val="24"/>
        </w:rPr>
        <w:t>,</w:t>
      </w:r>
      <w:r w:rsidR="00FD361B">
        <w:rPr>
          <w:bCs/>
          <w:szCs w:val="24"/>
        </w:rPr>
        <w:tab/>
        <w:t>)</w:t>
      </w:r>
    </w:p>
    <w:p w:rsidR="00BE3255" w:rsidRPr="002C195D" w:rsidRDefault="00FD361B" w:rsidP="00BE3255">
      <w:pPr>
        <w:tabs>
          <w:tab w:val="center" w:pos="4680"/>
          <w:tab w:val="left" w:pos="5760"/>
          <w:tab w:val="left" w:pos="6480"/>
          <w:tab w:val="left" w:pos="7200"/>
          <w:tab w:val="left" w:pos="7920"/>
          <w:tab w:val="left" w:pos="8640"/>
          <w:tab w:val="right" w:pos="9360"/>
        </w:tabs>
        <w:rPr>
          <w:bCs/>
          <w:szCs w:val="24"/>
        </w:rPr>
      </w:pPr>
      <w:r>
        <w:rPr>
          <w:bCs/>
          <w:szCs w:val="24"/>
        </w:rPr>
        <w:tab/>
        <w:t>)</w:t>
      </w:r>
    </w:p>
    <w:p w:rsidR="00BE3255" w:rsidRPr="002C195D" w:rsidRDefault="00BE3255" w:rsidP="00BE3255">
      <w:pPr>
        <w:tabs>
          <w:tab w:val="left" w:pos="720"/>
          <w:tab w:val="left" w:pos="2160"/>
          <w:tab w:val="center" w:pos="4680"/>
          <w:tab w:val="left" w:pos="5760"/>
          <w:tab w:val="left" w:pos="6480"/>
          <w:tab w:val="left" w:pos="7200"/>
          <w:tab w:val="left" w:pos="7920"/>
          <w:tab w:val="left" w:pos="8640"/>
          <w:tab w:val="right" w:pos="9360"/>
        </w:tabs>
        <w:rPr>
          <w:bCs/>
          <w:szCs w:val="24"/>
        </w:rPr>
      </w:pPr>
      <w:r w:rsidRPr="002C195D">
        <w:rPr>
          <w:bCs/>
          <w:szCs w:val="24"/>
        </w:rPr>
        <w:tab/>
        <w:t>v.</w:t>
      </w:r>
      <w:r w:rsidRPr="002C195D">
        <w:rPr>
          <w:bCs/>
          <w:szCs w:val="24"/>
        </w:rPr>
        <w:tab/>
      </w:r>
      <w:r w:rsidRPr="002C195D">
        <w:rPr>
          <w:bCs/>
          <w:szCs w:val="24"/>
        </w:rPr>
        <w:tab/>
      </w:r>
      <w:r w:rsidR="00045FBD" w:rsidRPr="002C195D">
        <w:rPr>
          <w:bCs/>
          <w:szCs w:val="24"/>
        </w:rPr>
        <w:t xml:space="preserve">                                         </w:t>
      </w:r>
      <w:r w:rsidR="00FD361B">
        <w:rPr>
          <w:bCs/>
          <w:szCs w:val="24"/>
        </w:rPr>
        <w:t>)</w:t>
      </w:r>
      <w:r w:rsidRPr="002C195D">
        <w:rPr>
          <w:bCs/>
          <w:szCs w:val="24"/>
        </w:rPr>
        <w:t xml:space="preserve"> </w:t>
      </w:r>
      <w:r w:rsidR="00015108" w:rsidRPr="002C195D">
        <w:rPr>
          <w:bCs/>
          <w:szCs w:val="24"/>
        </w:rPr>
        <w:t xml:space="preserve">            </w:t>
      </w:r>
      <w:r w:rsidRPr="002C195D">
        <w:rPr>
          <w:bCs/>
          <w:szCs w:val="24"/>
        </w:rPr>
        <w:t>CIV. NO. 5:10-CV-1025-O</w:t>
      </w:r>
      <w:r w:rsidR="00052F6C" w:rsidRPr="002C195D">
        <w:rPr>
          <w:bCs/>
          <w:szCs w:val="24"/>
        </w:rPr>
        <w:t>L</w:t>
      </w:r>
      <w:r w:rsidRPr="002C195D">
        <w:rPr>
          <w:bCs/>
          <w:szCs w:val="24"/>
        </w:rPr>
        <w:t>G</w:t>
      </w:r>
    </w:p>
    <w:p w:rsidR="00BE3255" w:rsidRPr="002C195D" w:rsidRDefault="00FD361B" w:rsidP="00BE3255">
      <w:pPr>
        <w:tabs>
          <w:tab w:val="center" w:pos="4680"/>
          <w:tab w:val="left" w:pos="5760"/>
          <w:tab w:val="left" w:pos="6480"/>
          <w:tab w:val="left" w:pos="7200"/>
          <w:tab w:val="left" w:pos="7920"/>
          <w:tab w:val="left" w:pos="8640"/>
          <w:tab w:val="right" w:pos="9360"/>
        </w:tabs>
        <w:rPr>
          <w:bCs/>
          <w:szCs w:val="24"/>
        </w:rPr>
      </w:pPr>
      <w:r>
        <w:rPr>
          <w:bCs/>
          <w:szCs w:val="24"/>
        </w:rPr>
        <w:tab/>
        <w:t>)</w:t>
      </w:r>
    </w:p>
    <w:p w:rsidR="00BE3255" w:rsidRPr="002C195D" w:rsidRDefault="00FD361B" w:rsidP="00BE3255">
      <w:pPr>
        <w:tabs>
          <w:tab w:val="center" w:pos="4680"/>
          <w:tab w:val="left" w:pos="5040"/>
          <w:tab w:val="left" w:pos="5760"/>
          <w:tab w:val="left" w:pos="6480"/>
          <w:tab w:val="left" w:pos="7200"/>
          <w:tab w:val="left" w:pos="7920"/>
          <w:tab w:val="left" w:pos="8640"/>
          <w:tab w:val="right" w:pos="9360"/>
        </w:tabs>
        <w:rPr>
          <w:bCs/>
          <w:szCs w:val="24"/>
        </w:rPr>
      </w:pPr>
      <w:r>
        <w:rPr>
          <w:bCs/>
          <w:szCs w:val="24"/>
        </w:rPr>
        <w:tab/>
        <w:t>)</w:t>
      </w:r>
    </w:p>
    <w:p w:rsidR="00BE3255" w:rsidRPr="002C195D" w:rsidRDefault="00FD361B" w:rsidP="00BE3255">
      <w:pPr>
        <w:tabs>
          <w:tab w:val="left" w:pos="2160"/>
          <w:tab w:val="center" w:pos="4680"/>
          <w:tab w:val="left" w:pos="5040"/>
          <w:tab w:val="left" w:pos="5760"/>
          <w:tab w:val="left" w:pos="6480"/>
          <w:tab w:val="left" w:pos="7200"/>
          <w:tab w:val="left" w:pos="7920"/>
          <w:tab w:val="left" w:pos="8640"/>
          <w:tab w:val="right" w:pos="9360"/>
        </w:tabs>
        <w:rPr>
          <w:bCs/>
          <w:szCs w:val="24"/>
        </w:rPr>
      </w:pPr>
      <w:r>
        <w:rPr>
          <w:bCs/>
          <w:szCs w:val="24"/>
        </w:rPr>
        <w:tab/>
      </w:r>
      <w:r>
        <w:rPr>
          <w:bCs/>
          <w:szCs w:val="24"/>
        </w:rPr>
        <w:tab/>
        <w:t>)</w:t>
      </w:r>
    </w:p>
    <w:p w:rsidR="00FD361B" w:rsidRPr="002C195D" w:rsidRDefault="00BE3255" w:rsidP="00BE3255">
      <w:pPr>
        <w:tabs>
          <w:tab w:val="left" w:pos="2160"/>
          <w:tab w:val="center" w:pos="4680"/>
          <w:tab w:val="left" w:pos="5040"/>
          <w:tab w:val="left" w:pos="5760"/>
          <w:tab w:val="left" w:pos="6480"/>
          <w:tab w:val="left" w:pos="7200"/>
          <w:tab w:val="left" w:pos="7920"/>
          <w:tab w:val="left" w:pos="8640"/>
          <w:tab w:val="right" w:pos="9360"/>
        </w:tabs>
        <w:rPr>
          <w:bCs/>
          <w:szCs w:val="24"/>
        </w:rPr>
      </w:pPr>
      <w:r w:rsidRPr="002C195D">
        <w:rPr>
          <w:bCs/>
          <w:szCs w:val="24"/>
        </w:rPr>
        <w:t xml:space="preserve">RICK PERRY, Governor, </w:t>
      </w:r>
      <w:r w:rsidRPr="002C195D">
        <w:rPr>
          <w:bCs/>
          <w:i/>
          <w:szCs w:val="24"/>
        </w:rPr>
        <w:t>et al</w:t>
      </w:r>
      <w:r w:rsidR="00FD361B">
        <w:rPr>
          <w:bCs/>
          <w:szCs w:val="24"/>
        </w:rPr>
        <w:t>.</w:t>
      </w:r>
      <w:r w:rsidR="00FD361B">
        <w:rPr>
          <w:bCs/>
          <w:szCs w:val="24"/>
        </w:rPr>
        <w:tab/>
        <w:t>)</w:t>
      </w:r>
    </w:p>
    <w:p w:rsidR="00BE3255" w:rsidRPr="002C195D" w:rsidRDefault="00FD361B" w:rsidP="00BE3255">
      <w:pPr>
        <w:tabs>
          <w:tab w:val="center" w:pos="4680"/>
          <w:tab w:val="left" w:pos="5040"/>
          <w:tab w:val="left" w:pos="5760"/>
          <w:tab w:val="left" w:pos="6480"/>
          <w:tab w:val="left" w:pos="7200"/>
          <w:tab w:val="left" w:pos="7920"/>
          <w:tab w:val="left" w:pos="8640"/>
          <w:tab w:val="right" w:pos="9360"/>
        </w:tabs>
        <w:rPr>
          <w:bCs/>
          <w:szCs w:val="24"/>
        </w:rPr>
      </w:pPr>
      <w:r>
        <w:rPr>
          <w:bCs/>
          <w:szCs w:val="24"/>
        </w:rPr>
        <w:tab/>
        <w:t>)</w:t>
      </w:r>
    </w:p>
    <w:p w:rsidR="00E256CA" w:rsidRPr="002C195D" w:rsidRDefault="00FD361B" w:rsidP="00E256CA">
      <w:pPr>
        <w:tabs>
          <w:tab w:val="left" w:pos="2160"/>
          <w:tab w:val="center" w:pos="4680"/>
          <w:tab w:val="left" w:pos="5040"/>
          <w:tab w:val="left" w:pos="5760"/>
          <w:tab w:val="left" w:pos="6480"/>
          <w:tab w:val="left" w:pos="7200"/>
          <w:tab w:val="left" w:pos="7920"/>
          <w:tab w:val="left" w:pos="8640"/>
          <w:tab w:val="right" w:pos="9360"/>
        </w:tabs>
        <w:rPr>
          <w:bCs/>
          <w:szCs w:val="24"/>
        </w:rPr>
      </w:pPr>
      <w:r>
        <w:rPr>
          <w:bCs/>
          <w:szCs w:val="24"/>
        </w:rPr>
        <w:tab/>
        <w:t>Defendants.</w:t>
      </w:r>
      <w:r>
        <w:rPr>
          <w:bCs/>
          <w:szCs w:val="24"/>
        </w:rPr>
        <w:tab/>
        <w:t>)</w:t>
      </w:r>
    </w:p>
    <w:p w:rsidR="00EB51C6" w:rsidRPr="002C195D" w:rsidRDefault="006A0DAB" w:rsidP="00F62997">
      <w:pPr>
        <w:tabs>
          <w:tab w:val="left" w:pos="2160"/>
          <w:tab w:val="center" w:pos="4680"/>
          <w:tab w:val="left" w:pos="5040"/>
          <w:tab w:val="left" w:pos="5760"/>
          <w:tab w:val="left" w:pos="6480"/>
          <w:tab w:val="left" w:pos="7200"/>
          <w:tab w:val="left" w:pos="7920"/>
          <w:tab w:val="left" w:pos="8640"/>
          <w:tab w:val="right" w:pos="9360"/>
        </w:tabs>
        <w:spacing w:after="360"/>
        <w:rPr>
          <w:bCs/>
          <w:szCs w:val="24"/>
        </w:rPr>
      </w:pPr>
      <w:r>
        <w:rPr>
          <w:b/>
          <w:bCs/>
          <w:szCs w:val="24"/>
        </w:rPr>
        <w:t>______________________________________</w:t>
      </w:r>
      <w:r>
        <w:rPr>
          <w:b/>
          <w:bCs/>
          <w:szCs w:val="24"/>
        </w:rPr>
        <w:softHyphen/>
      </w:r>
      <w:r w:rsidR="00E256CA" w:rsidRPr="002C195D">
        <w:rPr>
          <w:b/>
          <w:bCs/>
          <w:szCs w:val="24"/>
        </w:rPr>
        <w:tab/>
      </w:r>
      <w:r>
        <w:rPr>
          <w:bCs/>
          <w:szCs w:val="24"/>
        </w:rPr>
        <w:t>)</w:t>
      </w:r>
      <w:r w:rsidR="00E256CA" w:rsidRPr="002C195D">
        <w:rPr>
          <w:b/>
          <w:bCs/>
          <w:szCs w:val="24"/>
        </w:rPr>
        <w:tab/>
      </w:r>
    </w:p>
    <w:p w:rsidR="00EB51C6" w:rsidRPr="002C195D" w:rsidRDefault="004B767E" w:rsidP="00EB51C6">
      <w:pPr>
        <w:jc w:val="center"/>
        <w:rPr>
          <w:b/>
          <w:bCs/>
          <w:szCs w:val="24"/>
          <w:u w:val="single"/>
        </w:rPr>
      </w:pPr>
      <w:r w:rsidRPr="00EE72F1">
        <w:rPr>
          <w:b/>
          <w:szCs w:val="24"/>
          <w:u w:val="single"/>
        </w:rPr>
        <w:t>PARTIAL CONSENT MOTION BY THE UNITED STATES OF AMERICA TO INTERVENE AND</w:t>
      </w:r>
      <w:r>
        <w:rPr>
          <w:b/>
          <w:szCs w:val="24"/>
          <w:u w:val="single"/>
        </w:rPr>
        <w:t xml:space="preserve"> MEMORANDUM IN SUPPORT THEREOF</w:t>
      </w:r>
    </w:p>
    <w:p w:rsidR="00E256CA" w:rsidRPr="002C195D" w:rsidRDefault="00E256CA" w:rsidP="00E256CA">
      <w:pPr>
        <w:rPr>
          <w:szCs w:val="24"/>
        </w:rPr>
      </w:pPr>
    </w:p>
    <w:p w:rsidR="00CF345F" w:rsidRPr="00045F96" w:rsidRDefault="004B767E" w:rsidP="00CF345F">
      <w:pPr>
        <w:pStyle w:val="WPTitle"/>
        <w:widowControl/>
        <w:spacing w:line="480" w:lineRule="auto"/>
        <w:ind w:firstLine="720"/>
        <w:jc w:val="left"/>
        <w:rPr>
          <w:b w:val="0"/>
          <w:sz w:val="24"/>
          <w:szCs w:val="24"/>
        </w:rPr>
      </w:pPr>
      <w:r>
        <w:rPr>
          <w:b w:val="0"/>
          <w:sz w:val="24"/>
          <w:szCs w:val="24"/>
        </w:rPr>
        <w:t xml:space="preserve">The United States of America respectfully </w:t>
      </w:r>
      <w:r w:rsidR="00FD361B">
        <w:rPr>
          <w:b w:val="0"/>
          <w:sz w:val="24"/>
          <w:szCs w:val="24"/>
        </w:rPr>
        <w:t>requests</w:t>
      </w:r>
      <w:r w:rsidR="00EE72F1">
        <w:rPr>
          <w:b w:val="0"/>
          <w:sz w:val="24"/>
          <w:szCs w:val="24"/>
        </w:rPr>
        <w:t xml:space="preserve"> that</w:t>
      </w:r>
      <w:r w:rsidR="00FD361B">
        <w:rPr>
          <w:b w:val="0"/>
          <w:sz w:val="24"/>
          <w:szCs w:val="24"/>
        </w:rPr>
        <w:t xml:space="preserve"> </w:t>
      </w:r>
      <w:r>
        <w:rPr>
          <w:b w:val="0"/>
          <w:sz w:val="24"/>
          <w:szCs w:val="24"/>
        </w:rPr>
        <w:t>this Court grant its intervention</w:t>
      </w:r>
      <w:r w:rsidR="00D267AB" w:rsidRPr="002C195D">
        <w:rPr>
          <w:b w:val="0"/>
          <w:sz w:val="24"/>
          <w:szCs w:val="24"/>
        </w:rPr>
        <w:t xml:space="preserve"> as of right</w:t>
      </w:r>
      <w:r w:rsidR="000B7DC8" w:rsidRPr="000B7DC8">
        <w:rPr>
          <w:b w:val="0"/>
          <w:sz w:val="24"/>
          <w:szCs w:val="24"/>
        </w:rPr>
        <w:t xml:space="preserve"> </w:t>
      </w:r>
      <w:r w:rsidR="000B7DC8">
        <w:rPr>
          <w:b w:val="0"/>
          <w:sz w:val="24"/>
          <w:szCs w:val="24"/>
        </w:rPr>
        <w:t xml:space="preserve">as a plaintiff </w:t>
      </w:r>
      <w:r w:rsidR="000B7DC8" w:rsidRPr="002C195D">
        <w:rPr>
          <w:b w:val="0"/>
          <w:sz w:val="24"/>
          <w:szCs w:val="24"/>
        </w:rPr>
        <w:t>in this action</w:t>
      </w:r>
      <w:r w:rsidR="00D267AB" w:rsidRPr="002C195D">
        <w:rPr>
          <w:b w:val="0"/>
          <w:sz w:val="24"/>
          <w:szCs w:val="24"/>
        </w:rPr>
        <w:t xml:space="preserve">, pursuant to Federal Rule of Civil Procedure 24(a)(2) or, alternatively, permissive intervention pursuant to Federal Rule of Civil Procedure 24(b).  </w:t>
      </w:r>
      <w:r w:rsidR="00CF345F">
        <w:rPr>
          <w:b w:val="0"/>
          <w:sz w:val="24"/>
          <w:szCs w:val="24"/>
        </w:rPr>
        <w:t xml:space="preserve">As grounds </w:t>
      </w:r>
      <w:r w:rsidR="00D14DAF">
        <w:rPr>
          <w:b w:val="0"/>
          <w:sz w:val="24"/>
          <w:szCs w:val="24"/>
        </w:rPr>
        <w:t>in support thereof</w:t>
      </w:r>
      <w:r w:rsidR="00CF345F">
        <w:rPr>
          <w:b w:val="0"/>
          <w:sz w:val="24"/>
          <w:szCs w:val="24"/>
        </w:rPr>
        <w:t>, the United States states as follows:</w:t>
      </w:r>
    </w:p>
    <w:p w:rsidR="00CF345F" w:rsidRPr="0076702D" w:rsidRDefault="00CF345F" w:rsidP="00CF345F">
      <w:pPr>
        <w:pStyle w:val="WPTitle"/>
        <w:widowControl/>
        <w:numPr>
          <w:ilvl w:val="0"/>
          <w:numId w:val="1"/>
        </w:numPr>
        <w:spacing w:line="480" w:lineRule="auto"/>
        <w:ind w:left="90" w:firstLine="0"/>
        <w:jc w:val="left"/>
        <w:rPr>
          <w:b w:val="0"/>
          <w:sz w:val="24"/>
          <w:szCs w:val="24"/>
        </w:rPr>
      </w:pPr>
      <w:r w:rsidRPr="0076702D">
        <w:rPr>
          <w:b w:val="0"/>
          <w:sz w:val="24"/>
          <w:szCs w:val="24"/>
        </w:rPr>
        <w:t xml:space="preserve">The United States’ Motion to Intervene is timely because the litigation is in its early stages.  The </w:t>
      </w:r>
      <w:r w:rsidR="00EE72F1">
        <w:rPr>
          <w:b w:val="0"/>
          <w:sz w:val="24"/>
          <w:szCs w:val="24"/>
        </w:rPr>
        <w:t>Defendant</w:t>
      </w:r>
      <w:r w:rsidRPr="0076702D">
        <w:rPr>
          <w:b w:val="0"/>
          <w:sz w:val="24"/>
          <w:szCs w:val="24"/>
        </w:rPr>
        <w:t xml:space="preserve">s’ </w:t>
      </w:r>
      <w:r w:rsidR="00EE72F1">
        <w:rPr>
          <w:b w:val="0"/>
          <w:sz w:val="24"/>
          <w:szCs w:val="24"/>
        </w:rPr>
        <w:t>Partial Motion to D</w:t>
      </w:r>
      <w:r w:rsidRPr="0076702D">
        <w:rPr>
          <w:b w:val="0"/>
          <w:sz w:val="24"/>
          <w:szCs w:val="24"/>
        </w:rPr>
        <w:t xml:space="preserve">ismiss and the </w:t>
      </w:r>
      <w:r w:rsidR="00EE72F1">
        <w:rPr>
          <w:b w:val="0"/>
          <w:sz w:val="24"/>
          <w:szCs w:val="24"/>
        </w:rPr>
        <w:t>Plaint</w:t>
      </w:r>
      <w:r w:rsidR="00EE72F1" w:rsidRPr="00DC2D56">
        <w:rPr>
          <w:b w:val="0"/>
          <w:sz w:val="24"/>
          <w:szCs w:val="24"/>
        </w:rPr>
        <w:t>iff</w:t>
      </w:r>
      <w:r w:rsidRPr="00DC2D56">
        <w:rPr>
          <w:b w:val="0"/>
          <w:sz w:val="24"/>
          <w:szCs w:val="24"/>
        </w:rPr>
        <w:t>s</w:t>
      </w:r>
      <w:r w:rsidR="00EE72F1" w:rsidRPr="00DC2D56">
        <w:rPr>
          <w:b w:val="0"/>
          <w:sz w:val="24"/>
          <w:szCs w:val="24"/>
        </w:rPr>
        <w:t>’</w:t>
      </w:r>
      <w:r w:rsidRPr="00DC2D56">
        <w:rPr>
          <w:b w:val="0"/>
          <w:sz w:val="24"/>
          <w:szCs w:val="24"/>
        </w:rPr>
        <w:t xml:space="preserve"> </w:t>
      </w:r>
      <w:r w:rsidR="00EE72F1" w:rsidRPr="00DC2D56">
        <w:rPr>
          <w:b w:val="0"/>
          <w:sz w:val="24"/>
          <w:szCs w:val="24"/>
        </w:rPr>
        <w:t>M</w:t>
      </w:r>
      <w:r w:rsidRPr="00DC2D56">
        <w:rPr>
          <w:b w:val="0"/>
          <w:sz w:val="24"/>
          <w:szCs w:val="24"/>
        </w:rPr>
        <w:t xml:space="preserve">otion for </w:t>
      </w:r>
      <w:r w:rsidR="00DC2D56" w:rsidRPr="00DC2D56">
        <w:rPr>
          <w:b w:val="0"/>
          <w:sz w:val="24"/>
          <w:szCs w:val="24"/>
        </w:rPr>
        <w:t>Class C</w:t>
      </w:r>
      <w:r w:rsidRPr="00DC2D56">
        <w:rPr>
          <w:b w:val="0"/>
          <w:sz w:val="24"/>
          <w:szCs w:val="24"/>
        </w:rPr>
        <w:t>ertification are pending, and the United States’ intervention will</w:t>
      </w:r>
      <w:r w:rsidRPr="0076702D">
        <w:rPr>
          <w:b w:val="0"/>
          <w:sz w:val="24"/>
          <w:szCs w:val="24"/>
        </w:rPr>
        <w:t xml:space="preserve"> </w:t>
      </w:r>
      <w:r>
        <w:rPr>
          <w:b w:val="0"/>
          <w:sz w:val="24"/>
          <w:szCs w:val="24"/>
        </w:rPr>
        <w:t xml:space="preserve">not </w:t>
      </w:r>
      <w:r w:rsidRPr="0076702D">
        <w:rPr>
          <w:b w:val="0"/>
          <w:sz w:val="24"/>
          <w:szCs w:val="24"/>
        </w:rPr>
        <w:t xml:space="preserve">create any delay.  </w:t>
      </w:r>
      <w:r>
        <w:rPr>
          <w:b w:val="0"/>
          <w:sz w:val="24"/>
          <w:szCs w:val="24"/>
        </w:rPr>
        <w:t>Thus, intervention by the United States</w:t>
      </w:r>
      <w:r w:rsidRPr="0076702D">
        <w:rPr>
          <w:b w:val="0"/>
          <w:sz w:val="24"/>
          <w:szCs w:val="24"/>
        </w:rPr>
        <w:t xml:space="preserve"> at this juncture will not prejudice the existing parties.  </w:t>
      </w:r>
    </w:p>
    <w:p w:rsidR="00CF345F" w:rsidRDefault="00CF345F" w:rsidP="00CF345F">
      <w:pPr>
        <w:pStyle w:val="WPTitle"/>
        <w:widowControl/>
        <w:numPr>
          <w:ilvl w:val="0"/>
          <w:numId w:val="1"/>
        </w:numPr>
        <w:spacing w:line="480" w:lineRule="auto"/>
        <w:ind w:left="90" w:firstLine="0"/>
        <w:jc w:val="left"/>
        <w:rPr>
          <w:b w:val="0"/>
          <w:sz w:val="24"/>
          <w:szCs w:val="24"/>
        </w:rPr>
      </w:pPr>
      <w:r w:rsidRPr="006E12FF">
        <w:rPr>
          <w:b w:val="0"/>
          <w:sz w:val="24"/>
          <w:szCs w:val="24"/>
        </w:rPr>
        <w:t>The United States has a substantial legal interest in the subject matte</w:t>
      </w:r>
      <w:r>
        <w:rPr>
          <w:b w:val="0"/>
          <w:sz w:val="24"/>
          <w:szCs w:val="24"/>
        </w:rPr>
        <w:t>r of the action</w:t>
      </w:r>
      <w:r w:rsidRPr="006E12FF">
        <w:rPr>
          <w:b w:val="0"/>
          <w:sz w:val="24"/>
          <w:szCs w:val="24"/>
        </w:rPr>
        <w:t xml:space="preserve"> because it involves claims asserted under </w:t>
      </w:r>
      <w:r w:rsidR="00EE72F1">
        <w:rPr>
          <w:b w:val="0"/>
          <w:sz w:val="24"/>
          <w:szCs w:val="24"/>
        </w:rPr>
        <w:t>Title</w:t>
      </w:r>
      <w:r w:rsidRPr="006E12FF">
        <w:rPr>
          <w:b w:val="0"/>
          <w:sz w:val="24"/>
          <w:szCs w:val="24"/>
        </w:rPr>
        <w:t xml:space="preserve"> II of the Americans with Disabilities Act </w:t>
      </w:r>
      <w:r w:rsidRPr="006E12FF">
        <w:rPr>
          <w:b w:val="0"/>
          <w:sz w:val="24"/>
          <w:szCs w:val="24"/>
        </w:rPr>
        <w:lastRenderedPageBreak/>
        <w:t>of 1990 and Section 504 of the Rehabilitation Act of 1973.  The United States Department of Justice is the agency with primary regulatory and enfo</w:t>
      </w:r>
      <w:r w:rsidR="009E1E50">
        <w:rPr>
          <w:b w:val="0"/>
          <w:sz w:val="24"/>
          <w:szCs w:val="24"/>
        </w:rPr>
        <w:t>rcement responsibilities under T</w:t>
      </w:r>
      <w:r w:rsidRPr="006E12FF">
        <w:rPr>
          <w:b w:val="0"/>
          <w:sz w:val="24"/>
          <w:szCs w:val="24"/>
        </w:rPr>
        <w:t>itle II of the ADA and, as such, plays a unique role in enforcing and interpreting the statute and its implementing regulations on behalf of the broad public interest</w:t>
      </w:r>
      <w:r>
        <w:rPr>
          <w:b w:val="0"/>
          <w:sz w:val="24"/>
          <w:szCs w:val="24"/>
        </w:rPr>
        <w:t xml:space="preserve">.  It also has a significant interest in enforcing the Supreme Court case, </w:t>
      </w:r>
      <w:r>
        <w:rPr>
          <w:b w:val="0"/>
          <w:i/>
          <w:sz w:val="24"/>
          <w:szCs w:val="24"/>
        </w:rPr>
        <w:t>Olmstead v. L.C.</w:t>
      </w:r>
      <w:r>
        <w:rPr>
          <w:b w:val="0"/>
          <w:sz w:val="24"/>
          <w:szCs w:val="24"/>
        </w:rPr>
        <w:t xml:space="preserve">, 527 U.S. 581 (1999), which held that unnecessary institutionalization </w:t>
      </w:r>
      <w:r w:rsidR="00EE72F1">
        <w:rPr>
          <w:b w:val="0"/>
          <w:sz w:val="24"/>
          <w:szCs w:val="24"/>
        </w:rPr>
        <w:t xml:space="preserve">of individuals with disabilities </w:t>
      </w:r>
      <w:r>
        <w:rPr>
          <w:b w:val="0"/>
          <w:sz w:val="24"/>
          <w:szCs w:val="24"/>
        </w:rPr>
        <w:t>violates the A</w:t>
      </w:r>
      <w:r w:rsidR="00A66BED">
        <w:rPr>
          <w:b w:val="0"/>
          <w:sz w:val="24"/>
          <w:szCs w:val="24"/>
        </w:rPr>
        <w:t xml:space="preserve">mericans with Disabilities </w:t>
      </w:r>
      <w:r>
        <w:rPr>
          <w:b w:val="0"/>
          <w:sz w:val="24"/>
          <w:szCs w:val="24"/>
        </w:rPr>
        <w:t>A</w:t>
      </w:r>
      <w:r w:rsidR="00A66BED">
        <w:rPr>
          <w:b w:val="0"/>
          <w:sz w:val="24"/>
          <w:szCs w:val="24"/>
        </w:rPr>
        <w:t>ct</w:t>
      </w:r>
      <w:r>
        <w:rPr>
          <w:b w:val="0"/>
          <w:sz w:val="24"/>
          <w:szCs w:val="24"/>
        </w:rPr>
        <w:t xml:space="preserve"> and </w:t>
      </w:r>
      <w:r w:rsidR="00EE72F1">
        <w:rPr>
          <w:b w:val="0"/>
          <w:sz w:val="24"/>
          <w:szCs w:val="24"/>
        </w:rPr>
        <w:t>Section 504 of the</w:t>
      </w:r>
      <w:r>
        <w:rPr>
          <w:b w:val="0"/>
          <w:sz w:val="24"/>
          <w:szCs w:val="24"/>
        </w:rPr>
        <w:t xml:space="preserve"> Rehabilitation Act. </w:t>
      </w:r>
    </w:p>
    <w:p w:rsidR="00CF345F" w:rsidRPr="006E12FF" w:rsidRDefault="00CF345F" w:rsidP="00CF345F">
      <w:pPr>
        <w:pStyle w:val="WPTitle"/>
        <w:widowControl/>
        <w:numPr>
          <w:ilvl w:val="0"/>
          <w:numId w:val="1"/>
        </w:numPr>
        <w:spacing w:line="480" w:lineRule="auto"/>
        <w:ind w:left="90" w:firstLine="0"/>
        <w:jc w:val="left"/>
        <w:rPr>
          <w:b w:val="0"/>
          <w:sz w:val="24"/>
          <w:szCs w:val="24"/>
        </w:rPr>
      </w:pPr>
      <w:r w:rsidRPr="006E12FF">
        <w:rPr>
          <w:b w:val="0"/>
          <w:sz w:val="24"/>
          <w:szCs w:val="24"/>
        </w:rPr>
        <w:t xml:space="preserve">Disposition of the action </w:t>
      </w:r>
      <w:r>
        <w:rPr>
          <w:b w:val="0"/>
          <w:sz w:val="24"/>
          <w:szCs w:val="24"/>
        </w:rPr>
        <w:t xml:space="preserve">without the United States’ participation </w:t>
      </w:r>
      <w:r w:rsidRPr="006E12FF">
        <w:rPr>
          <w:b w:val="0"/>
          <w:sz w:val="24"/>
          <w:szCs w:val="24"/>
        </w:rPr>
        <w:t xml:space="preserve">may impede </w:t>
      </w:r>
      <w:r>
        <w:rPr>
          <w:b w:val="0"/>
          <w:sz w:val="24"/>
          <w:szCs w:val="24"/>
        </w:rPr>
        <w:t>its</w:t>
      </w:r>
      <w:r w:rsidRPr="006E12FF">
        <w:rPr>
          <w:b w:val="0"/>
          <w:sz w:val="24"/>
          <w:szCs w:val="24"/>
        </w:rPr>
        <w:t xml:space="preserve"> enforcement and regulatory interests.  Because there are </w:t>
      </w:r>
      <w:r w:rsidR="00EE72F1">
        <w:rPr>
          <w:b w:val="0"/>
          <w:sz w:val="24"/>
          <w:szCs w:val="24"/>
        </w:rPr>
        <w:t>not many</w:t>
      </w:r>
      <w:r w:rsidRPr="006E12FF">
        <w:rPr>
          <w:b w:val="0"/>
          <w:sz w:val="24"/>
          <w:szCs w:val="24"/>
        </w:rPr>
        <w:t xml:space="preserve"> cases </w:t>
      </w:r>
      <w:r>
        <w:rPr>
          <w:b w:val="0"/>
          <w:sz w:val="24"/>
          <w:szCs w:val="24"/>
        </w:rPr>
        <w:t>interpreting</w:t>
      </w:r>
      <w:r w:rsidRPr="006E12FF">
        <w:rPr>
          <w:b w:val="0"/>
          <w:sz w:val="24"/>
          <w:szCs w:val="24"/>
        </w:rPr>
        <w:t xml:space="preserve"> </w:t>
      </w:r>
      <w:r w:rsidRPr="006E12FF">
        <w:rPr>
          <w:b w:val="0"/>
          <w:i/>
          <w:sz w:val="24"/>
          <w:szCs w:val="24"/>
        </w:rPr>
        <w:t>Olmstead</w:t>
      </w:r>
      <w:r>
        <w:rPr>
          <w:b w:val="0"/>
          <w:sz w:val="24"/>
          <w:szCs w:val="24"/>
        </w:rPr>
        <w:t>, t</w:t>
      </w:r>
      <w:r w:rsidRPr="006E12FF">
        <w:rPr>
          <w:b w:val="0"/>
          <w:sz w:val="24"/>
          <w:szCs w:val="24"/>
        </w:rPr>
        <w:t xml:space="preserve">he outcome of this case implicates </w:t>
      </w:r>
      <w:r w:rsidRPr="006E12FF">
        <w:rPr>
          <w:b w:val="0"/>
          <w:i/>
          <w:sz w:val="24"/>
          <w:szCs w:val="24"/>
        </w:rPr>
        <w:t>stare decisis</w:t>
      </w:r>
      <w:r w:rsidRPr="006E12FF">
        <w:rPr>
          <w:b w:val="0"/>
          <w:sz w:val="24"/>
          <w:szCs w:val="24"/>
        </w:rPr>
        <w:t xml:space="preserve"> concerns that warrant the United States’ intervention.  </w:t>
      </w:r>
    </w:p>
    <w:p w:rsidR="00CF345F" w:rsidRPr="00F22619" w:rsidRDefault="00CF345F" w:rsidP="00CF345F">
      <w:pPr>
        <w:pStyle w:val="WPTitle"/>
        <w:widowControl/>
        <w:numPr>
          <w:ilvl w:val="0"/>
          <w:numId w:val="1"/>
        </w:numPr>
        <w:spacing w:line="480" w:lineRule="auto"/>
        <w:ind w:left="90" w:firstLine="0"/>
        <w:jc w:val="left"/>
        <w:rPr>
          <w:b w:val="0"/>
          <w:sz w:val="24"/>
          <w:szCs w:val="24"/>
        </w:rPr>
      </w:pPr>
      <w:r>
        <w:rPr>
          <w:b w:val="0"/>
          <w:sz w:val="24"/>
          <w:szCs w:val="24"/>
        </w:rPr>
        <w:t xml:space="preserve">The United States’ interests are not adequately protected by the existing parties to the litigation.  Because the United States represents the public interest on a national scale, its interests </w:t>
      </w:r>
      <w:r w:rsidR="00D14DAF">
        <w:rPr>
          <w:b w:val="0"/>
          <w:sz w:val="24"/>
          <w:szCs w:val="24"/>
        </w:rPr>
        <w:t xml:space="preserve">differ from those represented by private Plaintiffs. </w:t>
      </w:r>
    </w:p>
    <w:p w:rsidR="00CF345F" w:rsidRDefault="00CF345F" w:rsidP="00CF345F">
      <w:pPr>
        <w:pStyle w:val="WPTitle"/>
        <w:widowControl/>
        <w:numPr>
          <w:ilvl w:val="0"/>
          <w:numId w:val="1"/>
        </w:numPr>
        <w:spacing w:line="480" w:lineRule="auto"/>
        <w:ind w:left="90" w:firstLine="0"/>
        <w:jc w:val="left"/>
        <w:rPr>
          <w:b w:val="0"/>
          <w:sz w:val="24"/>
          <w:szCs w:val="24"/>
        </w:rPr>
      </w:pPr>
      <w:r>
        <w:rPr>
          <w:b w:val="0"/>
          <w:sz w:val="24"/>
          <w:szCs w:val="24"/>
        </w:rPr>
        <w:t>T</w:t>
      </w:r>
      <w:r w:rsidRPr="009E5B2A">
        <w:rPr>
          <w:b w:val="0"/>
          <w:sz w:val="24"/>
          <w:szCs w:val="24"/>
        </w:rPr>
        <w:t xml:space="preserve">he United States </w:t>
      </w:r>
      <w:r>
        <w:rPr>
          <w:b w:val="0"/>
          <w:sz w:val="24"/>
          <w:szCs w:val="24"/>
        </w:rPr>
        <w:t>also satisfies the requirements</w:t>
      </w:r>
      <w:r w:rsidRPr="009E5B2A">
        <w:rPr>
          <w:b w:val="0"/>
          <w:sz w:val="24"/>
          <w:szCs w:val="24"/>
        </w:rPr>
        <w:t xml:space="preserve"> for permissive intervention because the action involves the interpretation of statutes that the Attorney General is entrusted by Congress to administer.  </w:t>
      </w:r>
      <w:r w:rsidRPr="009E5B2A">
        <w:rPr>
          <w:b w:val="0"/>
          <w:i/>
          <w:sz w:val="24"/>
          <w:szCs w:val="24"/>
        </w:rPr>
        <w:t>See</w:t>
      </w:r>
      <w:r w:rsidRPr="009E5B2A">
        <w:rPr>
          <w:b w:val="0"/>
          <w:sz w:val="24"/>
          <w:szCs w:val="24"/>
        </w:rPr>
        <w:t xml:space="preserve"> Fed. R. Civ. P. 24(b)(2).  </w:t>
      </w:r>
    </w:p>
    <w:p w:rsidR="00CF345F" w:rsidRPr="00F23257" w:rsidRDefault="00CF345F" w:rsidP="00CF345F">
      <w:pPr>
        <w:pStyle w:val="WPTitle"/>
        <w:widowControl/>
        <w:numPr>
          <w:ilvl w:val="0"/>
          <w:numId w:val="1"/>
        </w:numPr>
        <w:spacing w:line="480" w:lineRule="auto"/>
        <w:ind w:left="90" w:firstLine="0"/>
        <w:jc w:val="left"/>
        <w:rPr>
          <w:szCs w:val="24"/>
          <w:lang w:val="en-CA"/>
        </w:rPr>
      </w:pPr>
      <w:r w:rsidRPr="00F23257">
        <w:rPr>
          <w:b w:val="0"/>
          <w:sz w:val="24"/>
          <w:szCs w:val="24"/>
        </w:rPr>
        <w:t xml:space="preserve">Pursuant </w:t>
      </w:r>
      <w:r w:rsidRPr="00D62E39">
        <w:rPr>
          <w:b w:val="0"/>
          <w:sz w:val="24"/>
          <w:szCs w:val="24"/>
        </w:rPr>
        <w:t xml:space="preserve">to Local Rule </w:t>
      </w:r>
      <w:r w:rsidR="00D62E39" w:rsidRPr="00D62E39">
        <w:rPr>
          <w:b w:val="0"/>
          <w:sz w:val="24"/>
          <w:szCs w:val="24"/>
        </w:rPr>
        <w:t>CV7</w:t>
      </w:r>
      <w:r w:rsidR="00D62E39">
        <w:rPr>
          <w:b w:val="0"/>
          <w:sz w:val="24"/>
          <w:szCs w:val="24"/>
        </w:rPr>
        <w:t>(h)</w:t>
      </w:r>
      <w:r w:rsidR="00EE72F1">
        <w:rPr>
          <w:b w:val="0"/>
          <w:sz w:val="24"/>
          <w:szCs w:val="24"/>
        </w:rPr>
        <w:t>,</w:t>
      </w:r>
      <w:r w:rsidRPr="00F23257">
        <w:rPr>
          <w:b w:val="0"/>
          <w:sz w:val="24"/>
          <w:szCs w:val="24"/>
        </w:rPr>
        <w:t xml:space="preserve"> counsel for t</w:t>
      </w:r>
      <w:r w:rsidR="00DC2D56">
        <w:rPr>
          <w:b w:val="0"/>
          <w:sz w:val="24"/>
          <w:szCs w:val="24"/>
        </w:rPr>
        <w:t xml:space="preserve">he United States conferred with counsel for the parties </w:t>
      </w:r>
      <w:r w:rsidRPr="00F23257">
        <w:rPr>
          <w:b w:val="0"/>
          <w:sz w:val="24"/>
          <w:szCs w:val="24"/>
        </w:rPr>
        <w:t xml:space="preserve">concerning the United States’ </w:t>
      </w:r>
      <w:r w:rsidR="00EE72F1">
        <w:rPr>
          <w:b w:val="0"/>
          <w:sz w:val="24"/>
          <w:szCs w:val="24"/>
        </w:rPr>
        <w:t>Motion to I</w:t>
      </w:r>
      <w:r w:rsidRPr="00F23257">
        <w:rPr>
          <w:b w:val="0"/>
          <w:sz w:val="24"/>
          <w:szCs w:val="24"/>
        </w:rPr>
        <w:t xml:space="preserve">ntervene.  Counsel for </w:t>
      </w:r>
      <w:r w:rsidR="00EE72F1" w:rsidRPr="00EE72F1">
        <w:rPr>
          <w:b w:val="0"/>
          <w:sz w:val="24"/>
          <w:szCs w:val="24"/>
        </w:rPr>
        <w:t>Defendant</w:t>
      </w:r>
      <w:r w:rsidR="00DC2D56">
        <w:rPr>
          <w:b w:val="0"/>
          <w:sz w:val="24"/>
          <w:szCs w:val="24"/>
        </w:rPr>
        <w:t xml:space="preserve">s indicated that the Defendants do not </w:t>
      </w:r>
      <w:r w:rsidRPr="00EE72F1">
        <w:rPr>
          <w:b w:val="0"/>
          <w:sz w:val="24"/>
          <w:szCs w:val="24"/>
        </w:rPr>
        <w:t>consent</w:t>
      </w:r>
      <w:r w:rsidRPr="00F23257">
        <w:rPr>
          <w:b w:val="0"/>
          <w:sz w:val="24"/>
          <w:szCs w:val="24"/>
        </w:rPr>
        <w:t xml:space="preserve"> to the United States’ request for </w:t>
      </w:r>
      <w:r w:rsidRPr="00F23257">
        <w:rPr>
          <w:b w:val="0"/>
          <w:sz w:val="24"/>
          <w:szCs w:val="24"/>
        </w:rPr>
        <w:lastRenderedPageBreak/>
        <w:t xml:space="preserve">intervention.  Counsel for </w:t>
      </w:r>
      <w:r w:rsidR="00EE72F1">
        <w:rPr>
          <w:b w:val="0"/>
          <w:sz w:val="24"/>
          <w:szCs w:val="24"/>
        </w:rPr>
        <w:t xml:space="preserve">Plaintiffs </w:t>
      </w:r>
      <w:r w:rsidR="00DC2D56">
        <w:rPr>
          <w:b w:val="0"/>
          <w:sz w:val="24"/>
          <w:szCs w:val="24"/>
        </w:rPr>
        <w:t xml:space="preserve">indicated that the Plaintiffs </w:t>
      </w:r>
      <w:r w:rsidR="00EE72F1">
        <w:rPr>
          <w:b w:val="0"/>
          <w:sz w:val="24"/>
          <w:szCs w:val="24"/>
        </w:rPr>
        <w:t>consent</w:t>
      </w:r>
      <w:r w:rsidRPr="00F23257">
        <w:rPr>
          <w:b w:val="0"/>
          <w:sz w:val="24"/>
          <w:szCs w:val="24"/>
        </w:rPr>
        <w:t xml:space="preserve"> to the United States’ Motion to Intervene.  </w:t>
      </w:r>
    </w:p>
    <w:p w:rsidR="00CF345F" w:rsidRPr="00F23257" w:rsidRDefault="00CF345F" w:rsidP="00CF345F">
      <w:pPr>
        <w:pStyle w:val="WPTitle"/>
        <w:widowControl/>
        <w:numPr>
          <w:ilvl w:val="0"/>
          <w:numId w:val="1"/>
        </w:numPr>
        <w:spacing w:line="480" w:lineRule="auto"/>
        <w:ind w:left="90" w:firstLine="0"/>
        <w:jc w:val="left"/>
        <w:rPr>
          <w:szCs w:val="24"/>
          <w:lang w:val="en-CA"/>
        </w:rPr>
      </w:pPr>
      <w:r w:rsidRPr="00F23257">
        <w:rPr>
          <w:b w:val="0"/>
          <w:sz w:val="24"/>
          <w:szCs w:val="24"/>
        </w:rPr>
        <w:t xml:space="preserve">As further support for this Motion, the United </w:t>
      </w:r>
      <w:r>
        <w:rPr>
          <w:b w:val="0"/>
          <w:sz w:val="24"/>
          <w:szCs w:val="24"/>
        </w:rPr>
        <w:t>States respectfully directs the</w:t>
      </w:r>
      <w:r w:rsidRPr="00F23257">
        <w:rPr>
          <w:b w:val="0"/>
          <w:sz w:val="24"/>
          <w:szCs w:val="24"/>
        </w:rPr>
        <w:t xml:space="preserve"> Court to the following Memorandum of Law, which is attached hereto and incorporated herein by reference.  </w:t>
      </w:r>
    </w:p>
    <w:p w:rsidR="00CF345F" w:rsidRPr="00DF0F8D" w:rsidRDefault="00F94024" w:rsidP="00CF345F">
      <w:pPr>
        <w:jc w:val="center"/>
        <w:rPr>
          <w:b/>
          <w:bCs/>
          <w:szCs w:val="24"/>
        </w:rPr>
      </w:pPr>
      <w:r w:rsidRPr="00DF0F8D">
        <w:rPr>
          <w:szCs w:val="24"/>
          <w:lang w:val="en-CA"/>
        </w:rPr>
        <w:fldChar w:fldCharType="begin"/>
      </w:r>
      <w:r w:rsidR="00CF345F" w:rsidRPr="00DF0F8D">
        <w:rPr>
          <w:szCs w:val="24"/>
          <w:lang w:val="en-CA"/>
        </w:rPr>
        <w:instrText xml:space="preserve"> SEQ CHAPTER \h \r 1</w:instrText>
      </w:r>
      <w:r w:rsidRPr="00DF0F8D">
        <w:rPr>
          <w:szCs w:val="24"/>
          <w:lang w:val="en-CA"/>
        </w:rPr>
        <w:fldChar w:fldCharType="end"/>
      </w:r>
      <w:r w:rsidR="00CF345F" w:rsidRPr="00DF0F8D">
        <w:rPr>
          <w:b/>
          <w:bCs/>
          <w:szCs w:val="24"/>
        </w:rPr>
        <w:t>MEMORANDUM OF LAW IN SUPPORT OF</w:t>
      </w:r>
    </w:p>
    <w:p w:rsidR="00CF345F" w:rsidRPr="00CF345F" w:rsidRDefault="00CF345F" w:rsidP="00CF345F">
      <w:pPr>
        <w:jc w:val="center"/>
        <w:rPr>
          <w:b/>
          <w:u w:val="single"/>
        </w:rPr>
      </w:pPr>
      <w:r w:rsidRPr="00872B5D">
        <w:rPr>
          <w:b/>
          <w:bCs/>
          <w:szCs w:val="24"/>
          <w:u w:val="single"/>
        </w:rPr>
        <w:t xml:space="preserve">UNITED STATES’ MOTION TO INTERVENE </w:t>
      </w:r>
      <w:r>
        <w:rPr>
          <w:b/>
          <w:u w:val="single"/>
        </w:rPr>
        <w:br/>
      </w:r>
    </w:p>
    <w:p w:rsidR="0016507D" w:rsidRPr="002C195D" w:rsidRDefault="0016507D" w:rsidP="00D50828">
      <w:pPr>
        <w:pStyle w:val="SectionHeading"/>
      </w:pPr>
      <w:bookmarkStart w:id="0" w:name="_Toc133239430"/>
      <w:bookmarkStart w:id="1" w:name="_Toc133240747"/>
      <w:bookmarkStart w:id="2" w:name="_Toc266446345"/>
      <w:r w:rsidRPr="002C195D">
        <w:t>INTRODUCTION</w:t>
      </w:r>
      <w:bookmarkEnd w:id="0"/>
      <w:bookmarkEnd w:id="1"/>
      <w:bookmarkEnd w:id="2"/>
    </w:p>
    <w:p w:rsidR="0016507D" w:rsidRPr="002C195D" w:rsidRDefault="0016507D" w:rsidP="0016507D">
      <w:pPr>
        <w:jc w:val="center"/>
        <w:rPr>
          <w:b/>
          <w:u w:val="single"/>
        </w:rPr>
      </w:pPr>
    </w:p>
    <w:p w:rsidR="00CF345F" w:rsidRDefault="0016507D" w:rsidP="00FF6289">
      <w:pPr>
        <w:spacing w:line="480" w:lineRule="auto"/>
      </w:pPr>
      <w:r w:rsidRPr="002C195D">
        <w:tab/>
        <w:t xml:space="preserve">The United States files this Memorandum in Support of its Motion to Intervene </w:t>
      </w:r>
      <w:r w:rsidR="00832BB6">
        <w:t>to</w:t>
      </w:r>
      <w:r w:rsidR="00D8027A">
        <w:t xml:space="preserve"> remedy </w:t>
      </w:r>
      <w:r w:rsidRPr="002C195D">
        <w:t>vi</w:t>
      </w:r>
      <w:r w:rsidR="00BB009D">
        <w:t xml:space="preserve">olations of the State of Texas’ </w:t>
      </w:r>
      <w:r w:rsidRPr="002C195D">
        <w:t xml:space="preserve">obligations under Title II of the Americans with Disabilities Act (“Title II” and “ADA”), </w:t>
      </w:r>
      <w:r w:rsidRPr="002C195D">
        <w:rPr>
          <w:szCs w:val="24"/>
        </w:rPr>
        <w:t xml:space="preserve">42 U.S.C. §§ 12131-12134, </w:t>
      </w:r>
      <w:r w:rsidR="00832BB6">
        <w:rPr>
          <w:szCs w:val="24"/>
        </w:rPr>
        <w:t xml:space="preserve">and </w:t>
      </w:r>
      <w:r w:rsidRPr="002C195D">
        <w:rPr>
          <w:szCs w:val="24"/>
        </w:rPr>
        <w:t>Section 504 of the Rehabilitation Act, 29 U.S.</w:t>
      </w:r>
      <w:r w:rsidR="009A5DC7">
        <w:rPr>
          <w:szCs w:val="24"/>
        </w:rPr>
        <w:t>C. §</w:t>
      </w:r>
      <w:r w:rsidR="00C3431D">
        <w:rPr>
          <w:szCs w:val="24"/>
        </w:rPr>
        <w:t xml:space="preserve"> </w:t>
      </w:r>
      <w:r w:rsidR="009A5DC7">
        <w:rPr>
          <w:szCs w:val="24"/>
        </w:rPr>
        <w:t>794</w:t>
      </w:r>
      <w:r w:rsidRPr="002C195D">
        <w:rPr>
          <w:szCs w:val="24"/>
        </w:rPr>
        <w:t xml:space="preserve"> </w:t>
      </w:r>
      <w:r w:rsidRPr="00BA0DB1">
        <w:rPr>
          <w:i/>
          <w:szCs w:val="24"/>
        </w:rPr>
        <w:t>et seq</w:t>
      </w:r>
      <w:r w:rsidR="00FF6289">
        <w:t>.</w:t>
      </w:r>
      <w:r w:rsidR="00FB145D">
        <w:rPr>
          <w:rStyle w:val="FootnoteReference"/>
        </w:rPr>
        <w:footnoteReference w:id="1"/>
      </w:r>
      <w:r w:rsidR="00FB145D" w:rsidRPr="002C195D">
        <w:t xml:space="preserve"> </w:t>
      </w:r>
      <w:r w:rsidRPr="002C195D">
        <w:t xml:space="preserve"> </w:t>
      </w:r>
      <w:r w:rsidR="00CF345F">
        <w:t>The proposed Complaint in Intervention alleges that the</w:t>
      </w:r>
      <w:r w:rsidRPr="002C195D">
        <w:t xml:space="preserve"> State of Texas</w:t>
      </w:r>
      <w:r w:rsidR="00832BB6">
        <w:t xml:space="preserve"> unnecessarily segregates individuals with developmental </w:t>
      </w:r>
      <w:r w:rsidR="00D8027A">
        <w:t>disabilities in nursing facilities and places them at risk of placement</w:t>
      </w:r>
      <w:r w:rsidR="00114385">
        <w:t xml:space="preserve"> therein</w:t>
      </w:r>
      <w:r w:rsidR="00D8027A">
        <w:t xml:space="preserve">.  </w:t>
      </w:r>
      <w:r w:rsidR="001E7753">
        <w:t>(</w:t>
      </w:r>
      <w:r w:rsidR="001E7753" w:rsidRPr="001E7753">
        <w:rPr>
          <w:i/>
        </w:rPr>
        <w:t>See</w:t>
      </w:r>
      <w:r w:rsidR="001E7753">
        <w:t xml:space="preserve"> United States’ Complaint in Intervention, attached as Exhibit 1.)</w:t>
      </w:r>
    </w:p>
    <w:p w:rsidR="00CF345F" w:rsidRDefault="00CF345F" w:rsidP="00CF345F">
      <w:pPr>
        <w:spacing w:line="480" w:lineRule="auto"/>
        <w:ind w:firstLine="720"/>
      </w:pPr>
      <w:r>
        <w:t>Congress enacted the ADA in 1990 “to provide a clear and comprehensive mandate for the elimination of discrimination against individuals with disabilities.”</w:t>
      </w:r>
      <w:r w:rsidR="009E1E50">
        <w:t xml:space="preserve"> </w:t>
      </w:r>
      <w:r>
        <w:t xml:space="preserve"> 42 U.S.C. § 12101</w:t>
      </w:r>
      <w:r w:rsidR="00F94024">
        <w:fldChar w:fldCharType="begin"/>
      </w:r>
      <w:r>
        <w:instrText xml:space="preserve"> TA \l "42 U.S.C. § 12101" \s "42 U.S.C. § 12101" \c 2 </w:instrText>
      </w:r>
      <w:r w:rsidR="00F94024">
        <w:fldChar w:fldCharType="end"/>
      </w:r>
      <w:r>
        <w:t>(b)(1).  As Congress stated in the Findings and Purposes of the ADA, “historically, society has tended to isolate and segregate individuals with disabilities, and, despite some improvements, such forms of discrimination against individuals with disabilities continue to be a serious and pervas</w:t>
      </w:r>
      <w:r w:rsidR="00DC2D56">
        <w:t>ive social problem.”  42 U.S.C.</w:t>
      </w:r>
      <w:r w:rsidR="008F7E6A">
        <w:t xml:space="preserve"> </w:t>
      </w:r>
      <w:r w:rsidRPr="008F7E6A">
        <w:t>§</w:t>
      </w:r>
      <w:r w:rsidR="00DC2D56">
        <w:t> </w:t>
      </w:r>
      <w:r>
        <w:t>12101</w:t>
      </w:r>
      <w:r w:rsidR="00F94024">
        <w:fldChar w:fldCharType="begin"/>
      </w:r>
      <w:r>
        <w:instrText xml:space="preserve"> TA \s "42 U.S.C. § 12101" </w:instrText>
      </w:r>
      <w:r w:rsidR="00F94024">
        <w:fldChar w:fldCharType="end"/>
      </w:r>
      <w:r>
        <w:t xml:space="preserve">(a)(2).  For these reasons, Congress prohibited discrimination against individuals with disabilities by public entities, including discrimination in the form of segregation.  </w:t>
      </w:r>
      <w:r w:rsidRPr="00075B20">
        <w:rPr>
          <w:i/>
        </w:rPr>
        <w:t>Olmstead v. L.C.</w:t>
      </w:r>
      <w:r>
        <w:rPr>
          <w:i/>
        </w:rPr>
        <w:t xml:space="preserve">, </w:t>
      </w:r>
      <w:r>
        <w:t>527 U.S. 581, 588 (1999)</w:t>
      </w:r>
      <w:r w:rsidR="00F94024">
        <w:fldChar w:fldCharType="begin"/>
      </w:r>
      <w:r>
        <w:instrText xml:space="preserve"> TA \l "</w:instrText>
      </w:r>
      <w:r w:rsidRPr="00075B20">
        <w:rPr>
          <w:i/>
        </w:rPr>
        <w:instrText>Olmstead v. L.C.</w:instrText>
      </w:r>
      <w:r>
        <w:rPr>
          <w:i/>
        </w:rPr>
        <w:instrText xml:space="preserve">, </w:instrText>
      </w:r>
      <w:r>
        <w:instrText xml:space="preserve">527 U.S. 581 (1999)" \s "Olmstead" \c 1 </w:instrText>
      </w:r>
      <w:r w:rsidR="00F94024">
        <w:fldChar w:fldCharType="end"/>
      </w:r>
      <w:r>
        <w:t xml:space="preserve">.  </w:t>
      </w:r>
    </w:p>
    <w:p w:rsidR="00CF345F" w:rsidRDefault="00CF345F" w:rsidP="00CF345F">
      <w:pPr>
        <w:spacing w:line="480" w:lineRule="auto"/>
        <w:ind w:firstLine="720"/>
      </w:pPr>
      <w:r>
        <w:t>Congress sought “clear, strong, consistent, enforceable standards addressing discrimination against individuals with disabilities,” 42 U.S.C. § 12101(b)(2), and explicitly stated that one of the purposes of the ADA was “to ensure that the Federal Government plays a central role in enforcing the standards established [in the Act] on behalf of individuals with disabilities</w:t>
      </w:r>
      <w:r w:rsidR="009E1E50">
        <w:t xml:space="preserve"> . . . .</w:t>
      </w:r>
      <w:r>
        <w:t>”</w:t>
      </w:r>
      <w:r w:rsidR="009E1E50">
        <w:t xml:space="preserve"> </w:t>
      </w:r>
      <w:r>
        <w:t xml:space="preserve"> 42 U.S.C. § 12101(b)(3).  The United States’ prominent enforcement role is reflected in the statutory authorization given the Attorney General to commence a legal action when discrimination prohibited by the ADA takes place. </w:t>
      </w:r>
      <w:r w:rsidR="009E1E50">
        <w:t xml:space="preserve"> </w:t>
      </w:r>
      <w:r>
        <w:t>42 U.S.C. § 12133.</w:t>
      </w:r>
    </w:p>
    <w:p w:rsidR="00CF345F" w:rsidRDefault="00CF345F" w:rsidP="00CF345F">
      <w:pPr>
        <w:spacing w:line="480" w:lineRule="auto"/>
        <w:ind w:firstLine="720"/>
      </w:pPr>
      <w:r>
        <w:t xml:space="preserve">The Department of Justice </w:t>
      </w:r>
      <w:r w:rsidR="00F40724">
        <w:t xml:space="preserve">(“Department”) </w:t>
      </w:r>
      <w:r>
        <w:t>thus has a unique role</w:t>
      </w:r>
      <w:r w:rsidR="009E1E50">
        <w:t xml:space="preserve"> in enforcing and interpreting T</w:t>
      </w:r>
      <w:r>
        <w:t xml:space="preserve">itle II and its implementing regulations on behalf of the broad public interest. This case directly implicates the United States’ interest in enforcing </w:t>
      </w:r>
      <w:r w:rsidR="009E1E50">
        <w:t>T</w:t>
      </w:r>
      <w:r>
        <w:t xml:space="preserve">itle II of the ADA and the Department’s goal of ensuring that the integration mandate of </w:t>
      </w:r>
      <w:r w:rsidRPr="007D276B">
        <w:rPr>
          <w:i/>
        </w:rPr>
        <w:t>Olmstead</w:t>
      </w:r>
      <w:r>
        <w:t xml:space="preserve"> is met. </w:t>
      </w:r>
      <w:r w:rsidR="009E1E50">
        <w:t xml:space="preserve"> </w:t>
      </w:r>
      <w:r>
        <w:t xml:space="preserve">The United States also has a substantial interest in ensuring that recipients of federal financial assistance, such as the </w:t>
      </w:r>
      <w:r w:rsidR="00EE72F1">
        <w:t>State of Texas</w:t>
      </w:r>
      <w:r w:rsidR="00DC2D56">
        <w:t>, do not violate Section 504 of the Rehabilitation Act’s</w:t>
      </w:r>
      <w:r>
        <w:t xml:space="preserve"> similar prohibition of disability discrimination.</w:t>
      </w:r>
    </w:p>
    <w:p w:rsidR="008C6F37" w:rsidRDefault="00CF345F" w:rsidP="00CF345F">
      <w:pPr>
        <w:spacing w:line="480" w:lineRule="auto"/>
        <w:ind w:firstLine="720"/>
      </w:pPr>
      <w:r>
        <w:t xml:space="preserve">The private lawsuit was filed on December 20, 2010.  </w:t>
      </w:r>
      <w:r w:rsidR="0016507D" w:rsidRPr="002C195D">
        <w:t xml:space="preserve">The </w:t>
      </w:r>
      <w:r w:rsidR="00D8027A">
        <w:t xml:space="preserve">individually named </w:t>
      </w:r>
      <w:r w:rsidR="00A66BED">
        <w:t>p</w:t>
      </w:r>
      <w:r w:rsidR="00EE72F1">
        <w:t>laintiff</w:t>
      </w:r>
      <w:r w:rsidR="00D8027A">
        <w:t xml:space="preserve">s seek to represent </w:t>
      </w:r>
      <w:r w:rsidR="0016507D" w:rsidRPr="002C195D">
        <w:t>a statewide class of</w:t>
      </w:r>
      <w:r w:rsidR="00D8027A">
        <w:t xml:space="preserve"> approximately 4,500</w:t>
      </w:r>
      <w:r w:rsidR="0016507D" w:rsidRPr="002C195D">
        <w:t xml:space="preserve"> Medicaid-eligible </w:t>
      </w:r>
      <w:r w:rsidR="0016507D" w:rsidRPr="00F40724">
        <w:t xml:space="preserve">individuals over twenty-one years of age with developmental disabilities who currently or </w:t>
      </w:r>
      <w:r w:rsidR="0016507D" w:rsidRPr="00DC2D56">
        <w:t>will in the future resi</w:t>
      </w:r>
      <w:r w:rsidR="000B776D" w:rsidRPr="00DC2D56">
        <w:t>de in nursing facilities</w:t>
      </w:r>
      <w:r w:rsidR="00985DBE" w:rsidRPr="00DC2D56">
        <w:t xml:space="preserve"> </w:t>
      </w:r>
      <w:r w:rsidR="00985DBE" w:rsidRPr="00DC2D56">
        <w:rPr>
          <w:spacing w:val="-3"/>
          <w:szCs w:val="24"/>
        </w:rPr>
        <w:t>or who are being, will be, or should be screened</w:t>
      </w:r>
      <w:r w:rsidR="00985DBE" w:rsidRPr="00AC1A30">
        <w:rPr>
          <w:spacing w:val="-3"/>
          <w:szCs w:val="24"/>
        </w:rPr>
        <w:t xml:space="preserve"> for admission to nursing facilities</w:t>
      </w:r>
      <w:r w:rsidR="00CB2D54">
        <w:t xml:space="preserve"> under </w:t>
      </w:r>
      <w:r w:rsidR="00985DBE" w:rsidRPr="00CC6133">
        <w:rPr>
          <w:spacing w:val="-3"/>
          <w:szCs w:val="24"/>
        </w:rPr>
        <w:t xml:space="preserve">42 U.S.C. § 1396r(e)(7) and 42 C.F.R. </w:t>
      </w:r>
      <w:r w:rsidR="00F40724">
        <w:rPr>
          <w:spacing w:val="-3"/>
          <w:szCs w:val="24"/>
        </w:rPr>
        <w:t>§</w:t>
      </w:r>
      <w:r w:rsidR="00D14DAF">
        <w:rPr>
          <w:spacing w:val="-3"/>
          <w:szCs w:val="24"/>
        </w:rPr>
        <w:t> </w:t>
      </w:r>
      <w:r w:rsidR="00985DBE" w:rsidRPr="00CC6133">
        <w:rPr>
          <w:spacing w:val="-3"/>
          <w:szCs w:val="24"/>
        </w:rPr>
        <w:t xml:space="preserve">483.112 </w:t>
      </w:r>
      <w:r w:rsidR="00985DBE" w:rsidRPr="00CC6133">
        <w:rPr>
          <w:i/>
          <w:spacing w:val="-3"/>
          <w:szCs w:val="24"/>
        </w:rPr>
        <w:t>et seq</w:t>
      </w:r>
      <w:r w:rsidR="00985DBE" w:rsidRPr="00CC6133">
        <w:rPr>
          <w:spacing w:val="-3"/>
          <w:szCs w:val="24"/>
        </w:rPr>
        <w:t>.</w:t>
      </w:r>
      <w:r w:rsidR="00D8027A">
        <w:rPr>
          <w:spacing w:val="-3"/>
          <w:szCs w:val="24"/>
        </w:rPr>
        <w:t xml:space="preserve"> (collectively, “Plaintiffs”).</w:t>
      </w:r>
      <w:r w:rsidR="00985DBE">
        <w:rPr>
          <w:spacing w:val="-3"/>
          <w:szCs w:val="24"/>
        </w:rPr>
        <w:t xml:space="preserve">  </w:t>
      </w:r>
      <w:r w:rsidR="00F04FCF">
        <w:t>The State’s failure to provide</w:t>
      </w:r>
      <w:r w:rsidR="00F04FCF" w:rsidRPr="002C195D">
        <w:t xml:space="preserve"> services</w:t>
      </w:r>
      <w:r w:rsidR="00F04FCF">
        <w:t xml:space="preserve"> in the most integrated setting appropriate to the individuals’ needs</w:t>
      </w:r>
      <w:r w:rsidR="00F04FCF" w:rsidRPr="002C195D">
        <w:t xml:space="preserve"> leaves </w:t>
      </w:r>
      <w:r w:rsidR="00F04FCF">
        <w:t>Plaintiffs</w:t>
      </w:r>
      <w:r w:rsidR="00F04FCF" w:rsidRPr="002C195D">
        <w:t xml:space="preserve"> </w:t>
      </w:r>
      <w:r w:rsidR="00F04FCF">
        <w:t xml:space="preserve">with no choice but to remain </w:t>
      </w:r>
      <w:r w:rsidR="00F04FCF" w:rsidRPr="002C195D">
        <w:t xml:space="preserve">unnecessarily </w:t>
      </w:r>
      <w:r w:rsidR="00F04FCF">
        <w:t>in nursing facilities</w:t>
      </w:r>
      <w:r w:rsidR="00F04FCF" w:rsidRPr="002C195D">
        <w:t xml:space="preserve"> or at </w:t>
      </w:r>
      <w:r w:rsidR="00F04FCF">
        <w:t>risk of such segregation</w:t>
      </w:r>
      <w:r w:rsidR="00F04FCF" w:rsidRPr="002C195D">
        <w:t xml:space="preserve"> in order to receive necessary services, in violation of the ADA and </w:t>
      </w:r>
      <w:r w:rsidR="00D14DAF">
        <w:t xml:space="preserve">Section </w:t>
      </w:r>
      <w:r w:rsidR="00F04FCF" w:rsidRPr="002C195D">
        <w:t>504</w:t>
      </w:r>
      <w:r w:rsidR="00DC2D56">
        <w:t xml:space="preserve"> of the Rehabilitation Act</w:t>
      </w:r>
      <w:r w:rsidR="00F04FCF" w:rsidRPr="002C195D">
        <w:t xml:space="preserve">. </w:t>
      </w:r>
      <w:r w:rsidR="00F04FCF">
        <w:t xml:space="preserve"> </w:t>
      </w:r>
      <w:r w:rsidR="00F04FCF" w:rsidRPr="002C195D">
        <w:rPr>
          <w:i/>
        </w:rPr>
        <w:t>See Olmstead</w:t>
      </w:r>
      <w:r w:rsidR="008F7E6A">
        <w:t>,</w:t>
      </w:r>
      <w:r w:rsidR="00F04FCF" w:rsidRPr="002C195D">
        <w:rPr>
          <w:i/>
        </w:rPr>
        <w:t xml:space="preserve"> </w:t>
      </w:r>
      <w:r w:rsidR="00A66BED">
        <w:t xml:space="preserve">527 U.S. </w:t>
      </w:r>
      <w:r w:rsidR="00F40724" w:rsidRPr="00F40724">
        <w:t>at</w:t>
      </w:r>
      <w:r w:rsidR="00F04FCF" w:rsidRPr="00F40724">
        <w:t xml:space="preserve"> </w:t>
      </w:r>
      <w:r w:rsidR="00F40724">
        <w:t>607</w:t>
      </w:r>
      <w:r w:rsidR="00F94024" w:rsidRPr="002C195D">
        <w:fldChar w:fldCharType="begin"/>
      </w:r>
      <w:r w:rsidR="00F04FCF" w:rsidRPr="002C195D">
        <w:instrText xml:space="preserve"> TA \l "</w:instrText>
      </w:r>
      <w:r w:rsidR="00F04FCF" w:rsidRPr="002C195D">
        <w:rPr>
          <w:i/>
        </w:rPr>
        <w:instrText>Olmstead v. L.C</w:instrText>
      </w:r>
      <w:r w:rsidR="00F04FCF" w:rsidRPr="002C195D">
        <w:instrText xml:space="preserve">. 527 U.S. 581 at 607 (1999)" \s "Olmstead" \c 1 </w:instrText>
      </w:r>
      <w:r w:rsidR="00F94024" w:rsidRPr="002C195D">
        <w:fldChar w:fldCharType="end"/>
      </w:r>
      <w:r w:rsidR="00F04FCF" w:rsidRPr="002C195D">
        <w:t xml:space="preserve">.  </w:t>
      </w:r>
      <w:r w:rsidR="00F04FCF">
        <w:t>The State, despite having an array of community-based services for individuals with developmental disabilities, has not given nursing facility residents with developmental disabilities a reasonable opportunity to have their needs met for residential and habilitation services in the community rather than in a nursing facility.  T</w:t>
      </w:r>
      <w:r w:rsidR="00F04FCF" w:rsidRPr="002C195D">
        <w:t xml:space="preserve">he United States has a significant interest in </w:t>
      </w:r>
      <w:r w:rsidR="00F04FCF">
        <w:t xml:space="preserve">this matter </w:t>
      </w:r>
      <w:r w:rsidR="00F04FCF" w:rsidRPr="002C195D">
        <w:t xml:space="preserve">and therefore respectfully requests </w:t>
      </w:r>
      <w:r w:rsidR="00F04FCF">
        <w:t xml:space="preserve">intervention as a plaintiff.  </w:t>
      </w:r>
      <w:r w:rsidR="00F04FCF" w:rsidRPr="002C195D">
        <w:t xml:space="preserve"> </w:t>
      </w:r>
    </w:p>
    <w:bookmarkStart w:id="3" w:name="_Toc133239433"/>
    <w:bookmarkStart w:id="4" w:name="_Toc133240750"/>
    <w:p w:rsidR="00793F98" w:rsidRDefault="00F94024" w:rsidP="00F04FCF">
      <w:pPr>
        <w:spacing w:line="480" w:lineRule="auto"/>
        <w:ind w:firstLine="720"/>
      </w:pPr>
      <w:r>
        <w:rPr>
          <w:szCs w:val="24"/>
          <w:lang w:val="en-CA"/>
        </w:rPr>
        <w:fldChar w:fldCharType="begin"/>
      </w:r>
      <w:r w:rsidR="00F04FCF">
        <w:rPr>
          <w:szCs w:val="24"/>
          <w:lang w:val="en-CA"/>
        </w:rPr>
        <w:instrText xml:space="preserve"> SEQ CHAPTER \h \r 1</w:instrText>
      </w:r>
      <w:r>
        <w:rPr>
          <w:szCs w:val="24"/>
          <w:lang w:val="en-CA"/>
        </w:rPr>
        <w:fldChar w:fldCharType="end"/>
      </w:r>
      <w:r w:rsidR="00F04FCF">
        <w:rPr>
          <w:szCs w:val="24"/>
        </w:rPr>
        <w:t>On January 6, 2010, Plaintiffs filed a</w:t>
      </w:r>
      <w:r w:rsidR="00F40724">
        <w:rPr>
          <w:szCs w:val="24"/>
        </w:rPr>
        <w:t xml:space="preserve"> Motion for Class Certification.  O</w:t>
      </w:r>
      <w:r w:rsidR="00F04FCF">
        <w:rPr>
          <w:szCs w:val="24"/>
        </w:rPr>
        <w:t xml:space="preserve">n February 23, 2011, the parties filed a Joint Motion for Protective Order and on March 8, 2011, Defendants moved for partial dismissal of Plaintiffs’ Complaint.  These motions remain pending.  The Court has not entered a scheduling order and accordingly, discovery has not </w:t>
      </w:r>
      <w:r w:rsidR="00F04FCF" w:rsidRPr="00DC2D56">
        <w:rPr>
          <w:szCs w:val="24"/>
        </w:rPr>
        <w:t>commenced</w:t>
      </w:r>
      <w:r w:rsidR="00793F98" w:rsidRPr="00DC2D56">
        <w:rPr>
          <w:szCs w:val="24"/>
        </w:rPr>
        <w:t xml:space="preserve"> </w:t>
      </w:r>
      <w:r w:rsidR="00F04FCF" w:rsidRPr="00DC2D56">
        <w:rPr>
          <w:szCs w:val="24"/>
        </w:rPr>
        <w:t>and the proceedings are at an early stage.</w:t>
      </w:r>
      <w:r w:rsidR="0016507D" w:rsidRPr="002C195D">
        <w:t xml:space="preserve"> </w:t>
      </w:r>
      <w:bookmarkStart w:id="5" w:name="_Toc266446350"/>
    </w:p>
    <w:p w:rsidR="00DC2D56" w:rsidRDefault="00DC2D56" w:rsidP="00F04FCF">
      <w:pPr>
        <w:spacing w:line="480" w:lineRule="auto"/>
        <w:ind w:firstLine="720"/>
      </w:pPr>
    </w:p>
    <w:p w:rsidR="00DC2D56" w:rsidRDefault="00DC2D56" w:rsidP="00F04FCF">
      <w:pPr>
        <w:spacing w:line="480" w:lineRule="auto"/>
        <w:ind w:firstLine="720"/>
      </w:pPr>
    </w:p>
    <w:p w:rsidR="0016507D" w:rsidRPr="00793F98" w:rsidRDefault="0016507D" w:rsidP="00793F98">
      <w:pPr>
        <w:spacing w:line="480" w:lineRule="auto"/>
        <w:jc w:val="center"/>
        <w:rPr>
          <w:b/>
        </w:rPr>
      </w:pPr>
      <w:r w:rsidRPr="00793F98">
        <w:rPr>
          <w:b/>
        </w:rPr>
        <w:t>ARGUMENT</w:t>
      </w:r>
      <w:bookmarkEnd w:id="3"/>
      <w:bookmarkEnd w:id="4"/>
      <w:bookmarkEnd w:id="5"/>
    </w:p>
    <w:p w:rsidR="0016507D" w:rsidRDefault="0016507D" w:rsidP="0016507D">
      <w:pPr>
        <w:spacing w:line="480" w:lineRule="auto"/>
        <w:ind w:firstLine="720"/>
      </w:pPr>
      <w:r w:rsidRPr="002C195D">
        <w:t>Rule 24 of the Federal Rules of Civil Procedure provides for two means by which an applicant may intervene in an action: intervention of right, governed by subsection (a), and permissive intervention, governed by subsection (b).  As discussed below, the United States satisfies both standards.</w:t>
      </w:r>
    </w:p>
    <w:p w:rsidR="0016507D" w:rsidRPr="002C195D" w:rsidRDefault="0016507D" w:rsidP="0016507D">
      <w:pPr>
        <w:pStyle w:val="Subsection1"/>
        <w:numPr>
          <w:ilvl w:val="0"/>
          <w:numId w:val="7"/>
        </w:numPr>
      </w:pPr>
      <w:bookmarkStart w:id="6" w:name="_Toc266446351"/>
      <w:r w:rsidRPr="002C195D">
        <w:t>Intervention of Right</w:t>
      </w:r>
      <w:bookmarkEnd w:id="6"/>
    </w:p>
    <w:p w:rsidR="0016507D" w:rsidRPr="002C195D" w:rsidRDefault="0016507D" w:rsidP="0016507D">
      <w:pPr>
        <w:rPr>
          <w:b/>
          <w:u w:val="single"/>
        </w:rPr>
      </w:pPr>
    </w:p>
    <w:p w:rsidR="0016507D" w:rsidRPr="002C195D" w:rsidRDefault="00F40724" w:rsidP="0016507D">
      <w:pPr>
        <w:spacing w:line="480" w:lineRule="auto"/>
        <w:ind w:firstLine="720"/>
      </w:pPr>
      <w:r w:rsidRPr="002C195D">
        <w:t>Fed. R. Civ. P. 24</w:t>
      </w:r>
      <w:r w:rsidR="00F94024" w:rsidRPr="002C195D">
        <w:fldChar w:fldCharType="begin"/>
      </w:r>
      <w:r w:rsidRPr="002C195D">
        <w:instrText xml:space="preserve"> TA \s "Fed. R. Civ. P. 24" </w:instrText>
      </w:r>
      <w:r w:rsidR="00F94024" w:rsidRPr="002C195D">
        <w:fldChar w:fldCharType="end"/>
      </w:r>
      <w:r>
        <w:t xml:space="preserve">(a)(2) </w:t>
      </w:r>
      <w:r w:rsidR="0016507D" w:rsidRPr="002C195D">
        <w:t>provides that upon timely application, anyone shall be permitted to intervene in an action:</w:t>
      </w:r>
    </w:p>
    <w:p w:rsidR="0016507D" w:rsidRPr="002C195D" w:rsidRDefault="0016507D" w:rsidP="0016507D">
      <w:pPr>
        <w:ind w:left="720" w:right="720"/>
        <w:jc w:val="both"/>
      </w:pPr>
      <w:r w:rsidRPr="002C195D">
        <w:t>When the applicant claims an interest relating to the property or transaction which is the subject of the action and the applicant is so situated that the disposition of the action may as a practical matter impair or impede the applicant’s ability to protect that interest, unless the applicant’s interest is adequately represented by existing parties.</w:t>
      </w:r>
    </w:p>
    <w:p w:rsidR="0016507D" w:rsidRPr="002C195D" w:rsidRDefault="0016507D" w:rsidP="0016507D">
      <w:pPr>
        <w:ind w:firstLine="360"/>
      </w:pPr>
    </w:p>
    <w:p w:rsidR="0016507D" w:rsidRPr="002C195D" w:rsidRDefault="0016507D" w:rsidP="0016507D">
      <w:pPr>
        <w:numPr>
          <w:ilvl w:val="12"/>
          <w:numId w:val="0"/>
        </w:numPr>
        <w:tabs>
          <w:tab w:val="left" w:pos="721"/>
        </w:tabs>
        <w:spacing w:line="480" w:lineRule="auto"/>
        <w:rPr>
          <w:szCs w:val="24"/>
        </w:rPr>
      </w:pPr>
      <w:r w:rsidRPr="002C195D">
        <w:rPr>
          <w:szCs w:val="24"/>
        </w:rPr>
        <w:t>As construed by the Fifth Circuit, an applicant for intervention of right is entitled to intervention of right when:</w:t>
      </w:r>
    </w:p>
    <w:p w:rsidR="0016507D" w:rsidRPr="002C195D" w:rsidRDefault="0016507D" w:rsidP="0016507D">
      <w:pPr>
        <w:numPr>
          <w:ilvl w:val="12"/>
          <w:numId w:val="0"/>
        </w:numPr>
        <w:tabs>
          <w:tab w:val="left" w:pos="721"/>
        </w:tabs>
        <w:ind w:left="720" w:right="720" w:hanging="720"/>
        <w:jc w:val="both"/>
        <w:rPr>
          <w:szCs w:val="24"/>
        </w:rPr>
      </w:pPr>
      <w:r w:rsidRPr="002C195D">
        <w:rPr>
          <w:szCs w:val="24"/>
        </w:rPr>
        <w:tab/>
        <w:t xml:space="preserve">(1) the motion to intervene is timely; (2) the </w:t>
      </w:r>
      <w:r w:rsidR="00CE1783">
        <w:rPr>
          <w:szCs w:val="24"/>
        </w:rPr>
        <w:t>potential intervener asserts an</w:t>
      </w:r>
      <w:r w:rsidRPr="002C195D">
        <w:rPr>
          <w:szCs w:val="24"/>
        </w:rPr>
        <w:t xml:space="preserve"> interest that is related to the property or transaction that forms the basis of the controversy in the case int</w:t>
      </w:r>
      <w:r w:rsidR="00CE1783">
        <w:rPr>
          <w:szCs w:val="24"/>
        </w:rPr>
        <w:t xml:space="preserve">o which she seeks to intervene; </w:t>
      </w:r>
      <w:r w:rsidRPr="002C195D">
        <w:rPr>
          <w:szCs w:val="24"/>
        </w:rPr>
        <w:t>(3) the disposition of the case may impair or impede the potential intervener’s ability to protect her interest; and (4) the existing parties do not adequately represent the potential intervener’s interest.</w:t>
      </w:r>
    </w:p>
    <w:p w:rsidR="0016507D" w:rsidRPr="002C195D" w:rsidRDefault="0016507D" w:rsidP="0016507D">
      <w:pPr>
        <w:numPr>
          <w:ilvl w:val="12"/>
          <w:numId w:val="0"/>
        </w:numPr>
        <w:tabs>
          <w:tab w:val="left" w:pos="721"/>
        </w:tabs>
        <w:ind w:left="720" w:right="720" w:hanging="720"/>
        <w:jc w:val="both"/>
        <w:rPr>
          <w:szCs w:val="24"/>
        </w:rPr>
      </w:pPr>
    </w:p>
    <w:p w:rsidR="0016507D" w:rsidRPr="002C195D" w:rsidRDefault="0016507D" w:rsidP="004B3984">
      <w:pPr>
        <w:numPr>
          <w:ilvl w:val="12"/>
          <w:numId w:val="0"/>
        </w:numPr>
        <w:tabs>
          <w:tab w:val="left" w:pos="721"/>
        </w:tabs>
        <w:spacing w:line="480" w:lineRule="auto"/>
      </w:pPr>
      <w:r w:rsidRPr="002C195D">
        <w:rPr>
          <w:i/>
          <w:szCs w:val="24"/>
        </w:rPr>
        <w:t>Doe v. Glickman</w:t>
      </w:r>
      <w:r w:rsidRPr="002C195D">
        <w:rPr>
          <w:szCs w:val="24"/>
        </w:rPr>
        <w:t xml:space="preserve">, 256 F.3d 371, 375 (5th Cir. 2001); </w:t>
      </w:r>
      <w:r w:rsidRPr="002C195D">
        <w:rPr>
          <w:i/>
          <w:szCs w:val="24"/>
        </w:rPr>
        <w:t>Sierra Club v. Espy</w:t>
      </w:r>
      <w:r w:rsidRPr="002C195D">
        <w:rPr>
          <w:szCs w:val="24"/>
        </w:rPr>
        <w:t xml:space="preserve">, 18 F.3d 1202, 1204-05 (5th Cir. 1994); </w:t>
      </w:r>
      <w:r w:rsidRPr="002C195D">
        <w:rPr>
          <w:i/>
          <w:szCs w:val="24"/>
        </w:rPr>
        <w:t>Stallworth v. Monsanto Co.</w:t>
      </w:r>
      <w:r w:rsidRPr="002C195D">
        <w:rPr>
          <w:szCs w:val="24"/>
        </w:rPr>
        <w:t xml:space="preserve">, 558 F.2d 257, 263 (5th Cir. 1977).  The courts apply this standard flexibly, “focus[ing] on the particular facts and circumstances surrounding each application.”  </w:t>
      </w:r>
      <w:r w:rsidRPr="002C195D">
        <w:rPr>
          <w:i/>
          <w:szCs w:val="24"/>
        </w:rPr>
        <w:t>Edwards v. City of Houston</w:t>
      </w:r>
      <w:r w:rsidRPr="002C195D">
        <w:rPr>
          <w:szCs w:val="24"/>
        </w:rPr>
        <w:t xml:space="preserve">, 78 F.3d 983, 999 (5th Cir. 1996).  </w:t>
      </w:r>
      <w:r w:rsidR="004B3984">
        <w:rPr>
          <w:szCs w:val="24"/>
        </w:rPr>
        <w:t xml:space="preserve"> T</w:t>
      </w:r>
      <w:r w:rsidRPr="002C195D">
        <w:t xml:space="preserve">he United States’ intervention request satisfies the requirements of Rule 24(a)(2).  </w:t>
      </w:r>
    </w:p>
    <w:p w:rsidR="0016507D" w:rsidRPr="002C195D" w:rsidRDefault="0016507D" w:rsidP="003A5900">
      <w:pPr>
        <w:pStyle w:val="Sub-Subsection1"/>
        <w:numPr>
          <w:ilvl w:val="0"/>
          <w:numId w:val="8"/>
        </w:numPr>
      </w:pPr>
      <w:bookmarkStart w:id="7" w:name="_Toc133239435"/>
      <w:bookmarkStart w:id="8" w:name="_Toc133240752"/>
      <w:bookmarkStart w:id="9" w:name="_Toc266446352"/>
      <w:r w:rsidRPr="00CF4866">
        <w:t>The United</w:t>
      </w:r>
      <w:r w:rsidRPr="002C195D">
        <w:t xml:space="preserve"> States’ Motion for Intervention is Timely</w:t>
      </w:r>
      <w:bookmarkEnd w:id="7"/>
      <w:bookmarkEnd w:id="8"/>
      <w:bookmarkEnd w:id="9"/>
    </w:p>
    <w:p w:rsidR="0016507D" w:rsidRPr="002C195D" w:rsidRDefault="0016507D" w:rsidP="00AD7B9D">
      <w:pPr>
        <w:pStyle w:val="Sub-Subsection1"/>
        <w:numPr>
          <w:ilvl w:val="0"/>
          <w:numId w:val="0"/>
        </w:numPr>
        <w:ind w:left="720"/>
      </w:pPr>
    </w:p>
    <w:p w:rsidR="0016507D" w:rsidRPr="002C195D" w:rsidRDefault="00F40724" w:rsidP="0016507D">
      <w:pPr>
        <w:spacing w:line="480" w:lineRule="auto"/>
        <w:ind w:firstLine="720"/>
        <w:rPr>
          <w:szCs w:val="24"/>
        </w:rPr>
      </w:pPr>
      <w:r>
        <w:rPr>
          <w:szCs w:val="24"/>
        </w:rPr>
        <w:t>The Fifth Circuit Court of Appeals</w:t>
      </w:r>
      <w:r w:rsidR="0016507D" w:rsidRPr="002C195D">
        <w:rPr>
          <w:szCs w:val="24"/>
        </w:rPr>
        <w:t xml:space="preserve"> has </w:t>
      </w:r>
      <w:r w:rsidR="00793F98">
        <w:rPr>
          <w:szCs w:val="24"/>
        </w:rPr>
        <w:t>identified several factors relevant to determining whether a request for intervention is timely</w:t>
      </w:r>
      <w:r w:rsidR="0016507D" w:rsidRPr="002C195D">
        <w:rPr>
          <w:szCs w:val="24"/>
        </w:rPr>
        <w:t>:</w:t>
      </w:r>
    </w:p>
    <w:p w:rsidR="0016507D" w:rsidRPr="002C195D" w:rsidRDefault="0016507D" w:rsidP="0016507D">
      <w:pPr>
        <w:ind w:left="1080" w:right="720"/>
        <w:jc w:val="both"/>
        <w:rPr>
          <w:szCs w:val="24"/>
        </w:rPr>
      </w:pPr>
      <w:r w:rsidRPr="002C195D">
        <w:rPr>
          <w:szCs w:val="24"/>
        </w:rPr>
        <w:t>(1</w:t>
      </w:r>
      <w:r w:rsidRPr="00CF4866">
        <w:rPr>
          <w:szCs w:val="24"/>
        </w:rPr>
        <w:t>) How long</w:t>
      </w:r>
      <w:r w:rsidRPr="002C195D">
        <w:rPr>
          <w:szCs w:val="24"/>
        </w:rPr>
        <w:t xml:space="preserve"> the potential intervener knew or reasonably should have known of her stake in the case into which she seeks to intervene; (2) the prejudice, if any, the existing parties may suffer because the potential intervener failed to intervene when she knew or reasonably should have known of her stake in the case; (3) the prejudice, if any, the potential intervener may suffer if the court does not let her intervene; and (4) any unusual circumstances that weigh in favor of or against a finding of timeliness.</w:t>
      </w:r>
    </w:p>
    <w:p w:rsidR="0016507D" w:rsidRPr="002C195D" w:rsidRDefault="0016507D" w:rsidP="0016507D">
      <w:pPr>
        <w:rPr>
          <w:b/>
          <w:u w:val="single"/>
        </w:rPr>
      </w:pPr>
    </w:p>
    <w:p w:rsidR="00793F98" w:rsidRDefault="0016507D" w:rsidP="003A5900">
      <w:pPr>
        <w:spacing w:line="480" w:lineRule="auto"/>
      </w:pPr>
      <w:r w:rsidRPr="002C195D">
        <w:rPr>
          <w:i/>
          <w:szCs w:val="24"/>
        </w:rPr>
        <w:t>Glickman</w:t>
      </w:r>
      <w:r w:rsidRPr="002C195D">
        <w:rPr>
          <w:szCs w:val="24"/>
        </w:rPr>
        <w:t xml:space="preserve">, 256 F.3d at 376; </w:t>
      </w:r>
      <w:r w:rsidRPr="002C195D">
        <w:rPr>
          <w:i/>
          <w:szCs w:val="24"/>
        </w:rPr>
        <w:t>Sierra Club</w:t>
      </w:r>
      <w:r w:rsidRPr="002C195D">
        <w:rPr>
          <w:szCs w:val="24"/>
        </w:rPr>
        <w:t xml:space="preserve">, 18 F.3d at 1205; </w:t>
      </w:r>
      <w:r w:rsidRPr="002C195D">
        <w:rPr>
          <w:i/>
          <w:szCs w:val="24"/>
        </w:rPr>
        <w:t>Stallworth</w:t>
      </w:r>
      <w:r w:rsidRPr="002C195D">
        <w:rPr>
          <w:szCs w:val="24"/>
        </w:rPr>
        <w:t>, 558 F.2d at 264-66.</w:t>
      </w:r>
      <w:r w:rsidR="003A5900">
        <w:rPr>
          <w:szCs w:val="24"/>
        </w:rPr>
        <w:t xml:space="preserve"> </w:t>
      </w:r>
      <w:r w:rsidRPr="002C195D">
        <w:rPr>
          <w:szCs w:val="24"/>
        </w:rPr>
        <w:t xml:space="preserve"> </w:t>
      </w:r>
      <w:r w:rsidRPr="002C195D">
        <w:rPr>
          <w:rFonts w:eastAsia="Calibri"/>
        </w:rPr>
        <w:t>The Supreme Court has emphasized that “[t]imeliness is to be determined from all the circumstances</w:t>
      </w:r>
      <w:r w:rsidRPr="00AC4115">
        <w:rPr>
          <w:rFonts w:eastAsia="Calibri"/>
        </w:rPr>
        <w:t>.”</w:t>
      </w:r>
      <w:r w:rsidRPr="002C195D">
        <w:rPr>
          <w:rFonts w:eastAsia="Calibri"/>
          <w:color w:val="FF0000"/>
        </w:rPr>
        <w:t xml:space="preserve"> </w:t>
      </w:r>
      <w:r w:rsidRPr="00AC4115">
        <w:rPr>
          <w:rFonts w:eastAsia="Calibri"/>
          <w:i/>
        </w:rPr>
        <w:t>NAACP v. New York</w:t>
      </w:r>
      <w:r w:rsidRPr="00AC4115">
        <w:rPr>
          <w:rFonts w:eastAsia="Calibri"/>
        </w:rPr>
        <w:t>, 413 U.S. 345, 366 (</w:t>
      </w:r>
      <w:r w:rsidRPr="00AC4115">
        <w:rPr>
          <w:rFonts w:eastAsia="Calibri"/>
          <w:szCs w:val="24"/>
        </w:rPr>
        <w:t>1973)</w:t>
      </w:r>
      <w:r w:rsidR="00F94024" w:rsidRPr="00AC4115">
        <w:rPr>
          <w:rFonts w:eastAsia="Calibri"/>
          <w:szCs w:val="24"/>
        </w:rPr>
        <w:fldChar w:fldCharType="begin"/>
      </w:r>
      <w:r w:rsidRPr="00AC4115">
        <w:rPr>
          <w:szCs w:val="24"/>
        </w:rPr>
        <w:instrText xml:space="preserve"> TA \l "</w:instrText>
      </w:r>
      <w:r w:rsidRPr="00AC4115">
        <w:rPr>
          <w:rFonts w:eastAsia="Calibri"/>
          <w:i/>
          <w:szCs w:val="24"/>
        </w:rPr>
        <w:instrText>NAACP v. New York</w:instrText>
      </w:r>
      <w:r w:rsidRPr="00AC4115">
        <w:rPr>
          <w:rFonts w:eastAsia="Calibri"/>
          <w:szCs w:val="24"/>
        </w:rPr>
        <w:instrText>, 413 U.S. 345 (1973)</w:instrText>
      </w:r>
      <w:r w:rsidRPr="00AC4115">
        <w:rPr>
          <w:szCs w:val="24"/>
        </w:rPr>
        <w:instrText xml:space="preserve">" \s "NAACP" \c 1 </w:instrText>
      </w:r>
      <w:r w:rsidR="00F94024" w:rsidRPr="00AC4115">
        <w:rPr>
          <w:rFonts w:eastAsia="Calibri"/>
          <w:szCs w:val="24"/>
        </w:rPr>
        <w:fldChar w:fldCharType="end"/>
      </w:r>
      <w:r w:rsidRPr="00AC4115">
        <w:rPr>
          <w:rFonts w:eastAsia="Calibri"/>
          <w:szCs w:val="24"/>
        </w:rPr>
        <w:t>;</w:t>
      </w:r>
      <w:r w:rsidRPr="002C195D">
        <w:rPr>
          <w:rFonts w:eastAsia="Calibri"/>
          <w:szCs w:val="24"/>
        </w:rPr>
        <w:t xml:space="preserve"> </w:t>
      </w:r>
      <w:r w:rsidRPr="002C195D">
        <w:rPr>
          <w:rFonts w:eastAsia="Calibri"/>
          <w:i/>
          <w:szCs w:val="24"/>
        </w:rPr>
        <w:t xml:space="preserve">see also </w:t>
      </w:r>
      <w:r w:rsidRPr="002C195D">
        <w:rPr>
          <w:i/>
          <w:szCs w:val="24"/>
        </w:rPr>
        <w:t>Edwards</w:t>
      </w:r>
      <w:r w:rsidR="00793F98">
        <w:rPr>
          <w:szCs w:val="24"/>
        </w:rPr>
        <w:t xml:space="preserve">, 78 F.3d at 1000; </w:t>
      </w:r>
      <w:r w:rsidR="00793F98" w:rsidRPr="00793F98">
        <w:rPr>
          <w:i/>
          <w:szCs w:val="24"/>
        </w:rPr>
        <w:t>Di</w:t>
      </w:r>
      <w:r w:rsidR="00793F98" w:rsidRPr="00793F98">
        <w:rPr>
          <w:i/>
        </w:rPr>
        <w:t>az</w:t>
      </w:r>
      <w:r w:rsidR="00793F98" w:rsidRPr="00500BC8">
        <w:rPr>
          <w:i/>
        </w:rPr>
        <w:t xml:space="preserve"> v. Southern Drilling Corp</w:t>
      </w:r>
      <w:r w:rsidR="00793F98" w:rsidRPr="00500BC8">
        <w:t>., 427 F.2d 1118, 1125-26 (5th Cir.</w:t>
      </w:r>
      <w:r w:rsidR="00793F98">
        <w:t xml:space="preserve"> 1970</w:t>
      </w:r>
      <w:r w:rsidR="00793F98" w:rsidRPr="00500BC8">
        <w:t xml:space="preserve">) (motion to intervene more than a year after the action was commenced was timely when there had been no legally significant proceedings other than the completion of discovery and </w:t>
      </w:r>
      <w:r w:rsidR="00793F98">
        <w:t>intervention</w:t>
      </w:r>
      <w:r w:rsidR="00793F98" w:rsidRPr="00500BC8">
        <w:t xml:space="preserve"> would not cause any delay in the pro</w:t>
      </w:r>
      <w:r w:rsidR="00793F98">
        <w:t xml:space="preserve">cess of the overall litigation).  </w:t>
      </w:r>
      <w:r w:rsidRPr="002C195D">
        <w:rPr>
          <w:szCs w:val="24"/>
        </w:rPr>
        <w:t>Timeliness is not based on an absolute measure, nor is it a tool to pun</w:t>
      </w:r>
      <w:r w:rsidR="00D45356">
        <w:rPr>
          <w:szCs w:val="24"/>
        </w:rPr>
        <w:t>ish the tardy would-be interveno</w:t>
      </w:r>
      <w:r w:rsidRPr="002C195D">
        <w:rPr>
          <w:szCs w:val="24"/>
        </w:rPr>
        <w:t>r</w:t>
      </w:r>
      <w:r w:rsidRPr="002C195D">
        <w:rPr>
          <w:i/>
          <w:szCs w:val="24"/>
        </w:rPr>
        <w:t>.  Sierra Club</w:t>
      </w:r>
      <w:r w:rsidRPr="002C195D">
        <w:rPr>
          <w:szCs w:val="24"/>
        </w:rPr>
        <w:t xml:space="preserve">, 18 F.3d at 1205.  Where the original parties will not be prejudiced and “greater justice could be attained,” federal courts should allow intervention. </w:t>
      </w:r>
      <w:r w:rsidR="001209A4">
        <w:rPr>
          <w:szCs w:val="24"/>
        </w:rPr>
        <w:t xml:space="preserve"> </w:t>
      </w:r>
      <w:r w:rsidR="00F40724">
        <w:rPr>
          <w:i/>
          <w:szCs w:val="24"/>
        </w:rPr>
        <w:t>Id.</w:t>
      </w:r>
      <w:r w:rsidR="00793F98">
        <w:rPr>
          <w:i/>
          <w:szCs w:val="24"/>
        </w:rPr>
        <w:t xml:space="preserve"> </w:t>
      </w:r>
    </w:p>
    <w:p w:rsidR="00715423" w:rsidRDefault="00793F98" w:rsidP="00087ED1">
      <w:pPr>
        <w:numPr>
          <w:ilvl w:val="12"/>
          <w:numId w:val="0"/>
        </w:numPr>
        <w:spacing w:line="480" w:lineRule="auto"/>
        <w:ind w:firstLine="720"/>
        <w:rPr>
          <w:szCs w:val="24"/>
        </w:rPr>
      </w:pPr>
      <w:r>
        <w:t xml:space="preserve">Applying these factors to the </w:t>
      </w:r>
      <w:r w:rsidR="00F40724">
        <w:t>instant</w:t>
      </w:r>
      <w:r>
        <w:t xml:space="preserve"> case,</w:t>
      </w:r>
      <w:r w:rsidR="0016507D" w:rsidRPr="002C195D">
        <w:t xml:space="preserve"> the United States’ application for intervention is timely</w:t>
      </w:r>
      <w:r w:rsidR="00087ED1">
        <w:t>.</w:t>
      </w:r>
      <w:r w:rsidR="003A5900">
        <w:t xml:space="preserve"> </w:t>
      </w:r>
      <w:r w:rsidR="00087ED1">
        <w:t xml:space="preserve"> </w:t>
      </w:r>
      <w:r w:rsidR="00715423">
        <w:t xml:space="preserve">The United States’ intervention will not cause any prejudice through delay of the proceedings.  </w:t>
      </w:r>
      <w:r>
        <w:t xml:space="preserve">Since the filing of the initial complaint </w:t>
      </w:r>
      <w:r w:rsidR="003A5900">
        <w:t xml:space="preserve">in </w:t>
      </w:r>
      <w:r>
        <w:t xml:space="preserve">December 2010, </w:t>
      </w:r>
      <w:r w:rsidR="004B3984">
        <w:t xml:space="preserve">the Court has not entered a </w:t>
      </w:r>
      <w:r w:rsidR="00377C01">
        <w:t xml:space="preserve">scheduling order, discovery </w:t>
      </w:r>
      <w:r w:rsidR="004B3984">
        <w:t xml:space="preserve">has not begun and Plaintiffs’ Motion for Class </w:t>
      </w:r>
      <w:r w:rsidR="00377C01">
        <w:t>Certification</w:t>
      </w:r>
      <w:r w:rsidR="00E27E83">
        <w:t>,</w:t>
      </w:r>
      <w:r w:rsidR="004B3984">
        <w:t xml:space="preserve"> Defendants’ </w:t>
      </w:r>
      <w:r w:rsidR="00DC2D56">
        <w:t xml:space="preserve">Partial </w:t>
      </w:r>
      <w:r w:rsidR="004B3984">
        <w:t xml:space="preserve">Motion to Dismiss </w:t>
      </w:r>
      <w:r w:rsidR="00E27E83">
        <w:t>and the parties</w:t>
      </w:r>
      <w:r w:rsidR="00F40724">
        <w:t>’</w:t>
      </w:r>
      <w:r w:rsidR="00E27E83">
        <w:t xml:space="preserve"> Joint Motion for a Protective Order </w:t>
      </w:r>
      <w:r w:rsidR="00377C01">
        <w:t>are</w:t>
      </w:r>
      <w:r w:rsidR="004B3984">
        <w:t xml:space="preserve"> currently pending.</w:t>
      </w:r>
      <w:r w:rsidR="00715423">
        <w:t xml:space="preserve">  The United States </w:t>
      </w:r>
      <w:r w:rsidR="00103305">
        <w:t xml:space="preserve">already </w:t>
      </w:r>
      <w:r w:rsidR="004B3984">
        <w:t>filed a St</w:t>
      </w:r>
      <w:r w:rsidR="00F40724">
        <w:t>atement of Interest with regard</w:t>
      </w:r>
      <w:r w:rsidR="004B3984">
        <w:t xml:space="preserve"> to the </w:t>
      </w:r>
      <w:r w:rsidR="00377C01">
        <w:t>Defendants</w:t>
      </w:r>
      <w:r w:rsidR="004B3984">
        <w:t xml:space="preserve">’ </w:t>
      </w:r>
      <w:r w:rsidR="00DC2D56">
        <w:t xml:space="preserve">Partial </w:t>
      </w:r>
      <w:r w:rsidR="004B3984">
        <w:t xml:space="preserve">Motion to </w:t>
      </w:r>
      <w:r w:rsidR="00377C01">
        <w:t>Dismiss</w:t>
      </w:r>
      <w:r w:rsidR="004B3984">
        <w:t xml:space="preserve"> and do</w:t>
      </w:r>
      <w:r>
        <w:t>es not seek to participate in the briefing of any</w:t>
      </w:r>
      <w:r w:rsidR="004B3984">
        <w:t xml:space="preserve"> o</w:t>
      </w:r>
      <w:r w:rsidR="00715423">
        <w:t xml:space="preserve">ther currently pending motion.  </w:t>
      </w:r>
      <w:r w:rsidR="00405512">
        <w:t>In addition, the United States’ proposed Complaint in Intervention</w:t>
      </w:r>
      <w:r w:rsidR="001E7753">
        <w:t xml:space="preserve"> </w:t>
      </w:r>
      <w:r w:rsidR="00405512">
        <w:t>does not expand the claims already pending in this litigation.</w:t>
      </w:r>
      <w:r w:rsidR="00405512">
        <w:rPr>
          <w:rStyle w:val="FootnoteReference"/>
        </w:rPr>
        <w:footnoteReference w:id="2"/>
      </w:r>
      <w:r w:rsidR="00405512">
        <w:t xml:space="preserve">  </w:t>
      </w:r>
      <w:r w:rsidR="00F40724">
        <w:t xml:space="preserve">The parties cannot be prejudiced as a result of the United States’ intervention. </w:t>
      </w:r>
      <w:r w:rsidR="00405512">
        <w:t xml:space="preserve">  </w:t>
      </w:r>
    </w:p>
    <w:p w:rsidR="0016507D" w:rsidRPr="00793F98" w:rsidRDefault="00793F98" w:rsidP="00793F98">
      <w:pPr>
        <w:spacing w:line="480" w:lineRule="auto"/>
        <w:ind w:firstLine="720"/>
      </w:pPr>
      <w:r>
        <w:t>While the existing parties to the litigation will not be prejudiced by the United States’ intervention, the United States will be prejudiced if its request for intervention is denied.  Its interests in enforcing</w:t>
      </w:r>
      <w:r w:rsidR="003A5900">
        <w:t xml:space="preserve"> T</w:t>
      </w:r>
      <w:r>
        <w:t>itle II of the ADA and the integration mandate will undoubtedly be impaired if it is not permitted to intervene in this ac</w:t>
      </w:r>
      <w:r w:rsidR="00F40724">
        <w:t xml:space="preserve">tion.  Moreover, the Department’s </w:t>
      </w:r>
      <w:r>
        <w:t xml:space="preserve">extensive experience with the statutes at issue will benefit the existing parties in presenting facts and arguments that will help frame the issues.  By avoiding multiple lawsuits and coordinating discovery, intervention will lend efficiency to the proceedings.  </w:t>
      </w:r>
    </w:p>
    <w:p w:rsidR="0016507D" w:rsidRPr="002C195D" w:rsidRDefault="0016507D" w:rsidP="003A5900">
      <w:pPr>
        <w:pStyle w:val="Sub-Subsection1"/>
        <w:numPr>
          <w:ilvl w:val="0"/>
          <w:numId w:val="8"/>
        </w:numPr>
      </w:pPr>
      <w:bookmarkStart w:id="10" w:name="_Toc133239436"/>
      <w:bookmarkStart w:id="11" w:name="_Toc133240753"/>
      <w:bookmarkStart w:id="12" w:name="_Toc266446353"/>
      <w:r w:rsidRPr="002C195D">
        <w:t>The United States has a Substantial Legal Interest in this Litigation</w:t>
      </w:r>
      <w:bookmarkEnd w:id="10"/>
      <w:bookmarkEnd w:id="11"/>
      <w:bookmarkEnd w:id="12"/>
      <w:r w:rsidR="00715423">
        <w:t xml:space="preserve"> </w:t>
      </w:r>
    </w:p>
    <w:p w:rsidR="0016507D" w:rsidRPr="002C195D" w:rsidRDefault="0016507D" w:rsidP="00AD7B9D">
      <w:pPr>
        <w:pStyle w:val="Sub-Subsection1"/>
        <w:numPr>
          <w:ilvl w:val="0"/>
          <w:numId w:val="0"/>
        </w:numPr>
        <w:ind w:left="720"/>
      </w:pPr>
    </w:p>
    <w:p w:rsidR="0016507D" w:rsidRPr="004162D3" w:rsidRDefault="0016507D" w:rsidP="004162D3">
      <w:pPr>
        <w:spacing w:line="480" w:lineRule="auto"/>
        <w:ind w:firstLine="720"/>
        <w:rPr>
          <w:rStyle w:val="apple-style-span"/>
          <w:i/>
          <w:color w:val="000000"/>
          <w:szCs w:val="24"/>
        </w:rPr>
      </w:pPr>
      <w:r w:rsidRPr="002C195D">
        <w:rPr>
          <w:rStyle w:val="apple-style-span"/>
          <w:color w:val="000000"/>
          <w:szCs w:val="24"/>
        </w:rPr>
        <w:t>A party seeking intervention of right must also show a “direct, substantial, legally protectable interest in the proceedings.”</w:t>
      </w:r>
      <w:r w:rsidR="003A5900">
        <w:rPr>
          <w:rStyle w:val="apple-style-span"/>
          <w:color w:val="000000"/>
          <w:szCs w:val="24"/>
        </w:rPr>
        <w:t xml:space="preserve"> </w:t>
      </w:r>
      <w:r w:rsidRPr="002C195D">
        <w:rPr>
          <w:rStyle w:val="apple-style-span"/>
          <w:color w:val="000000"/>
          <w:szCs w:val="24"/>
        </w:rPr>
        <w:t xml:space="preserve"> </w:t>
      </w:r>
      <w:r w:rsidRPr="00090170">
        <w:rPr>
          <w:rStyle w:val="apple-style-span"/>
          <w:i/>
          <w:szCs w:val="24"/>
        </w:rPr>
        <w:t>Edwards</w:t>
      </w:r>
      <w:r w:rsidRPr="00090170">
        <w:rPr>
          <w:rStyle w:val="apple-style-span"/>
          <w:szCs w:val="24"/>
        </w:rPr>
        <w:t>, 78 F.3d at 1004 (</w:t>
      </w:r>
      <w:r w:rsidR="00F229A1">
        <w:rPr>
          <w:rStyle w:val="apple-style-span"/>
          <w:szCs w:val="24"/>
        </w:rPr>
        <w:t>quoting</w:t>
      </w:r>
      <w:r w:rsidRPr="00090170">
        <w:rPr>
          <w:rStyle w:val="apple-style-span"/>
          <w:szCs w:val="24"/>
        </w:rPr>
        <w:t xml:space="preserve"> </w:t>
      </w:r>
      <w:r w:rsidR="00F229A1">
        <w:rPr>
          <w:rStyle w:val="apple-style-span"/>
          <w:i/>
          <w:szCs w:val="24"/>
        </w:rPr>
        <w:t>New Orleans Pub</w:t>
      </w:r>
      <w:r w:rsidR="0033617E">
        <w:rPr>
          <w:rStyle w:val="apple-style-span"/>
          <w:i/>
          <w:szCs w:val="24"/>
        </w:rPr>
        <w:t>.</w:t>
      </w:r>
      <w:r w:rsidR="00F229A1">
        <w:rPr>
          <w:rStyle w:val="apple-style-span"/>
          <w:i/>
          <w:szCs w:val="24"/>
        </w:rPr>
        <w:t xml:space="preserve"> Serv</w:t>
      </w:r>
      <w:r w:rsidR="0033617E">
        <w:rPr>
          <w:rStyle w:val="apple-style-span"/>
          <w:i/>
          <w:szCs w:val="24"/>
        </w:rPr>
        <w:t>.</w:t>
      </w:r>
      <w:r w:rsidR="00F229A1">
        <w:rPr>
          <w:rStyle w:val="apple-style-span"/>
          <w:i/>
          <w:szCs w:val="24"/>
        </w:rPr>
        <w:t xml:space="preserve"> Inc., v. United Gas Pipe Line Co.</w:t>
      </w:r>
      <w:r w:rsidR="00F229A1">
        <w:rPr>
          <w:rStyle w:val="apple-style-span"/>
          <w:szCs w:val="24"/>
        </w:rPr>
        <w:t>, 732 F. 2</w:t>
      </w:r>
      <w:r w:rsidR="0033617E">
        <w:rPr>
          <w:rStyle w:val="apple-style-span"/>
          <w:szCs w:val="24"/>
        </w:rPr>
        <w:t>d 452, 463</w:t>
      </w:r>
      <w:r w:rsidR="00F229A1">
        <w:rPr>
          <w:rStyle w:val="apple-style-span"/>
          <w:szCs w:val="24"/>
        </w:rPr>
        <w:t xml:space="preserve"> (5th </w:t>
      </w:r>
      <w:r w:rsidR="0033617E">
        <w:rPr>
          <w:rStyle w:val="apple-style-span"/>
          <w:szCs w:val="24"/>
        </w:rPr>
        <w:t>Cir. 1984</w:t>
      </w:r>
      <w:r w:rsidR="00D45356">
        <w:rPr>
          <w:rStyle w:val="apple-style-span"/>
          <w:szCs w:val="24"/>
        </w:rPr>
        <w:t>)</w:t>
      </w:r>
      <w:r w:rsidR="0033617E">
        <w:rPr>
          <w:rStyle w:val="apple-style-span"/>
          <w:szCs w:val="24"/>
        </w:rPr>
        <w:t xml:space="preserve"> (</w:t>
      </w:r>
      <w:r w:rsidR="0033617E" w:rsidRPr="0033617E">
        <w:rPr>
          <w:rStyle w:val="apple-style-span"/>
          <w:i/>
          <w:szCs w:val="24"/>
        </w:rPr>
        <w:t>en banc</w:t>
      </w:r>
      <w:r w:rsidR="0033617E">
        <w:rPr>
          <w:rStyle w:val="apple-style-span"/>
          <w:szCs w:val="24"/>
        </w:rPr>
        <w:t>).</w:t>
      </w:r>
      <w:r w:rsidR="00060890">
        <w:rPr>
          <w:rStyle w:val="apple-style-span"/>
          <w:szCs w:val="24"/>
        </w:rPr>
        <w:t xml:space="preserve">  The Fifth Circuit Court of Appeals has recognized the interest of public entities and government age</w:t>
      </w:r>
      <w:r w:rsidR="004162D3">
        <w:rPr>
          <w:rStyle w:val="apple-style-span"/>
          <w:szCs w:val="24"/>
        </w:rPr>
        <w:t xml:space="preserve">ncies in enforcement of their respective statutes when granting intervention as of right.  </w:t>
      </w:r>
      <w:r w:rsidR="00060890">
        <w:rPr>
          <w:rStyle w:val="apple-style-span"/>
          <w:i/>
          <w:szCs w:val="24"/>
        </w:rPr>
        <w:t>See</w:t>
      </w:r>
      <w:r w:rsidR="003A5900">
        <w:rPr>
          <w:rStyle w:val="apple-style-span"/>
          <w:szCs w:val="24"/>
        </w:rPr>
        <w:t>,</w:t>
      </w:r>
      <w:r w:rsidR="00060890">
        <w:rPr>
          <w:rStyle w:val="apple-style-span"/>
          <w:szCs w:val="24"/>
        </w:rPr>
        <w:t xml:space="preserve"> </w:t>
      </w:r>
      <w:r w:rsidR="00060890">
        <w:rPr>
          <w:rStyle w:val="apple-style-span"/>
          <w:i/>
          <w:szCs w:val="24"/>
        </w:rPr>
        <w:t>e.g.</w:t>
      </w:r>
      <w:r w:rsidR="003A5900">
        <w:rPr>
          <w:rStyle w:val="apple-style-span"/>
          <w:szCs w:val="24"/>
        </w:rPr>
        <w:t>,</w:t>
      </w:r>
      <w:r w:rsidR="00060890">
        <w:rPr>
          <w:rStyle w:val="apple-style-span"/>
          <w:szCs w:val="24"/>
        </w:rPr>
        <w:t xml:space="preserve"> </w:t>
      </w:r>
      <w:r w:rsidR="00060890">
        <w:rPr>
          <w:rStyle w:val="apple-style-span"/>
          <w:i/>
          <w:szCs w:val="24"/>
        </w:rPr>
        <w:t xml:space="preserve">Heaton v. Monogram Credit Card Bank, </w:t>
      </w:r>
      <w:r w:rsidR="00060890">
        <w:rPr>
          <w:rStyle w:val="apple-style-span"/>
          <w:szCs w:val="24"/>
        </w:rPr>
        <w:t xml:space="preserve">297 F.3d 416, 424 (5th Cir. 2002) (allowing intervention as of right to the Federal Deposit Insurance Corporation because it has a broader interest in protecting the proper and consistent application of the Federal </w:t>
      </w:r>
      <w:r w:rsidR="00060890" w:rsidRPr="00060890">
        <w:rPr>
          <w:rStyle w:val="apple-style-span"/>
          <w:szCs w:val="24"/>
        </w:rPr>
        <w:t xml:space="preserve">Deposit Insurance Act); </w:t>
      </w:r>
      <w:r w:rsidR="00060890" w:rsidRPr="00060890">
        <w:rPr>
          <w:rStyle w:val="apple-style-span"/>
          <w:i/>
          <w:szCs w:val="24"/>
        </w:rPr>
        <w:t>Sierra Club v. City of San Antonio,</w:t>
      </w:r>
      <w:r w:rsidR="00060890" w:rsidRPr="00060890">
        <w:rPr>
          <w:rStyle w:val="apple-style-span"/>
          <w:szCs w:val="24"/>
        </w:rPr>
        <w:t xml:space="preserve"> 115 F.3d 311, 314 (5th Cir. 1997) (</w:t>
      </w:r>
      <w:r w:rsidR="00060890" w:rsidRPr="00060890">
        <w:rPr>
          <w:szCs w:val="24"/>
        </w:rPr>
        <w:t xml:space="preserve">intervention as of right granted to </w:t>
      </w:r>
      <w:r w:rsidR="00F40724">
        <w:rPr>
          <w:szCs w:val="24"/>
        </w:rPr>
        <w:t>S</w:t>
      </w:r>
      <w:r w:rsidR="00060890" w:rsidRPr="00060890">
        <w:rPr>
          <w:szCs w:val="24"/>
        </w:rPr>
        <w:t xml:space="preserve">tate of Texas to protect </w:t>
      </w:r>
      <w:r w:rsidR="00F40724">
        <w:rPr>
          <w:szCs w:val="24"/>
        </w:rPr>
        <w:t>S</w:t>
      </w:r>
      <w:r w:rsidR="00060890" w:rsidRPr="00060890">
        <w:rPr>
          <w:szCs w:val="24"/>
        </w:rPr>
        <w:t xml:space="preserve">tate's interests in environmental lawsuit </w:t>
      </w:r>
      <w:r w:rsidR="00060890" w:rsidRPr="00060890">
        <w:rPr>
          <w:rStyle w:val="apple-style-span"/>
          <w:szCs w:val="24"/>
        </w:rPr>
        <w:t>in part because the Attorney General has an exclusive right to represent state agencies</w:t>
      </w:r>
      <w:r w:rsidR="00060890" w:rsidRPr="009603D3">
        <w:rPr>
          <w:rStyle w:val="apple-style-span"/>
          <w:szCs w:val="24"/>
        </w:rPr>
        <w:t xml:space="preserve"> and the </w:t>
      </w:r>
      <w:r w:rsidR="00F40724">
        <w:rPr>
          <w:rStyle w:val="apple-style-span"/>
          <w:szCs w:val="24"/>
        </w:rPr>
        <w:t>S</w:t>
      </w:r>
      <w:r w:rsidR="00060890" w:rsidRPr="009603D3">
        <w:rPr>
          <w:rStyle w:val="apple-style-span"/>
          <w:szCs w:val="24"/>
        </w:rPr>
        <w:t>tate has an important interest in enforcing the Edwards Aquifer Act)</w:t>
      </w:r>
      <w:r w:rsidR="00060890">
        <w:rPr>
          <w:rStyle w:val="apple-style-span"/>
          <w:szCs w:val="24"/>
        </w:rPr>
        <w:t xml:space="preserve">; </w:t>
      </w:r>
      <w:r w:rsidR="00060890">
        <w:rPr>
          <w:rStyle w:val="apple-style-span"/>
          <w:i/>
          <w:szCs w:val="24"/>
        </w:rPr>
        <w:t>Ceres Gulf v. Cooper,</w:t>
      </w:r>
      <w:r w:rsidR="00060890">
        <w:rPr>
          <w:rStyle w:val="apple-style-span"/>
          <w:szCs w:val="24"/>
        </w:rPr>
        <w:t xml:space="preserve"> 957 F.2d 119</w:t>
      </w:r>
      <w:r w:rsidR="003A5900">
        <w:rPr>
          <w:rStyle w:val="apple-style-span"/>
          <w:szCs w:val="24"/>
        </w:rPr>
        <w:t>9</w:t>
      </w:r>
      <w:r w:rsidR="00060890">
        <w:rPr>
          <w:rStyle w:val="apple-style-span"/>
          <w:szCs w:val="24"/>
        </w:rPr>
        <w:t xml:space="preserve">, </w:t>
      </w:r>
      <w:r w:rsidR="003A5900">
        <w:rPr>
          <w:rStyle w:val="apple-style-span"/>
          <w:szCs w:val="24"/>
        </w:rPr>
        <w:t xml:space="preserve">1202-04 </w:t>
      </w:r>
      <w:r w:rsidR="00060890">
        <w:rPr>
          <w:rStyle w:val="apple-style-span"/>
          <w:szCs w:val="24"/>
        </w:rPr>
        <w:t>(5th Cir. 1992) (allowing intervention as of right to the director of Office of Workers’ Compensation Programs because the director has jurisdiction over claims under the Longshore and Harbor Workers’ Compensation Act)</w:t>
      </w:r>
      <w:r w:rsidR="00060890" w:rsidRPr="009603D3">
        <w:rPr>
          <w:rStyle w:val="apple-style-span"/>
          <w:szCs w:val="24"/>
        </w:rPr>
        <w:t xml:space="preserve">. </w:t>
      </w:r>
      <w:r w:rsidR="00060890" w:rsidRPr="009603D3">
        <w:rPr>
          <w:rStyle w:val="apple-style-span"/>
          <w:i/>
          <w:szCs w:val="24"/>
        </w:rPr>
        <w:t xml:space="preserve"> </w:t>
      </w:r>
    </w:p>
    <w:p w:rsidR="00F40724" w:rsidRDefault="0016507D" w:rsidP="00135E02">
      <w:pPr>
        <w:spacing w:line="480" w:lineRule="auto"/>
        <w:ind w:firstLine="720"/>
      </w:pPr>
      <w:r w:rsidRPr="002C195D">
        <w:t xml:space="preserve">The United States has a </w:t>
      </w:r>
      <w:r w:rsidR="00363B4A">
        <w:t xml:space="preserve">direct, </w:t>
      </w:r>
      <w:r w:rsidRPr="002C195D">
        <w:t>substantial</w:t>
      </w:r>
      <w:r w:rsidR="00363B4A">
        <w:t xml:space="preserve"> and legally protectable interest in this litigation.  As the </w:t>
      </w:r>
      <w:r w:rsidR="00DC2D56">
        <w:t xml:space="preserve">federal </w:t>
      </w:r>
      <w:r w:rsidR="00363B4A">
        <w:t>agency with primary regulatory and enfo</w:t>
      </w:r>
      <w:r w:rsidR="00012097">
        <w:t>rcement responsibilities under T</w:t>
      </w:r>
      <w:r w:rsidR="00363B4A">
        <w:t xml:space="preserve">itle II of the ADA, the </w:t>
      </w:r>
      <w:r w:rsidR="00F40724">
        <w:t>Department</w:t>
      </w:r>
      <w:r w:rsidR="00363B4A">
        <w:t xml:space="preserve"> has significant interests in enforcing and interpreting </w:t>
      </w:r>
      <w:r w:rsidR="00012097">
        <w:t>T</w:t>
      </w:r>
      <w:r w:rsidR="00363B4A">
        <w:t xml:space="preserve">itle II and ensuring that the integration mandate of </w:t>
      </w:r>
      <w:r w:rsidR="00363B4A">
        <w:rPr>
          <w:i/>
        </w:rPr>
        <w:t>Olmstead</w:t>
      </w:r>
      <w:r w:rsidR="00363B4A">
        <w:t xml:space="preserve"> is met.  </w:t>
      </w:r>
      <w:r w:rsidR="00363B4A">
        <w:rPr>
          <w:i/>
        </w:rPr>
        <w:t>Olmstead</w:t>
      </w:r>
      <w:r w:rsidR="00363B4A">
        <w:t xml:space="preserve">, 527 U.S. at 607.  </w:t>
      </w:r>
      <w:r w:rsidR="00E647F6" w:rsidRPr="00836025">
        <w:t xml:space="preserve">Accordingly, the Department has </w:t>
      </w:r>
      <w:r w:rsidR="00E647F6">
        <w:t xml:space="preserve">recently </w:t>
      </w:r>
      <w:r w:rsidR="00E647F6" w:rsidRPr="00836025">
        <w:t xml:space="preserve">brought, intervened in, or participated as an amicus or an interested party in </w:t>
      </w:r>
      <w:r w:rsidR="00E647F6" w:rsidRPr="00BB20E1">
        <w:rPr>
          <w:i/>
        </w:rPr>
        <w:t xml:space="preserve">Olmstead </w:t>
      </w:r>
      <w:r w:rsidR="00E647F6" w:rsidRPr="00836025">
        <w:t xml:space="preserve">litigation in </w:t>
      </w:r>
      <w:r w:rsidR="00F40724">
        <w:t>sixteen different states</w:t>
      </w:r>
      <w:r w:rsidR="00E647F6" w:rsidRPr="00836025">
        <w:t>.</w:t>
      </w:r>
      <w:r w:rsidR="00E647F6">
        <w:t xml:space="preserve">  </w:t>
      </w:r>
    </w:p>
    <w:p w:rsidR="0016507D" w:rsidRPr="002C195D" w:rsidRDefault="00E647F6" w:rsidP="00135E02">
      <w:pPr>
        <w:spacing w:line="480" w:lineRule="auto"/>
        <w:ind w:firstLine="720"/>
      </w:pPr>
      <w:r w:rsidRPr="002C195D">
        <w:t>Congress sought “clear, strong, consistent and enforceable standards addressing discrimination against individuals with disabilities,” 42 U.S.C. §</w:t>
      </w:r>
      <w:r w:rsidR="00D14DAF">
        <w:t> 12101</w:t>
      </w:r>
      <w:r w:rsidRPr="002C195D">
        <w:t>(b)(2)</w:t>
      </w:r>
      <w:r w:rsidR="00F94024" w:rsidRPr="002C195D">
        <w:fldChar w:fldCharType="begin"/>
      </w:r>
      <w:r w:rsidRPr="002C195D">
        <w:instrText xml:space="preserve"> TA \s "42 U.S.C. § 12101" </w:instrText>
      </w:r>
      <w:r w:rsidR="00F94024" w:rsidRPr="002C195D">
        <w:fldChar w:fldCharType="end"/>
      </w:r>
      <w:r w:rsidRPr="002C195D">
        <w:t>, and explicitly stated that one of the purposes of the ADA was “to ensure that the Federal Government plays a central role in enforcing the standards established [in the Act] on behalf of individuals with disabilities</w:t>
      </w:r>
      <w:r w:rsidR="00012097">
        <w:t xml:space="preserve"> . . . .”</w:t>
      </w:r>
      <w:r w:rsidRPr="002C195D">
        <w:t xml:space="preserve"> </w:t>
      </w:r>
      <w:r w:rsidR="00012097">
        <w:t xml:space="preserve"> </w:t>
      </w:r>
      <w:r w:rsidRPr="002C195D">
        <w:t>42 U.S.C. § 12101</w:t>
      </w:r>
      <w:r w:rsidR="00F94024" w:rsidRPr="002C195D">
        <w:fldChar w:fldCharType="begin"/>
      </w:r>
      <w:r w:rsidRPr="002C195D">
        <w:instrText xml:space="preserve"> TA \s "42 U.S.C. § 12101" </w:instrText>
      </w:r>
      <w:r w:rsidR="00F94024" w:rsidRPr="002C195D">
        <w:fldChar w:fldCharType="end"/>
      </w:r>
      <w:r w:rsidRPr="002C195D">
        <w:t>(b)(3)</w:t>
      </w:r>
      <w:r>
        <w:t xml:space="preserve">.  </w:t>
      </w:r>
      <w:r w:rsidR="00363B4A">
        <w:t xml:space="preserve">Similarly, the Department has the authority to coordinate the implementation and enforcement of </w:t>
      </w:r>
      <w:r w:rsidR="00363B4A" w:rsidRPr="00C47D49">
        <w:t>Sectio</w:t>
      </w:r>
      <w:r w:rsidR="00363B4A">
        <w:t>n 504</w:t>
      </w:r>
      <w:r w:rsidR="00DC2D56">
        <w:t xml:space="preserve"> of the Rehabilitation Act</w:t>
      </w:r>
      <w:r w:rsidR="00363B4A">
        <w:t xml:space="preserve">.  </w:t>
      </w:r>
      <w:r w:rsidR="00F40724">
        <w:t>E</w:t>
      </w:r>
      <w:r w:rsidR="0033617E">
        <w:t>xec. Order No.</w:t>
      </w:r>
      <w:r w:rsidR="00363B4A">
        <w:t xml:space="preserve"> 12</w:t>
      </w:r>
      <w:r w:rsidR="008E326E">
        <w:t>,</w:t>
      </w:r>
      <w:r w:rsidR="00363B4A">
        <w:t xml:space="preserve">250, </w:t>
      </w:r>
      <w:r w:rsidR="00B13369" w:rsidRPr="00D45356">
        <w:rPr>
          <w:i/>
        </w:rPr>
        <w:t>Leadership and Coordination of Nondiscrimination Laws</w:t>
      </w:r>
      <w:r w:rsidR="00B13369">
        <w:t xml:space="preserve">, </w:t>
      </w:r>
      <w:r w:rsidR="008E326E">
        <w:t>3 C.F.R. 298 (1980)</w:t>
      </w:r>
      <w:r w:rsidR="00B13369">
        <w:t xml:space="preserve">, </w:t>
      </w:r>
      <w:r w:rsidR="00B13369">
        <w:rPr>
          <w:i/>
        </w:rPr>
        <w:t xml:space="preserve">reprinted in </w:t>
      </w:r>
      <w:r w:rsidR="00A94C9A">
        <w:t>42 U.S.C. § </w:t>
      </w:r>
      <w:r w:rsidR="00B13369">
        <w:t xml:space="preserve">2000d-1, note.  </w:t>
      </w:r>
      <w:r w:rsidR="00363B4A">
        <w:t>The central issues of this case are critical to t</w:t>
      </w:r>
      <w:r w:rsidR="00363B4A" w:rsidRPr="00836025">
        <w:t xml:space="preserve">he </w:t>
      </w:r>
      <w:r w:rsidR="00F40724">
        <w:t>Department’s</w:t>
      </w:r>
      <w:r w:rsidR="00363B4A" w:rsidRPr="00836025">
        <w:t xml:space="preserve"> </w:t>
      </w:r>
      <w:r w:rsidR="00363B4A">
        <w:t>efforts to advance national goals of community integration and enforce the civil rights of persons with disabilities</w:t>
      </w:r>
      <w:r w:rsidR="00363B4A" w:rsidRPr="00836025">
        <w:t>.</w:t>
      </w:r>
      <w:r w:rsidR="00363B4A">
        <w:t xml:space="preserve">  </w:t>
      </w:r>
      <w:r w:rsidR="0036212A">
        <w:rPr>
          <w:szCs w:val="24"/>
        </w:rPr>
        <w:t xml:space="preserve">Thus, </w:t>
      </w:r>
      <w:r>
        <w:rPr>
          <w:szCs w:val="24"/>
        </w:rPr>
        <w:t>the United States’ interest in the pending litigation merits intervention as of right.</w:t>
      </w:r>
      <w:r w:rsidR="0036212A">
        <w:rPr>
          <w:szCs w:val="24"/>
        </w:rPr>
        <w:t xml:space="preserve">  </w:t>
      </w:r>
    </w:p>
    <w:p w:rsidR="0016507D" w:rsidRPr="002C195D" w:rsidRDefault="0016507D" w:rsidP="00012097">
      <w:pPr>
        <w:pStyle w:val="Sub-Subsection1"/>
        <w:numPr>
          <w:ilvl w:val="0"/>
          <w:numId w:val="8"/>
        </w:numPr>
      </w:pPr>
      <w:bookmarkStart w:id="13" w:name="_Toc266446354"/>
      <w:r w:rsidRPr="002C195D">
        <w:t>Intervention is Necessary to Protect the United States’ Interest</w:t>
      </w:r>
      <w:bookmarkEnd w:id="13"/>
    </w:p>
    <w:p w:rsidR="0016507D" w:rsidRPr="002C195D" w:rsidRDefault="0016507D" w:rsidP="00C10A31">
      <w:pPr>
        <w:pStyle w:val="Sub-Subsection1"/>
        <w:numPr>
          <w:ilvl w:val="0"/>
          <w:numId w:val="0"/>
        </w:numPr>
        <w:ind w:left="720"/>
      </w:pPr>
    </w:p>
    <w:p w:rsidR="00E647F6" w:rsidRDefault="00A43D8A" w:rsidP="00E647F6">
      <w:pPr>
        <w:spacing w:line="480" w:lineRule="auto"/>
        <w:ind w:firstLine="720"/>
      </w:pPr>
      <w:r>
        <w:rPr>
          <w:rStyle w:val="apple-style-span"/>
          <w:color w:val="000000"/>
          <w:szCs w:val="24"/>
        </w:rPr>
        <w:t>The United States’ ability to protect its substantial legal interest would be impaired</w:t>
      </w:r>
      <w:r w:rsidR="0016507D" w:rsidRPr="002C195D">
        <w:rPr>
          <w:rStyle w:val="apple-style-span"/>
          <w:color w:val="000000"/>
          <w:szCs w:val="24"/>
        </w:rPr>
        <w:t xml:space="preserve"> absent intervention.  </w:t>
      </w:r>
      <w:r w:rsidR="00E647F6" w:rsidRPr="002C195D">
        <w:rPr>
          <w:szCs w:val="24"/>
        </w:rPr>
        <w:t>Because the AD</w:t>
      </w:r>
      <w:r w:rsidR="00E647F6">
        <w:rPr>
          <w:szCs w:val="24"/>
        </w:rPr>
        <w:t>A is a relatively young statute,</w:t>
      </w:r>
      <w:r w:rsidR="00E647F6" w:rsidRPr="002C195D">
        <w:rPr>
          <w:szCs w:val="24"/>
        </w:rPr>
        <w:t xml:space="preserve"> federal decisions interpreting and applying the provisions of the Act are an important enforcement tool.  </w:t>
      </w:r>
      <w:r w:rsidR="00E647F6">
        <w:rPr>
          <w:szCs w:val="24"/>
        </w:rPr>
        <w:t xml:space="preserve">Further, because there has not been significant case law under the Supreme Court's decision in </w:t>
      </w:r>
      <w:r w:rsidR="00E647F6" w:rsidRPr="00C10A31">
        <w:rPr>
          <w:i/>
          <w:szCs w:val="24"/>
        </w:rPr>
        <w:t>Olmstead</w:t>
      </w:r>
      <w:r w:rsidR="00E647F6" w:rsidRPr="002C195D">
        <w:rPr>
          <w:szCs w:val="24"/>
        </w:rPr>
        <w:t xml:space="preserve">, an unfavorable disposition of this case may, as a practical matter, impair the United States’ </w:t>
      </w:r>
      <w:r w:rsidR="00012097">
        <w:rPr>
          <w:szCs w:val="24"/>
        </w:rPr>
        <w:t xml:space="preserve">ability to enforce the ADA’s integration mandate.  </w:t>
      </w:r>
      <w:r w:rsidR="00E647F6" w:rsidRPr="002C195D">
        <w:rPr>
          <w:szCs w:val="24"/>
        </w:rPr>
        <w:t xml:space="preserve">The outcome of this case, including the potential for appeals by existing parties, implicates </w:t>
      </w:r>
      <w:r w:rsidR="00E647F6" w:rsidRPr="002C195D">
        <w:rPr>
          <w:i/>
          <w:szCs w:val="24"/>
        </w:rPr>
        <w:t>stare decisis</w:t>
      </w:r>
      <w:r w:rsidR="00E647F6" w:rsidRPr="002C195D">
        <w:rPr>
          <w:szCs w:val="24"/>
        </w:rPr>
        <w:t xml:space="preserve"> concerns that warrant the United States’ intervention.</w:t>
      </w:r>
      <w:r w:rsidR="00E647F6">
        <w:rPr>
          <w:szCs w:val="24"/>
        </w:rPr>
        <w:t xml:space="preserve">  </w:t>
      </w:r>
      <w:r w:rsidR="00E647F6" w:rsidRPr="001B7901">
        <w:rPr>
          <w:i/>
          <w:szCs w:val="24"/>
        </w:rPr>
        <w:t>See</w:t>
      </w:r>
      <w:r w:rsidR="00E647F6" w:rsidRPr="001B7901">
        <w:rPr>
          <w:szCs w:val="24"/>
        </w:rPr>
        <w:t xml:space="preserve"> </w:t>
      </w:r>
      <w:r w:rsidR="00E647F6" w:rsidRPr="001B7901">
        <w:rPr>
          <w:bCs/>
          <w:i/>
          <w:szCs w:val="24"/>
        </w:rPr>
        <w:t>Atlantis Dev. Corp. v. United States</w:t>
      </w:r>
      <w:r w:rsidR="00E647F6" w:rsidRPr="001B7901">
        <w:rPr>
          <w:bCs/>
          <w:szCs w:val="24"/>
        </w:rPr>
        <w:t>, 379 F.2d 818, 829 (5th Cir. Fla. 1967)</w:t>
      </w:r>
      <w:r w:rsidR="00E647F6">
        <w:t xml:space="preserve"> (recognizing that potential for a negative </w:t>
      </w:r>
      <w:r w:rsidR="00E647F6" w:rsidRPr="009E4267">
        <w:rPr>
          <w:i/>
        </w:rPr>
        <w:t>stare decisis</w:t>
      </w:r>
      <w:r w:rsidR="00F229A1">
        <w:t xml:space="preserve"> effect </w:t>
      </w:r>
      <w:r w:rsidR="00E647F6">
        <w:t xml:space="preserve">may </w:t>
      </w:r>
      <w:r w:rsidR="00D45356">
        <w:t>“</w:t>
      </w:r>
      <w:r w:rsidR="00E647F6">
        <w:t>supply that practical disadvantage which</w:t>
      </w:r>
      <w:r w:rsidR="00F40724">
        <w:t xml:space="preserve"> warrants intervention of right</w:t>
      </w:r>
      <w:r w:rsidR="00E647F6">
        <w:t xml:space="preserve">”); </w:t>
      </w:r>
      <w:r w:rsidR="00E647F6" w:rsidRPr="002C195D">
        <w:rPr>
          <w:rStyle w:val="apple-style-span"/>
          <w:i/>
          <w:color w:val="000000"/>
          <w:szCs w:val="24"/>
        </w:rPr>
        <w:t>Sierra Club</w:t>
      </w:r>
      <w:r w:rsidR="00E647F6" w:rsidRPr="002C195D">
        <w:rPr>
          <w:rStyle w:val="apple-style-span"/>
          <w:color w:val="000000"/>
          <w:szCs w:val="24"/>
        </w:rPr>
        <w:t xml:space="preserve">, 18 F.3d at 1207 (quoting </w:t>
      </w:r>
      <w:r w:rsidR="00E647F6" w:rsidRPr="002C195D">
        <w:rPr>
          <w:rStyle w:val="apple-style-span"/>
          <w:i/>
          <w:color w:val="000000"/>
          <w:szCs w:val="24"/>
        </w:rPr>
        <w:t>Ceres Gulf</w:t>
      </w:r>
      <w:r w:rsidR="00E647F6" w:rsidRPr="002C195D">
        <w:rPr>
          <w:rStyle w:val="apple-style-span"/>
          <w:color w:val="000000"/>
          <w:szCs w:val="24"/>
        </w:rPr>
        <w:t>, 957 F.2d at 1204)</w:t>
      </w:r>
      <w:r w:rsidR="00E647F6">
        <w:rPr>
          <w:rStyle w:val="apple-style-span"/>
          <w:color w:val="000000"/>
          <w:szCs w:val="24"/>
        </w:rPr>
        <w:t xml:space="preserve"> (impairment of an intervener’s interest includes </w:t>
      </w:r>
      <w:r w:rsidR="00E647F6" w:rsidRPr="002C195D">
        <w:rPr>
          <w:rStyle w:val="apple-style-span"/>
          <w:color w:val="000000"/>
          <w:szCs w:val="24"/>
        </w:rPr>
        <w:t xml:space="preserve">“the </w:t>
      </w:r>
      <w:r w:rsidR="00E647F6" w:rsidRPr="00D14DAF">
        <w:rPr>
          <w:rStyle w:val="apple-style-span"/>
          <w:i/>
          <w:color w:val="000000"/>
          <w:szCs w:val="24"/>
        </w:rPr>
        <w:t>stare decisis</w:t>
      </w:r>
      <w:r w:rsidR="00E647F6" w:rsidRPr="002C195D">
        <w:rPr>
          <w:rStyle w:val="apple-style-span"/>
          <w:color w:val="000000"/>
          <w:szCs w:val="24"/>
        </w:rPr>
        <w:t xml:space="preserve"> effect of the district court’s judgment”</w:t>
      </w:r>
      <w:r w:rsidR="00E647F6">
        <w:rPr>
          <w:rStyle w:val="apple-style-span"/>
          <w:color w:val="000000"/>
          <w:szCs w:val="24"/>
        </w:rPr>
        <w:t xml:space="preserve">); </w:t>
      </w:r>
      <w:r w:rsidR="00E647F6" w:rsidRPr="003A3221">
        <w:rPr>
          <w:i/>
        </w:rPr>
        <w:t>see also United States v. City of Los Angeles</w:t>
      </w:r>
      <w:r w:rsidR="00E647F6">
        <w:rPr>
          <w:i/>
        </w:rPr>
        <w:t>, Cal.</w:t>
      </w:r>
      <w:r w:rsidR="00E647F6">
        <w:t>, 288 F.3d 391, 400 (9th Cir. 2002)</w:t>
      </w:r>
      <w:r w:rsidR="00F94024">
        <w:fldChar w:fldCharType="begin"/>
      </w:r>
      <w:r w:rsidR="00E647F6">
        <w:instrText xml:space="preserve"> TA \l "</w:instrText>
      </w:r>
      <w:r w:rsidR="00E647F6" w:rsidRPr="003A3221">
        <w:rPr>
          <w:i/>
        </w:rPr>
        <w:instrText>United States v. City of Los Angeles, Ca</w:instrText>
      </w:r>
      <w:r w:rsidR="00E647F6">
        <w:instrText xml:space="preserve">l., 288 F.3d 391 (9th Cir. 2002)" \s "United States v. City of Los Angeles, Cal., 288 F.3d 391, 400 (9th Cir. 2002)" \c 1 </w:instrText>
      </w:r>
      <w:r w:rsidR="00F94024">
        <w:fldChar w:fldCharType="end"/>
      </w:r>
      <w:r w:rsidR="00E647F6">
        <w:t xml:space="preserve"> (holding that </w:t>
      </w:r>
      <w:r w:rsidR="00E647F6" w:rsidRPr="00012097">
        <w:rPr>
          <w:i/>
        </w:rPr>
        <w:t>amicus curiae</w:t>
      </w:r>
      <w:r w:rsidR="00E647F6">
        <w:t xml:space="preserve"> status may be insufficient to protect the rights of an applicant for intervention “because such status does not allow [the applicant] to raise issues or arguments formally and gives it no right of appeal”).   As such, intervention is necessary to protect the United States’ substantial interest in this litigation. </w:t>
      </w:r>
    </w:p>
    <w:p w:rsidR="0016507D" w:rsidRPr="002C195D" w:rsidRDefault="0016507D" w:rsidP="00012097">
      <w:pPr>
        <w:pStyle w:val="Sub-Subsection1"/>
        <w:numPr>
          <w:ilvl w:val="0"/>
          <w:numId w:val="8"/>
        </w:numPr>
      </w:pPr>
      <w:bookmarkStart w:id="14" w:name="_Toc133239438"/>
      <w:bookmarkStart w:id="15" w:name="_Toc133240755"/>
      <w:bookmarkStart w:id="16" w:name="_Toc266446355"/>
      <w:r w:rsidRPr="002C195D">
        <w:t>The United States’ Interest is Inadequately Represented by Existing Parties</w:t>
      </w:r>
      <w:bookmarkEnd w:id="14"/>
      <w:bookmarkEnd w:id="15"/>
      <w:bookmarkEnd w:id="16"/>
    </w:p>
    <w:p w:rsidR="0016507D" w:rsidRPr="002C195D" w:rsidRDefault="0016507D" w:rsidP="00C10A31">
      <w:pPr>
        <w:pStyle w:val="Sub-Subsection1"/>
        <w:numPr>
          <w:ilvl w:val="0"/>
          <w:numId w:val="0"/>
        </w:numPr>
        <w:ind w:left="720"/>
      </w:pPr>
    </w:p>
    <w:p w:rsidR="003705FD" w:rsidRDefault="0016507D" w:rsidP="003705FD">
      <w:pPr>
        <w:spacing w:line="480" w:lineRule="auto"/>
        <w:ind w:firstLine="720"/>
        <w:rPr>
          <w:rStyle w:val="apple-style-span"/>
          <w:color w:val="000000"/>
          <w:szCs w:val="24"/>
        </w:rPr>
      </w:pPr>
      <w:r w:rsidRPr="002C195D">
        <w:rPr>
          <w:rStyle w:val="apple-style-span"/>
          <w:color w:val="000000"/>
          <w:szCs w:val="24"/>
        </w:rPr>
        <w:t xml:space="preserve">The final requirement for intervention as a matter of right is that the interest is inadequately represented by the existing parties to the litigation.  The applicant for intervention bears the burden of demonstrating inadequate representation. </w:t>
      </w:r>
      <w:r w:rsidR="00012097">
        <w:rPr>
          <w:rStyle w:val="apple-style-span"/>
          <w:color w:val="000000"/>
          <w:szCs w:val="24"/>
        </w:rPr>
        <w:t xml:space="preserve"> </w:t>
      </w:r>
      <w:r w:rsidRPr="002C195D">
        <w:rPr>
          <w:rStyle w:val="apple-style-span"/>
          <w:i/>
          <w:iCs/>
          <w:color w:val="000000"/>
          <w:szCs w:val="24"/>
        </w:rPr>
        <w:t>See</w:t>
      </w:r>
      <w:r w:rsidRPr="002C195D">
        <w:rPr>
          <w:rStyle w:val="apple-converted-space"/>
          <w:i/>
          <w:iCs/>
          <w:color w:val="000000"/>
          <w:szCs w:val="24"/>
        </w:rPr>
        <w:t> </w:t>
      </w:r>
      <w:r w:rsidRPr="002C195D">
        <w:rPr>
          <w:rStyle w:val="apple-style-span"/>
          <w:i/>
          <w:iCs/>
          <w:color w:val="000000"/>
          <w:szCs w:val="24"/>
        </w:rPr>
        <w:t>Hopwood v. Texas</w:t>
      </w:r>
      <w:r w:rsidR="00F40724">
        <w:rPr>
          <w:rStyle w:val="apple-style-span"/>
          <w:i/>
          <w:iCs/>
          <w:color w:val="000000"/>
          <w:szCs w:val="24"/>
        </w:rPr>
        <w:t xml:space="preserve">, </w:t>
      </w:r>
      <w:r w:rsidRPr="002C195D">
        <w:rPr>
          <w:rStyle w:val="apple-style-span"/>
          <w:color w:val="000000"/>
          <w:szCs w:val="24"/>
        </w:rPr>
        <w:t>21 F.3d 603, 605 (5th Cir.</w:t>
      </w:r>
      <w:r w:rsidR="005E3A77">
        <w:rPr>
          <w:rStyle w:val="apple-style-span"/>
          <w:color w:val="000000"/>
          <w:szCs w:val="24"/>
        </w:rPr>
        <w:t xml:space="preserve"> </w:t>
      </w:r>
      <w:r w:rsidRPr="002C195D">
        <w:rPr>
          <w:rStyle w:val="apple-style-span"/>
          <w:color w:val="000000"/>
          <w:szCs w:val="24"/>
        </w:rPr>
        <w:t xml:space="preserve">1994).  This burden is </w:t>
      </w:r>
      <w:r w:rsidR="00DC2D56">
        <w:rPr>
          <w:rStyle w:val="apple-style-span"/>
          <w:color w:val="000000"/>
          <w:szCs w:val="24"/>
        </w:rPr>
        <w:t>“minimal,”</w:t>
      </w:r>
      <w:r w:rsidRPr="002C195D">
        <w:rPr>
          <w:rStyle w:val="apple-style-span"/>
          <w:color w:val="000000"/>
          <w:szCs w:val="24"/>
        </w:rPr>
        <w:t xml:space="preserve"> however, and is satisfied if the applicant shows that representation of his interest </w:t>
      </w:r>
      <w:r w:rsidR="00964A2C">
        <w:rPr>
          <w:rStyle w:val="apple-style-span"/>
          <w:color w:val="000000"/>
          <w:szCs w:val="24"/>
        </w:rPr>
        <w:t>“</w:t>
      </w:r>
      <w:r w:rsidRPr="002C195D">
        <w:rPr>
          <w:rStyle w:val="apple-style-span"/>
          <w:color w:val="000000"/>
          <w:szCs w:val="24"/>
        </w:rPr>
        <w:t>may be</w:t>
      </w:r>
      <w:r w:rsidR="00964A2C">
        <w:rPr>
          <w:rStyle w:val="apple-style-span"/>
          <w:color w:val="000000"/>
          <w:szCs w:val="24"/>
        </w:rPr>
        <w:t>”</w:t>
      </w:r>
      <w:r w:rsidRPr="002C195D">
        <w:rPr>
          <w:rStyle w:val="apple-style-span"/>
          <w:color w:val="000000"/>
          <w:szCs w:val="24"/>
        </w:rPr>
        <w:t xml:space="preserve"> </w:t>
      </w:r>
      <w:r w:rsidR="00012097" w:rsidRPr="002C195D">
        <w:rPr>
          <w:rStyle w:val="apple-style-span"/>
          <w:color w:val="000000"/>
          <w:szCs w:val="24"/>
        </w:rPr>
        <w:t>inadequate</w:t>
      </w:r>
      <w:r w:rsidR="00012097" w:rsidRPr="00CF4866">
        <w:rPr>
          <w:rStyle w:val="apple-style-span"/>
          <w:color w:val="000000"/>
          <w:szCs w:val="24"/>
        </w:rPr>
        <w:t>.</w:t>
      </w:r>
      <w:r w:rsidRPr="002C195D">
        <w:rPr>
          <w:rStyle w:val="apple-style-span"/>
          <w:color w:val="000000"/>
          <w:szCs w:val="24"/>
        </w:rPr>
        <w:t xml:space="preserve"> </w:t>
      </w:r>
      <w:r w:rsidR="00012097">
        <w:rPr>
          <w:rStyle w:val="apple-style-span"/>
          <w:color w:val="000000"/>
          <w:szCs w:val="24"/>
        </w:rPr>
        <w:t xml:space="preserve"> </w:t>
      </w:r>
      <w:r w:rsidRPr="002C195D">
        <w:rPr>
          <w:rStyle w:val="apple-style-span"/>
          <w:i/>
          <w:color w:val="000000"/>
          <w:szCs w:val="24"/>
        </w:rPr>
        <w:t>Sierra Club</w:t>
      </w:r>
      <w:r w:rsidRPr="002C195D">
        <w:rPr>
          <w:rStyle w:val="apple-style-span"/>
          <w:color w:val="000000"/>
          <w:szCs w:val="24"/>
        </w:rPr>
        <w:t>, 18 F.3d at 1207 (</w:t>
      </w:r>
      <w:r w:rsidR="00964A2C">
        <w:rPr>
          <w:rStyle w:val="apple-style-span"/>
          <w:color w:val="000000"/>
          <w:szCs w:val="24"/>
        </w:rPr>
        <w:t>quot</w:t>
      </w:r>
      <w:r w:rsidRPr="002C195D">
        <w:rPr>
          <w:rStyle w:val="apple-style-span"/>
          <w:color w:val="000000"/>
          <w:szCs w:val="24"/>
        </w:rPr>
        <w:t xml:space="preserve">ing </w:t>
      </w:r>
      <w:r w:rsidRPr="002C195D">
        <w:rPr>
          <w:rStyle w:val="apple-style-span"/>
          <w:i/>
          <w:iCs/>
          <w:color w:val="000000"/>
          <w:szCs w:val="24"/>
        </w:rPr>
        <w:t>Trbovich v. United Mine Workers of Am.,</w:t>
      </w:r>
      <w:r w:rsidRPr="00965108">
        <w:rPr>
          <w:rStyle w:val="apple-converted-space"/>
          <w:color w:val="0000FF"/>
          <w:szCs w:val="24"/>
        </w:rPr>
        <w:t> </w:t>
      </w:r>
      <w:r w:rsidRPr="002C195D">
        <w:rPr>
          <w:rStyle w:val="apple-style-span"/>
          <w:color w:val="000000"/>
          <w:szCs w:val="24"/>
        </w:rPr>
        <w:t xml:space="preserve">404 U.S. 528, 538 n. 10 (1972).  </w:t>
      </w:r>
    </w:p>
    <w:p w:rsidR="0016507D" w:rsidRPr="003705FD" w:rsidRDefault="0016507D" w:rsidP="003705FD">
      <w:pPr>
        <w:spacing w:line="480" w:lineRule="auto"/>
        <w:ind w:firstLine="720"/>
        <w:rPr>
          <w:color w:val="000000"/>
          <w:szCs w:val="24"/>
        </w:rPr>
      </w:pPr>
      <w:r w:rsidRPr="002C195D">
        <w:rPr>
          <w:szCs w:val="24"/>
        </w:rPr>
        <w:t xml:space="preserve">The existing parties to this litigation cannot adequately represent the United States’ interests.  </w:t>
      </w:r>
      <w:r w:rsidR="00EB192F">
        <w:rPr>
          <w:szCs w:val="24"/>
        </w:rPr>
        <w:t xml:space="preserve">Only the Attorney General can attend to the interests of the United States. </w:t>
      </w:r>
      <w:r w:rsidR="003705FD">
        <w:t xml:space="preserve"> </w:t>
      </w:r>
      <w:r w:rsidR="00EB192F" w:rsidRPr="00385A05">
        <w:rPr>
          <w:szCs w:val="24"/>
        </w:rPr>
        <w:t xml:space="preserve">28 U.S.C. § 517 </w:t>
      </w:r>
      <w:r w:rsidR="003705FD">
        <w:rPr>
          <w:szCs w:val="24"/>
        </w:rPr>
        <w:t>(</w:t>
      </w:r>
      <w:r w:rsidR="00EB192F" w:rsidRPr="00385A05">
        <w:rPr>
          <w:szCs w:val="24"/>
        </w:rPr>
        <w:t>“[t]he Solicitor General, or any officer of the Department of Justice, may be sent by the Attorney General to any State or district in the United States to attend to the interests of the United States in a suit pending in a court of the United States, or in a court of a State, or to attend to any other interest of the United States.</w:t>
      </w:r>
      <w:r w:rsidR="00012097" w:rsidRPr="00385A05">
        <w:rPr>
          <w:szCs w:val="24"/>
        </w:rPr>
        <w:t>”)</w:t>
      </w:r>
      <w:r w:rsidR="00EB192F" w:rsidRPr="00385A05">
        <w:rPr>
          <w:szCs w:val="24"/>
        </w:rPr>
        <w:t xml:space="preserve"> </w:t>
      </w:r>
      <w:r w:rsidRPr="002C195D">
        <w:rPr>
          <w:szCs w:val="24"/>
        </w:rPr>
        <w:t xml:space="preserve">  </w:t>
      </w:r>
    </w:p>
    <w:p w:rsidR="00E647F6" w:rsidRDefault="00E647F6" w:rsidP="00E647F6">
      <w:pPr>
        <w:spacing w:line="480" w:lineRule="auto"/>
        <w:ind w:firstLine="720"/>
      </w:pPr>
      <w:r>
        <w:t>In this case, the United States’ interest is in enforcing the ADA and Section 504</w:t>
      </w:r>
      <w:r w:rsidR="00DC2D56">
        <w:t xml:space="preserve"> of the Rehabilitation Act</w:t>
      </w:r>
      <w:r>
        <w:t xml:space="preserve"> to advance the public interest in eliminating discrimination in the form of unjustified institutionalization.  The private </w:t>
      </w:r>
      <w:r w:rsidR="00EE72F1">
        <w:t>Plaintiff</w:t>
      </w:r>
      <w:r w:rsidR="0086631E">
        <w:t>s</w:t>
      </w:r>
      <w:r>
        <w:t xml:space="preserve"> cannot and </w:t>
      </w:r>
      <w:r w:rsidR="0086631E">
        <w:t>do</w:t>
      </w:r>
      <w:r>
        <w:t xml:space="preserve"> not represent the </w:t>
      </w:r>
      <w:r w:rsidR="0086631E">
        <w:t>United States’</w:t>
      </w:r>
      <w:r>
        <w:t xml:space="preserve"> views on the proper interpretation and application </w:t>
      </w:r>
      <w:r w:rsidR="00012097">
        <w:t>of Title</w:t>
      </w:r>
      <w:r>
        <w:t xml:space="preserve"> II and Section 504</w:t>
      </w:r>
      <w:r w:rsidR="00DC2D56">
        <w:t xml:space="preserve"> of the Rehabilitation Act</w:t>
      </w:r>
      <w:r>
        <w:t xml:space="preserve">.  As the Ninth Circuit recognized in a case allowing private parties to intervene alongside government agency defendants, “[t]he interest of government and the private sector may diverge.”  </w:t>
      </w:r>
      <w:r w:rsidRPr="00525829">
        <w:rPr>
          <w:i/>
        </w:rPr>
        <w:t>Southwest Center for Biological Diversity v. Berg</w:t>
      </w:r>
      <w:r>
        <w:t>, 268 F.3d 810, 823 (9th Cir. 2001)</w:t>
      </w:r>
      <w:r w:rsidR="00F94024">
        <w:fldChar w:fldCharType="begin"/>
      </w:r>
      <w:r>
        <w:instrText xml:space="preserve"> TA \l "</w:instrText>
      </w:r>
      <w:r w:rsidRPr="00525829">
        <w:rPr>
          <w:i/>
        </w:rPr>
        <w:instrText>Southwest Center for Biological Diversity v. Berg</w:instrText>
      </w:r>
      <w:r>
        <w:instrText xml:space="preserve">, 268 F.3d 810 (10th Cir. 2001)" \s "Southwest Center for Biological Diversity v. Berg, 268 F.3d 810, 823 (10th Cir. 2001)" \c 1 </w:instrText>
      </w:r>
      <w:r w:rsidR="00F94024">
        <w:fldChar w:fldCharType="end"/>
      </w:r>
      <w:r>
        <w:t xml:space="preserve">; </w:t>
      </w:r>
      <w:r w:rsidRPr="00D50588">
        <w:rPr>
          <w:i/>
        </w:rPr>
        <w:t>s</w:t>
      </w:r>
      <w:r w:rsidRPr="004D4666">
        <w:rPr>
          <w:i/>
        </w:rPr>
        <w:t>ee also</w:t>
      </w:r>
      <w:r>
        <w:t xml:space="preserve"> </w:t>
      </w:r>
      <w:r>
        <w:rPr>
          <w:i/>
        </w:rPr>
        <w:t>San Juan County v. U.S.</w:t>
      </w:r>
      <w:r>
        <w:t xml:space="preserve">, 503 F.3d 1163, 1228 (10th Cir. 2007); </w:t>
      </w:r>
      <w:r w:rsidRPr="00525829">
        <w:rPr>
          <w:i/>
        </w:rPr>
        <w:t>Scotts Valley Band of Pomo Indians of the Sugar Bowl Rancharia v. United States</w:t>
      </w:r>
      <w:r>
        <w:t>, 921 F.2d 924, 926-27 (9th Cir. 1990)</w:t>
      </w:r>
      <w:r w:rsidR="00F94024">
        <w:fldChar w:fldCharType="begin"/>
      </w:r>
      <w:r>
        <w:instrText xml:space="preserve"> TA \l "</w:instrText>
      </w:r>
      <w:r w:rsidRPr="00525829">
        <w:rPr>
          <w:i/>
        </w:rPr>
        <w:instrText>Scotts Valley Band of Pomo Indians of the Sugar Bowl Rancharia v. United States</w:instrText>
      </w:r>
      <w:r>
        <w:instrText xml:space="preserve">, 921 F.2d 924 (9th Cir. 1990)" \s "Scotts Valley Band of Pomo Indians of the Sugar Bowl Rancharia v. United States, 921 F.2d 924, 926-27 (9th Cir. 1990)" \c 1 </w:instrText>
      </w:r>
      <w:r w:rsidR="00F94024">
        <w:fldChar w:fldCharType="end"/>
      </w:r>
      <w:r>
        <w:t xml:space="preserve"> (recognizing that city government’s interest could not be adequately represented by another entity).</w:t>
      </w:r>
    </w:p>
    <w:p w:rsidR="0016507D" w:rsidRPr="002C195D" w:rsidRDefault="0016507D" w:rsidP="0016507D">
      <w:pPr>
        <w:pStyle w:val="Subsection1"/>
      </w:pPr>
      <w:bookmarkStart w:id="17" w:name="_Toc266446356"/>
      <w:r w:rsidRPr="002C195D">
        <w:t>Permissive Intervention</w:t>
      </w:r>
      <w:bookmarkEnd w:id="17"/>
    </w:p>
    <w:p w:rsidR="0016507D" w:rsidRPr="002C195D" w:rsidRDefault="0016507D" w:rsidP="0016507D">
      <w:pPr>
        <w:pStyle w:val="Subsection1"/>
        <w:numPr>
          <w:ilvl w:val="0"/>
          <w:numId w:val="0"/>
        </w:numPr>
        <w:ind w:left="1080"/>
      </w:pPr>
    </w:p>
    <w:p w:rsidR="0016507D" w:rsidRPr="002C195D" w:rsidRDefault="0016507D" w:rsidP="0016507D">
      <w:pPr>
        <w:spacing w:line="480" w:lineRule="auto"/>
        <w:ind w:firstLine="720"/>
      </w:pPr>
      <w:r w:rsidRPr="002C195D">
        <w:t xml:space="preserve">Rule 24(b) of the Federal Rules of Civil Procedure provides an alternative basis for the United States’ intervention in this action. </w:t>
      </w:r>
      <w:r w:rsidR="00A848AF">
        <w:t xml:space="preserve"> </w:t>
      </w:r>
      <w:r w:rsidR="00A848AF" w:rsidRPr="002C195D">
        <w:t>Fed. R. Civ. P. 24(b)(1</w:t>
      </w:r>
      <w:r w:rsidR="00A848AF">
        <w:t>)(B)</w:t>
      </w:r>
      <w:r w:rsidRPr="002C195D">
        <w:t xml:space="preserve"> states, in relevant part:</w:t>
      </w:r>
    </w:p>
    <w:p w:rsidR="0016507D" w:rsidRPr="002C195D" w:rsidRDefault="008A0505" w:rsidP="0016507D">
      <w:pPr>
        <w:ind w:left="720" w:right="720"/>
        <w:jc w:val="both"/>
      </w:pPr>
      <w:r w:rsidRPr="002C195D">
        <w:t xml:space="preserve">On timely motion, the </w:t>
      </w:r>
      <w:r>
        <w:t>court</w:t>
      </w:r>
      <w:r w:rsidRPr="002C195D">
        <w:t xml:space="preserve"> may </w:t>
      </w:r>
      <w:r>
        <w:t xml:space="preserve">permit anyone to </w:t>
      </w:r>
      <w:r w:rsidRPr="002C195D">
        <w:t xml:space="preserve">intervene </w:t>
      </w:r>
      <w:r>
        <w:t>who . . . has a claim or defense that shares with the main action a common question of law or fact</w:t>
      </w:r>
      <w:r w:rsidR="0016507D" w:rsidRPr="002C195D">
        <w:t xml:space="preserve">.  </w:t>
      </w:r>
    </w:p>
    <w:p w:rsidR="0016507D" w:rsidRPr="002C195D" w:rsidRDefault="0016507D" w:rsidP="0016507D">
      <w:pPr>
        <w:ind w:right="720"/>
        <w:jc w:val="both"/>
      </w:pPr>
    </w:p>
    <w:p w:rsidR="0016507D" w:rsidRPr="002C195D" w:rsidRDefault="0016507D" w:rsidP="00D7590A">
      <w:pPr>
        <w:spacing w:line="480" w:lineRule="auto"/>
        <w:ind w:right="720"/>
        <w:rPr>
          <w:color w:val="FF0000"/>
        </w:rPr>
      </w:pPr>
      <w:r w:rsidRPr="002C195D">
        <w:t>Additionally, the Rule provides that a federal officer or agency may be permitted to intervene</w:t>
      </w:r>
      <w:r w:rsidR="00D7590A">
        <w:t>, upon timely motion,</w:t>
      </w:r>
      <w:r w:rsidRPr="002C195D">
        <w:t xml:space="preserve"> in an action</w:t>
      </w:r>
      <w:r w:rsidR="005E3A77">
        <w:t xml:space="preserve"> if an existing </w:t>
      </w:r>
      <w:r w:rsidR="00D7590A">
        <w:t>party’s claim or defense is based upon “a</w:t>
      </w:r>
      <w:r w:rsidRPr="002C195D">
        <w:t xml:space="preserve"> statute or executive order administered by </w:t>
      </w:r>
      <w:r w:rsidR="005E3A77">
        <w:t>the officer or agency; or</w:t>
      </w:r>
      <w:r w:rsidR="00A848AF">
        <w:t xml:space="preserve"> </w:t>
      </w:r>
      <w:r w:rsidR="00012097">
        <w:t>. . .</w:t>
      </w:r>
      <w:r w:rsidR="00D7590A">
        <w:t xml:space="preserve"> any regulation, order, </w:t>
      </w:r>
      <w:r w:rsidRPr="002C195D">
        <w:t xml:space="preserve">requirement or agreement issued or made </w:t>
      </w:r>
      <w:r w:rsidR="00D7590A">
        <w:t xml:space="preserve">under </w:t>
      </w:r>
      <w:r w:rsidRPr="002C195D">
        <w:t>the statute or executive order.</w:t>
      </w:r>
      <w:r w:rsidR="00D7590A">
        <w:t xml:space="preserve">” </w:t>
      </w:r>
      <w:r w:rsidR="00012097">
        <w:t xml:space="preserve"> </w:t>
      </w:r>
      <w:r w:rsidRPr="002C195D">
        <w:t>Fed. R. Civ. P. 24(b)(2).</w:t>
      </w:r>
      <w:r w:rsidR="00F94024" w:rsidRPr="002C195D">
        <w:fldChar w:fldCharType="begin"/>
      </w:r>
      <w:r w:rsidRPr="002C195D">
        <w:instrText xml:space="preserve"> TA \s "Fed. R. Civ. P. 24" </w:instrText>
      </w:r>
      <w:r w:rsidR="00F94024" w:rsidRPr="002C195D">
        <w:fldChar w:fldCharType="end"/>
      </w:r>
      <w:r w:rsidRPr="002C195D">
        <w:t xml:space="preserve">  </w:t>
      </w:r>
      <w:r w:rsidR="0086631E">
        <w:t xml:space="preserve">For </w:t>
      </w:r>
      <w:r w:rsidR="004B5708">
        <w:t>a</w:t>
      </w:r>
      <w:r w:rsidR="0086631E">
        <w:t xml:space="preserve">ll requests for permissive intervention, the “court must consider whether the intervention will unduly delay or prejudice the adjudication of the original parties’ rights.”  </w:t>
      </w:r>
      <w:r w:rsidR="0086631E" w:rsidRPr="002C195D">
        <w:t>Fed. R. Civ. P. 24(</w:t>
      </w:r>
      <w:r w:rsidR="000B49A3">
        <w:t>b</w:t>
      </w:r>
      <w:r w:rsidR="0086631E" w:rsidRPr="002C195D">
        <w:t>)</w:t>
      </w:r>
      <w:r w:rsidR="000B49A3">
        <w:t>(3)</w:t>
      </w:r>
      <w:r w:rsidR="0086631E" w:rsidRPr="002C195D">
        <w:t>.</w:t>
      </w:r>
      <w:r w:rsidR="00F94024" w:rsidRPr="002C195D">
        <w:fldChar w:fldCharType="begin"/>
      </w:r>
      <w:r w:rsidR="0086631E" w:rsidRPr="002C195D">
        <w:instrText xml:space="preserve"> TA \s "Fed. R. Civ. P. 24" </w:instrText>
      </w:r>
      <w:r w:rsidR="00F94024" w:rsidRPr="002C195D">
        <w:fldChar w:fldCharType="end"/>
      </w:r>
      <w:r w:rsidR="0086631E" w:rsidRPr="002C195D">
        <w:t xml:space="preserve">  </w:t>
      </w:r>
      <w:r w:rsidR="00D7590A">
        <w:t xml:space="preserve">The United States should be granted permissive intervention pursuant to Rule 24(b)(1) and (2). </w:t>
      </w:r>
    </w:p>
    <w:p w:rsidR="00D7590A" w:rsidRDefault="0016507D" w:rsidP="00D7590A">
      <w:pPr>
        <w:spacing w:line="480" w:lineRule="auto"/>
        <w:ind w:firstLine="720"/>
      </w:pPr>
      <w:r w:rsidRPr="002C195D">
        <w:t xml:space="preserve">As discussed above in conjunction with the Rule 24(a) analysis, the United States’ application for intervention in this litigation is timely and the United States’ participation would neither unduly delay the proceedings nor prejudice the adjudication of the </w:t>
      </w:r>
      <w:r w:rsidR="00F355FE">
        <w:t>rights of the original parties.</w:t>
      </w:r>
      <w:r w:rsidRPr="002C195D">
        <w:t xml:space="preserve">  </w:t>
      </w:r>
      <w:r w:rsidR="00D7590A">
        <w:t xml:space="preserve">Additionally, the United States’ claims against the State of Texas—namely, that the State unnecessarily segregates individuals with developmental disabilities in nursing facilities and places them at risk of placement therein—share common questions of law and fact with the private </w:t>
      </w:r>
      <w:r w:rsidR="00EE72F1">
        <w:t>Plaintiff</w:t>
      </w:r>
      <w:r w:rsidR="00D7590A">
        <w:t xml:space="preserve">s’ claims.  </w:t>
      </w:r>
    </w:p>
    <w:p w:rsidR="0007562C" w:rsidRDefault="0007562C" w:rsidP="0007562C">
      <w:pPr>
        <w:spacing w:line="480" w:lineRule="auto"/>
        <w:ind w:firstLine="720"/>
      </w:pPr>
      <w:r>
        <w:t xml:space="preserve">Additionally, Federal Rule of Civil Procedure 24(b)(2) permits intervention by a government agency if a party’s claim is based on a statute administered by the agency.  </w:t>
      </w:r>
      <w:r w:rsidRPr="002C195D">
        <w:rPr>
          <w:i/>
        </w:rPr>
        <w:t>See</w:t>
      </w:r>
      <w:r w:rsidRPr="002C195D">
        <w:t xml:space="preserve"> Fed. R. Civ. P. 24 </w:t>
      </w:r>
      <w:r w:rsidR="00B13369">
        <w:t xml:space="preserve">Advisory Committee Notes on the 1946 Amendments </w:t>
      </w:r>
      <w:r w:rsidRPr="002C195D">
        <w:t xml:space="preserve">(explaining that subsection (b) was amended in 1946 to include explicit reference to governmental agencies and officers in order to avoid exclusionary construction of the rule, and citing, with approval, cases in which governmental entities were permitted to intervene).  </w:t>
      </w:r>
      <w:r>
        <w:t xml:space="preserve">As the agency tasked with enforcing </w:t>
      </w:r>
      <w:r w:rsidR="00012097">
        <w:t>T</w:t>
      </w:r>
      <w:r>
        <w:t>itl</w:t>
      </w:r>
      <w:r w:rsidR="005E3A77">
        <w:t xml:space="preserve">e II of the ADA, the Department’s </w:t>
      </w:r>
      <w:r>
        <w:t xml:space="preserve">intervention falls squarely within the language of Rule 24(b)(2).  </w:t>
      </w:r>
      <w:r w:rsidRPr="00507BEF">
        <w:rPr>
          <w:i/>
        </w:rPr>
        <w:t>See</w:t>
      </w:r>
      <w:r w:rsidR="00120A04">
        <w:t xml:space="preserve">, </w:t>
      </w:r>
      <w:r w:rsidR="00120A04">
        <w:rPr>
          <w:i/>
        </w:rPr>
        <w:t>e.g.</w:t>
      </w:r>
      <w:r w:rsidR="00120A04">
        <w:t>,</w:t>
      </w:r>
      <w:r w:rsidRPr="00507BEF">
        <w:rPr>
          <w:i/>
        </w:rPr>
        <w:t xml:space="preserve"> Disability Advocates, Inc. v. Paterson</w:t>
      </w:r>
      <w:r>
        <w:t>, No. 03</w:t>
      </w:r>
      <w:r w:rsidRPr="00507BEF">
        <w:t>-3209</w:t>
      </w:r>
      <w:r>
        <w:t xml:space="preserve">, 2009 </w:t>
      </w:r>
      <w:r w:rsidRPr="00507BEF">
        <w:t>WL 4506301</w:t>
      </w:r>
      <w:r w:rsidR="005E3A77">
        <w:t>,</w:t>
      </w:r>
      <w:r>
        <w:t xml:space="preserve"> at *2 (E.D.N.Y. Nov. 23, 2009) (permitting intervention by the United States under Fed. R. Civ. P. 24(b)(2) in an action based on Title II’s integration mandate).  Accordingly, the United States meets the requirements for permissive intervention.      </w:t>
      </w:r>
    </w:p>
    <w:p w:rsidR="0016507D" w:rsidRPr="002C195D" w:rsidRDefault="0016507D" w:rsidP="00A63916">
      <w:pPr>
        <w:pStyle w:val="SectionHeading"/>
      </w:pPr>
      <w:bookmarkStart w:id="18" w:name="_Toc133239440"/>
      <w:bookmarkStart w:id="19" w:name="_Toc133240757"/>
      <w:bookmarkStart w:id="20" w:name="_Toc266446357"/>
      <w:r w:rsidRPr="002C195D">
        <w:t>CONCLUSION</w:t>
      </w:r>
      <w:bookmarkEnd w:id="18"/>
      <w:bookmarkEnd w:id="19"/>
      <w:bookmarkEnd w:id="20"/>
    </w:p>
    <w:p w:rsidR="0016507D" w:rsidRPr="002C195D" w:rsidRDefault="0016507D" w:rsidP="00D50828">
      <w:pPr>
        <w:pStyle w:val="SectionHeading"/>
      </w:pPr>
    </w:p>
    <w:p w:rsidR="0016507D" w:rsidRDefault="0016507D" w:rsidP="0016507D">
      <w:pPr>
        <w:spacing w:line="480" w:lineRule="auto"/>
        <w:ind w:firstLine="720"/>
      </w:pPr>
      <w:r w:rsidRPr="002C195D">
        <w:t xml:space="preserve">For the foregoing reasons, the Court should grant the United States’ </w:t>
      </w:r>
      <w:r w:rsidR="00D45356">
        <w:t xml:space="preserve">Motion to Intervene </w:t>
      </w:r>
      <w:r w:rsidRPr="002C195D">
        <w:t xml:space="preserve">and order its intervention in this action (i) as a matter of right pursuant to Rule 24(a)(2) of the Federal Rules of Civil Procedure or, in the alternative, </w:t>
      </w:r>
      <w:r w:rsidRPr="005E3A77">
        <w:t>(ii) permissively pursuant to Rule 24(b) of the Federal Rules of Civil Procedure.  A proposed order</w:t>
      </w:r>
      <w:r w:rsidRPr="002C195D">
        <w:t xml:space="preserve"> and </w:t>
      </w:r>
      <w:r w:rsidR="00A848AF">
        <w:t>Complaint in Intervention</w:t>
      </w:r>
      <w:r w:rsidRPr="002C195D">
        <w:t xml:space="preserve"> accompany this memorandum.</w:t>
      </w:r>
    </w:p>
    <w:p w:rsidR="004B767E" w:rsidRPr="004B767E" w:rsidRDefault="004B767E" w:rsidP="004B767E">
      <w:pPr>
        <w:pStyle w:val="WPTitle"/>
        <w:widowControl/>
        <w:spacing w:line="480" w:lineRule="auto"/>
        <w:rPr>
          <w:sz w:val="24"/>
          <w:szCs w:val="24"/>
        </w:rPr>
      </w:pPr>
      <w:r w:rsidRPr="004B767E">
        <w:rPr>
          <w:sz w:val="24"/>
          <w:szCs w:val="24"/>
        </w:rPr>
        <w:t>Local Rule CV-7(h) Certification</w:t>
      </w:r>
    </w:p>
    <w:p w:rsidR="004B767E" w:rsidRPr="002C195D" w:rsidRDefault="004B767E" w:rsidP="004B767E">
      <w:pPr>
        <w:pStyle w:val="WPTitle"/>
        <w:widowControl/>
        <w:spacing w:line="480" w:lineRule="auto"/>
        <w:ind w:firstLine="720"/>
        <w:jc w:val="left"/>
        <w:rPr>
          <w:szCs w:val="24"/>
          <w:lang w:val="en-CA"/>
        </w:rPr>
      </w:pPr>
      <w:r w:rsidRPr="002C195D">
        <w:rPr>
          <w:b w:val="0"/>
          <w:sz w:val="24"/>
          <w:szCs w:val="24"/>
        </w:rPr>
        <w:t xml:space="preserve">Pursuant to Local Rule </w:t>
      </w:r>
      <w:r>
        <w:rPr>
          <w:b w:val="0"/>
          <w:sz w:val="24"/>
          <w:szCs w:val="24"/>
        </w:rPr>
        <w:t>CV-7(h)</w:t>
      </w:r>
      <w:r w:rsidRPr="002C195D">
        <w:rPr>
          <w:b w:val="0"/>
          <w:sz w:val="24"/>
          <w:szCs w:val="24"/>
        </w:rPr>
        <w:t xml:space="preserve">, counsel for the United States conferred with </w:t>
      </w:r>
      <w:r w:rsidR="00A848AF">
        <w:rPr>
          <w:b w:val="0"/>
          <w:sz w:val="24"/>
          <w:szCs w:val="24"/>
        </w:rPr>
        <w:t xml:space="preserve">counsel for both parties, who indicated that the Defendants oppose the relief requested in this motion and the Plaintiffs consent to the relief requested in this Motion. </w:t>
      </w:r>
    </w:p>
    <w:p w:rsidR="006A0DAB" w:rsidRDefault="006A0DAB" w:rsidP="006A0DAB">
      <w:pPr>
        <w:ind w:left="3600" w:firstLine="720"/>
        <w:rPr>
          <w:u w:val="single"/>
        </w:rPr>
      </w:pPr>
    </w:p>
    <w:p w:rsidR="006A0DAB" w:rsidRDefault="006A0DAB" w:rsidP="006A0DAB">
      <w:pPr>
        <w:ind w:left="3600" w:firstLine="720"/>
        <w:rPr>
          <w:u w:val="single"/>
        </w:rPr>
      </w:pPr>
    </w:p>
    <w:p w:rsidR="00470C2A" w:rsidRPr="003C6A1F" w:rsidRDefault="003C6A1F" w:rsidP="006A0DAB">
      <w:pPr>
        <w:ind w:left="3600" w:firstLine="720"/>
        <w:rPr>
          <w:b/>
        </w:rPr>
      </w:pPr>
      <w:r w:rsidRPr="003C6A1F">
        <w:rPr>
          <w:b/>
        </w:rPr>
        <w:t>__________________________</w:t>
      </w:r>
    </w:p>
    <w:p w:rsidR="006A0DAB" w:rsidRDefault="00470C2A" w:rsidP="006A0DAB">
      <w:pPr>
        <w:pStyle w:val="WPTitle"/>
        <w:widowControl/>
        <w:ind w:left="3600" w:firstLine="720"/>
        <w:jc w:val="left"/>
        <w:rPr>
          <w:b w:val="0"/>
          <w:sz w:val="24"/>
          <w:szCs w:val="24"/>
        </w:rPr>
      </w:pPr>
      <w:r>
        <w:rPr>
          <w:b w:val="0"/>
          <w:sz w:val="24"/>
          <w:szCs w:val="24"/>
        </w:rPr>
        <w:t>Regan Rush</w:t>
      </w:r>
      <w:r w:rsidRPr="002C195D">
        <w:rPr>
          <w:b w:val="0"/>
          <w:sz w:val="24"/>
          <w:szCs w:val="24"/>
        </w:rPr>
        <w:t>, Trial Attorney</w:t>
      </w:r>
    </w:p>
    <w:p w:rsidR="006A0DAB" w:rsidRDefault="00470C2A" w:rsidP="006A0DAB">
      <w:pPr>
        <w:pStyle w:val="WPTitle"/>
        <w:widowControl/>
        <w:ind w:left="3600" w:firstLine="720"/>
        <w:jc w:val="left"/>
        <w:rPr>
          <w:b w:val="0"/>
          <w:sz w:val="24"/>
          <w:szCs w:val="24"/>
        </w:rPr>
      </w:pPr>
      <w:r w:rsidRPr="002C195D">
        <w:rPr>
          <w:b w:val="0"/>
          <w:sz w:val="24"/>
          <w:szCs w:val="24"/>
        </w:rPr>
        <w:t>Disability Rights Section</w:t>
      </w:r>
    </w:p>
    <w:p w:rsidR="006A0DAB" w:rsidRDefault="00470C2A" w:rsidP="006A0DAB">
      <w:pPr>
        <w:pStyle w:val="WPTitle"/>
        <w:widowControl/>
        <w:ind w:left="3600" w:firstLine="720"/>
        <w:jc w:val="left"/>
        <w:rPr>
          <w:b w:val="0"/>
          <w:sz w:val="24"/>
          <w:szCs w:val="24"/>
        </w:rPr>
      </w:pPr>
      <w:r w:rsidRPr="002C195D">
        <w:rPr>
          <w:b w:val="0"/>
          <w:sz w:val="24"/>
          <w:szCs w:val="24"/>
        </w:rPr>
        <w:t>Civil Rights Division</w:t>
      </w:r>
    </w:p>
    <w:p w:rsidR="006A0DAB" w:rsidRDefault="00470C2A" w:rsidP="006A0DAB">
      <w:pPr>
        <w:pStyle w:val="WPTitle"/>
        <w:widowControl/>
        <w:ind w:left="3600" w:firstLine="720"/>
        <w:jc w:val="left"/>
        <w:rPr>
          <w:b w:val="0"/>
          <w:sz w:val="24"/>
          <w:szCs w:val="24"/>
        </w:rPr>
      </w:pPr>
      <w:r w:rsidRPr="002C195D">
        <w:rPr>
          <w:b w:val="0"/>
          <w:sz w:val="24"/>
          <w:szCs w:val="24"/>
        </w:rPr>
        <w:t>U.S. Department of Justice</w:t>
      </w:r>
    </w:p>
    <w:p w:rsidR="006A0DAB" w:rsidRDefault="00470C2A" w:rsidP="006A0DAB">
      <w:pPr>
        <w:pStyle w:val="WPTitle"/>
        <w:widowControl/>
        <w:ind w:left="3600" w:firstLine="720"/>
        <w:jc w:val="left"/>
        <w:rPr>
          <w:b w:val="0"/>
          <w:sz w:val="24"/>
          <w:szCs w:val="24"/>
        </w:rPr>
      </w:pPr>
      <w:r w:rsidRPr="002C195D">
        <w:rPr>
          <w:b w:val="0"/>
          <w:sz w:val="24"/>
          <w:szCs w:val="24"/>
        </w:rPr>
        <w:t>950 Pennsylvania Avenue, N.W. – NYA</w:t>
      </w:r>
    </w:p>
    <w:p w:rsidR="006A0DAB" w:rsidRDefault="00470C2A" w:rsidP="006A0DAB">
      <w:pPr>
        <w:pStyle w:val="WPTitle"/>
        <w:widowControl/>
        <w:ind w:left="3600" w:firstLine="720"/>
        <w:jc w:val="left"/>
        <w:rPr>
          <w:b w:val="0"/>
          <w:sz w:val="24"/>
          <w:szCs w:val="24"/>
        </w:rPr>
      </w:pPr>
      <w:r w:rsidRPr="002C195D">
        <w:rPr>
          <w:b w:val="0"/>
          <w:sz w:val="24"/>
          <w:szCs w:val="24"/>
        </w:rPr>
        <w:t>Washington, D.C. 20530</w:t>
      </w:r>
    </w:p>
    <w:p w:rsidR="006A0DAB" w:rsidRDefault="00470C2A" w:rsidP="006A0DAB">
      <w:pPr>
        <w:pStyle w:val="WPTitle"/>
        <w:widowControl/>
        <w:ind w:left="3600" w:firstLine="720"/>
        <w:jc w:val="left"/>
        <w:rPr>
          <w:b w:val="0"/>
          <w:sz w:val="24"/>
          <w:szCs w:val="24"/>
        </w:rPr>
      </w:pPr>
      <w:r w:rsidRPr="002C195D">
        <w:rPr>
          <w:b w:val="0"/>
          <w:sz w:val="24"/>
          <w:szCs w:val="24"/>
        </w:rPr>
        <w:t xml:space="preserve">Telephone: (202) </w:t>
      </w:r>
      <w:r>
        <w:rPr>
          <w:b w:val="0"/>
          <w:sz w:val="24"/>
          <w:szCs w:val="24"/>
        </w:rPr>
        <w:t>307-0663</w:t>
      </w:r>
    </w:p>
    <w:p w:rsidR="006A0DAB" w:rsidRDefault="00470C2A" w:rsidP="006A0DAB">
      <w:pPr>
        <w:pStyle w:val="WPTitle"/>
        <w:widowControl/>
        <w:ind w:left="3600" w:firstLine="720"/>
        <w:jc w:val="left"/>
        <w:rPr>
          <w:b w:val="0"/>
          <w:sz w:val="24"/>
          <w:szCs w:val="24"/>
        </w:rPr>
      </w:pPr>
      <w:r w:rsidRPr="002C195D">
        <w:rPr>
          <w:b w:val="0"/>
          <w:sz w:val="24"/>
          <w:szCs w:val="24"/>
        </w:rPr>
        <w:t>Facsimile: (202) 307-1197</w:t>
      </w:r>
    </w:p>
    <w:p w:rsidR="00470C2A" w:rsidRDefault="00F94024" w:rsidP="006A0DAB">
      <w:pPr>
        <w:pStyle w:val="WPTitle"/>
        <w:widowControl/>
        <w:ind w:left="3600" w:firstLine="720"/>
        <w:jc w:val="left"/>
        <w:rPr>
          <w:b w:val="0"/>
          <w:sz w:val="24"/>
          <w:szCs w:val="24"/>
        </w:rPr>
      </w:pPr>
      <w:hyperlink r:id="rId7" w:history="1">
        <w:r w:rsidR="00470C2A" w:rsidRPr="00B05388">
          <w:rPr>
            <w:rStyle w:val="Hyperlink"/>
            <w:b w:val="0"/>
            <w:sz w:val="24"/>
            <w:szCs w:val="24"/>
          </w:rPr>
          <w:t>Regan.Rush@usdoj.gov</w:t>
        </w:r>
      </w:hyperlink>
    </w:p>
    <w:p w:rsidR="00470C2A" w:rsidRDefault="00470C2A" w:rsidP="00470C2A">
      <w:pPr>
        <w:pStyle w:val="WPTitle"/>
        <w:widowControl/>
        <w:ind w:left="5040"/>
        <w:jc w:val="left"/>
        <w:rPr>
          <w:b w:val="0"/>
          <w:sz w:val="24"/>
          <w:szCs w:val="24"/>
        </w:rPr>
      </w:pPr>
      <w:r>
        <w:rPr>
          <w:b w:val="0"/>
          <w:sz w:val="24"/>
          <w:szCs w:val="24"/>
        </w:rPr>
        <w:br w:type="page"/>
      </w:r>
    </w:p>
    <w:p w:rsidR="0016507D" w:rsidRPr="002C195D" w:rsidRDefault="0016507D" w:rsidP="0016507D">
      <w:pPr>
        <w:spacing w:line="480" w:lineRule="auto"/>
        <w:ind w:left="360"/>
      </w:pPr>
      <w:r w:rsidRPr="002C195D">
        <w:t xml:space="preserve">Dated: </w:t>
      </w:r>
      <w:r w:rsidR="00D62E39">
        <w:t xml:space="preserve">June </w:t>
      </w:r>
      <w:r w:rsidR="005E3A77">
        <w:t>22</w:t>
      </w:r>
      <w:r w:rsidRPr="002C195D">
        <w:t>, 2011</w:t>
      </w:r>
    </w:p>
    <w:p w:rsidR="00EB51C6" w:rsidRPr="002C195D" w:rsidRDefault="00EB51C6" w:rsidP="0016507D">
      <w:pPr>
        <w:spacing w:line="480" w:lineRule="auto"/>
      </w:pPr>
      <w:r w:rsidRPr="002C195D">
        <w:tab/>
      </w:r>
      <w:r w:rsidRPr="002C195D">
        <w:tab/>
      </w:r>
      <w:r w:rsidRPr="002C195D">
        <w:tab/>
      </w:r>
      <w:r w:rsidRPr="002C195D">
        <w:tab/>
      </w:r>
      <w:r w:rsidRPr="002C195D">
        <w:tab/>
      </w:r>
      <w:r w:rsidRPr="002C195D">
        <w:tab/>
        <w:t>Respectfully submitted,</w:t>
      </w:r>
    </w:p>
    <w:p w:rsidR="00EB51C6" w:rsidRPr="002C195D" w:rsidRDefault="00EB51C6" w:rsidP="00EB51C6">
      <w:pPr>
        <w:ind w:left="360"/>
      </w:pPr>
      <w:r w:rsidRPr="002C195D">
        <w:tab/>
      </w:r>
      <w:r w:rsidRPr="002C195D">
        <w:tab/>
      </w:r>
      <w:r w:rsidRPr="002C195D">
        <w:tab/>
      </w:r>
      <w:r w:rsidRPr="002C195D">
        <w:tab/>
      </w:r>
      <w:r w:rsidRPr="002C195D">
        <w:tab/>
      </w:r>
      <w:r w:rsidRPr="002C195D">
        <w:tab/>
        <w:t>THOMAS E. PEREZ</w:t>
      </w:r>
    </w:p>
    <w:p w:rsidR="00EB51C6" w:rsidRPr="002C195D" w:rsidRDefault="00EB51C6" w:rsidP="00EB51C6">
      <w:pPr>
        <w:ind w:left="360"/>
      </w:pPr>
      <w:r w:rsidRPr="002C195D">
        <w:tab/>
      </w:r>
      <w:r w:rsidRPr="002C195D">
        <w:tab/>
      </w:r>
      <w:r w:rsidRPr="002C195D">
        <w:tab/>
      </w:r>
      <w:r w:rsidRPr="002C195D">
        <w:tab/>
      </w:r>
      <w:r w:rsidRPr="002C195D">
        <w:tab/>
      </w:r>
      <w:r w:rsidRPr="002C195D">
        <w:tab/>
        <w:t>Assistant Attorney General</w:t>
      </w:r>
    </w:p>
    <w:p w:rsidR="00EB51C6" w:rsidRPr="002C195D" w:rsidRDefault="00EB51C6" w:rsidP="00EB51C6">
      <w:pPr>
        <w:ind w:left="360"/>
      </w:pPr>
      <w:r w:rsidRPr="002C195D">
        <w:tab/>
      </w:r>
      <w:r w:rsidRPr="002C195D">
        <w:tab/>
      </w:r>
      <w:r w:rsidRPr="002C195D">
        <w:tab/>
      </w:r>
      <w:r w:rsidRPr="002C195D">
        <w:tab/>
      </w:r>
      <w:r w:rsidRPr="002C195D">
        <w:tab/>
      </w:r>
      <w:r w:rsidRPr="002C195D">
        <w:tab/>
      </w:r>
    </w:p>
    <w:p w:rsidR="00EB51C6" w:rsidRPr="002C195D" w:rsidRDefault="00EB51C6" w:rsidP="00EB51C6">
      <w:pPr>
        <w:ind w:left="3600" w:firstLine="720"/>
      </w:pPr>
      <w:r w:rsidRPr="002C195D">
        <w:t>SAMUEL R. BAGENSTOS</w:t>
      </w:r>
    </w:p>
    <w:p w:rsidR="00EB51C6" w:rsidRPr="002C195D" w:rsidRDefault="00EB51C6" w:rsidP="00EB51C6">
      <w:pPr>
        <w:ind w:left="360"/>
      </w:pPr>
      <w:r w:rsidRPr="002C195D">
        <w:tab/>
      </w:r>
      <w:r w:rsidRPr="002C195D">
        <w:tab/>
      </w:r>
      <w:r w:rsidRPr="002C195D">
        <w:tab/>
      </w:r>
      <w:r w:rsidRPr="002C195D">
        <w:tab/>
      </w:r>
      <w:r w:rsidRPr="002C195D">
        <w:tab/>
      </w:r>
      <w:r w:rsidRPr="002C195D">
        <w:tab/>
        <w:t>Principal Deputy Assistant Attorney General</w:t>
      </w:r>
    </w:p>
    <w:p w:rsidR="00D62E39" w:rsidRDefault="00D62E39" w:rsidP="00EB51C6">
      <w:pPr>
        <w:ind w:left="3600" w:firstLine="720"/>
      </w:pPr>
    </w:p>
    <w:p w:rsidR="00D62E39" w:rsidRDefault="00D62E39" w:rsidP="00EB51C6">
      <w:pPr>
        <w:ind w:left="3600" w:firstLine="720"/>
      </w:pPr>
      <w:r>
        <w:t>JOHN WODATCH</w:t>
      </w:r>
    </w:p>
    <w:p w:rsidR="00D62E39" w:rsidRDefault="00D62E39" w:rsidP="00EB51C6">
      <w:pPr>
        <w:ind w:left="3600" w:firstLine="720"/>
      </w:pPr>
      <w:r>
        <w:t>Acting Deputy Assistant Attorney General</w:t>
      </w:r>
    </w:p>
    <w:p w:rsidR="00D62E39" w:rsidRDefault="00D62E39" w:rsidP="00D62E39">
      <w:pPr>
        <w:ind w:left="3600" w:firstLine="720"/>
      </w:pPr>
    </w:p>
    <w:p w:rsidR="00D62E39" w:rsidRDefault="00D62E39" w:rsidP="00D62E39">
      <w:pPr>
        <w:ind w:left="3600" w:firstLine="720"/>
      </w:pPr>
      <w:r>
        <w:t>ALISON BARKOFF</w:t>
      </w:r>
      <w:r>
        <w:tab/>
      </w:r>
    </w:p>
    <w:p w:rsidR="00D62E39" w:rsidRDefault="00D62E39" w:rsidP="00D62E39">
      <w:pPr>
        <w:ind w:left="4320"/>
      </w:pPr>
      <w:r>
        <w:t xml:space="preserve">Special Counsel for </w:t>
      </w:r>
      <w:r w:rsidRPr="00D62E39">
        <w:rPr>
          <w:i/>
        </w:rPr>
        <w:t>Olmstead</w:t>
      </w:r>
      <w:r>
        <w:t xml:space="preserve"> Enforcement</w:t>
      </w:r>
    </w:p>
    <w:p w:rsidR="00D62E39" w:rsidRDefault="00D62E39" w:rsidP="00D62E39">
      <w:pPr>
        <w:ind w:left="3600" w:firstLine="720"/>
      </w:pPr>
      <w:r>
        <w:t xml:space="preserve">Civil Rights Division </w:t>
      </w:r>
    </w:p>
    <w:p w:rsidR="00D62E39" w:rsidRPr="002C195D" w:rsidRDefault="00D62E39" w:rsidP="00EB51C6">
      <w:pPr>
        <w:ind w:left="3600" w:firstLine="720"/>
      </w:pPr>
    </w:p>
    <w:p w:rsidR="00EB51C6" w:rsidRPr="002C195D" w:rsidRDefault="00EB51C6" w:rsidP="00EB51C6">
      <w:pPr>
        <w:pStyle w:val="WPTitle"/>
        <w:widowControl/>
        <w:ind w:left="5040"/>
        <w:jc w:val="left"/>
        <w:rPr>
          <w:b w:val="0"/>
          <w:sz w:val="24"/>
          <w:szCs w:val="24"/>
        </w:rPr>
      </w:pPr>
    </w:p>
    <w:p w:rsidR="006A0DAB" w:rsidRPr="003C6A1F" w:rsidRDefault="003C6A1F" w:rsidP="00EB51C6">
      <w:pPr>
        <w:pStyle w:val="WPTitle"/>
        <w:widowControl/>
        <w:ind w:left="3600" w:firstLine="720"/>
        <w:jc w:val="left"/>
        <w:rPr>
          <w:b w:val="0"/>
          <w:sz w:val="24"/>
          <w:szCs w:val="24"/>
        </w:rPr>
      </w:pPr>
      <w:r w:rsidRPr="003C6A1F">
        <w:rPr>
          <w:b w:val="0"/>
          <w:sz w:val="24"/>
          <w:szCs w:val="24"/>
        </w:rPr>
        <w:t>__________________________________</w:t>
      </w:r>
    </w:p>
    <w:p w:rsidR="00EB51C6" w:rsidRPr="002C195D" w:rsidRDefault="00D62E39" w:rsidP="00EB51C6">
      <w:pPr>
        <w:pStyle w:val="WPTitle"/>
        <w:widowControl/>
        <w:ind w:left="3600" w:firstLine="720"/>
        <w:jc w:val="left"/>
        <w:rPr>
          <w:b w:val="0"/>
          <w:sz w:val="24"/>
          <w:szCs w:val="24"/>
        </w:rPr>
      </w:pPr>
      <w:r>
        <w:rPr>
          <w:b w:val="0"/>
          <w:sz w:val="24"/>
          <w:szCs w:val="24"/>
        </w:rPr>
        <w:t>ALLISON NICHOL,</w:t>
      </w:r>
      <w:r w:rsidR="00EB51C6" w:rsidRPr="002C195D">
        <w:rPr>
          <w:b w:val="0"/>
          <w:sz w:val="24"/>
          <w:szCs w:val="24"/>
        </w:rPr>
        <w:t xml:space="preserve"> Chief</w:t>
      </w:r>
    </w:p>
    <w:p w:rsidR="00EB51C6" w:rsidRPr="002C195D" w:rsidRDefault="00D62E39" w:rsidP="00D62E39">
      <w:pPr>
        <w:pStyle w:val="WPTitle"/>
        <w:widowControl/>
        <w:ind w:left="4320"/>
        <w:jc w:val="left"/>
        <w:rPr>
          <w:b w:val="0"/>
          <w:sz w:val="24"/>
          <w:szCs w:val="24"/>
        </w:rPr>
      </w:pPr>
      <w:r>
        <w:rPr>
          <w:b w:val="0"/>
          <w:sz w:val="24"/>
          <w:szCs w:val="24"/>
        </w:rPr>
        <w:t>KATHLEEN WOLFE</w:t>
      </w:r>
      <w:r w:rsidR="00EB51C6" w:rsidRPr="002C195D">
        <w:rPr>
          <w:b w:val="0"/>
          <w:sz w:val="24"/>
          <w:szCs w:val="24"/>
        </w:rPr>
        <w:t>,</w:t>
      </w:r>
      <w:r>
        <w:rPr>
          <w:b w:val="0"/>
          <w:sz w:val="24"/>
          <w:szCs w:val="24"/>
        </w:rPr>
        <w:t xml:space="preserve"> Acting</w:t>
      </w:r>
      <w:r w:rsidR="00EB51C6" w:rsidRPr="002C195D">
        <w:rPr>
          <w:b w:val="0"/>
          <w:sz w:val="24"/>
          <w:szCs w:val="24"/>
        </w:rPr>
        <w:t xml:space="preserve"> Special Legal Counsel</w:t>
      </w:r>
    </w:p>
    <w:p w:rsidR="00EB51C6" w:rsidRPr="002C195D" w:rsidRDefault="00EB51C6" w:rsidP="00EB51C6">
      <w:pPr>
        <w:pStyle w:val="WPTitle"/>
        <w:widowControl/>
        <w:ind w:left="3600" w:firstLine="720"/>
        <w:jc w:val="left"/>
        <w:rPr>
          <w:b w:val="0"/>
          <w:sz w:val="24"/>
          <w:szCs w:val="24"/>
        </w:rPr>
      </w:pPr>
      <w:r w:rsidRPr="002C195D">
        <w:rPr>
          <w:b w:val="0"/>
          <w:sz w:val="24"/>
          <w:szCs w:val="24"/>
        </w:rPr>
        <w:t>RENEE M. WOHLENHAUS, Deputy Chief</w:t>
      </w:r>
    </w:p>
    <w:p w:rsidR="00EB51C6" w:rsidRDefault="00EB51C6" w:rsidP="00EB51C6">
      <w:pPr>
        <w:pStyle w:val="WPTitle"/>
        <w:widowControl/>
        <w:ind w:left="3600" w:firstLine="720"/>
        <w:jc w:val="left"/>
        <w:rPr>
          <w:b w:val="0"/>
          <w:sz w:val="24"/>
          <w:szCs w:val="24"/>
        </w:rPr>
      </w:pPr>
      <w:r w:rsidRPr="002C195D">
        <w:rPr>
          <w:b w:val="0"/>
          <w:sz w:val="24"/>
          <w:szCs w:val="24"/>
        </w:rPr>
        <w:t>REGAN RUSH, Trial Attorney</w:t>
      </w:r>
    </w:p>
    <w:p w:rsidR="004162D3" w:rsidRPr="002C195D" w:rsidRDefault="004162D3" w:rsidP="00EB51C6">
      <w:pPr>
        <w:pStyle w:val="WPTitle"/>
        <w:widowControl/>
        <w:ind w:left="3600" w:firstLine="720"/>
        <w:jc w:val="left"/>
        <w:rPr>
          <w:b w:val="0"/>
          <w:sz w:val="24"/>
          <w:szCs w:val="24"/>
        </w:rPr>
      </w:pPr>
      <w:r>
        <w:rPr>
          <w:b w:val="0"/>
          <w:sz w:val="24"/>
          <w:szCs w:val="24"/>
        </w:rPr>
        <w:t>D.C. Bar No. 980252*</w:t>
      </w:r>
    </w:p>
    <w:p w:rsidR="00EB51C6" w:rsidRPr="002C195D" w:rsidRDefault="00EB51C6" w:rsidP="00EB51C6">
      <w:pPr>
        <w:pStyle w:val="WPTitle"/>
        <w:widowControl/>
        <w:ind w:left="3600" w:firstLine="720"/>
        <w:jc w:val="left"/>
        <w:rPr>
          <w:b w:val="0"/>
          <w:sz w:val="24"/>
          <w:szCs w:val="24"/>
        </w:rPr>
      </w:pPr>
      <w:r w:rsidRPr="002C195D">
        <w:rPr>
          <w:b w:val="0"/>
          <w:sz w:val="24"/>
          <w:szCs w:val="24"/>
        </w:rPr>
        <w:t>Disability Rights Section</w:t>
      </w:r>
    </w:p>
    <w:p w:rsidR="00EB51C6" w:rsidRPr="002C195D" w:rsidRDefault="00EB51C6" w:rsidP="00EB51C6">
      <w:pPr>
        <w:pStyle w:val="WPTitle"/>
        <w:widowControl/>
        <w:ind w:left="3600" w:firstLine="720"/>
        <w:jc w:val="left"/>
        <w:rPr>
          <w:b w:val="0"/>
          <w:sz w:val="24"/>
          <w:szCs w:val="24"/>
        </w:rPr>
      </w:pPr>
      <w:r w:rsidRPr="002C195D">
        <w:rPr>
          <w:b w:val="0"/>
          <w:sz w:val="24"/>
          <w:szCs w:val="24"/>
        </w:rPr>
        <w:t>Civil Rights Division</w:t>
      </w:r>
    </w:p>
    <w:p w:rsidR="00EB51C6" w:rsidRPr="002C195D" w:rsidRDefault="00EB51C6" w:rsidP="00EB51C6">
      <w:pPr>
        <w:pStyle w:val="WPTitle"/>
        <w:widowControl/>
        <w:ind w:left="3600" w:firstLine="720"/>
        <w:jc w:val="left"/>
        <w:rPr>
          <w:b w:val="0"/>
          <w:sz w:val="24"/>
          <w:szCs w:val="24"/>
        </w:rPr>
      </w:pPr>
      <w:r w:rsidRPr="002C195D">
        <w:rPr>
          <w:b w:val="0"/>
          <w:sz w:val="24"/>
          <w:szCs w:val="24"/>
        </w:rPr>
        <w:t>U.S. Department of Justice</w:t>
      </w:r>
    </w:p>
    <w:p w:rsidR="00EB51C6" w:rsidRPr="002C195D" w:rsidRDefault="00EB51C6" w:rsidP="00EB51C6">
      <w:pPr>
        <w:pStyle w:val="WPTitle"/>
        <w:widowControl/>
        <w:ind w:left="3600" w:firstLine="720"/>
        <w:jc w:val="left"/>
        <w:rPr>
          <w:b w:val="0"/>
          <w:sz w:val="24"/>
          <w:szCs w:val="24"/>
        </w:rPr>
      </w:pPr>
      <w:r w:rsidRPr="002C195D">
        <w:rPr>
          <w:b w:val="0"/>
          <w:sz w:val="24"/>
          <w:szCs w:val="24"/>
        </w:rPr>
        <w:t>950 Pennsylvania Avenue, N.W. – NYA</w:t>
      </w:r>
    </w:p>
    <w:p w:rsidR="00EB51C6" w:rsidRPr="002C195D" w:rsidRDefault="00EB51C6" w:rsidP="00EB51C6">
      <w:pPr>
        <w:pStyle w:val="WPTitle"/>
        <w:widowControl/>
        <w:ind w:left="3600" w:firstLine="720"/>
        <w:jc w:val="left"/>
        <w:rPr>
          <w:b w:val="0"/>
          <w:sz w:val="24"/>
          <w:szCs w:val="24"/>
        </w:rPr>
      </w:pPr>
      <w:r w:rsidRPr="002C195D">
        <w:rPr>
          <w:b w:val="0"/>
          <w:sz w:val="24"/>
          <w:szCs w:val="24"/>
        </w:rPr>
        <w:t>Washington, D.C. 20530</w:t>
      </w:r>
    </w:p>
    <w:p w:rsidR="00EB51C6" w:rsidRPr="002C195D" w:rsidRDefault="00EB51C6" w:rsidP="00EB51C6">
      <w:pPr>
        <w:pStyle w:val="WPTitle"/>
        <w:widowControl/>
        <w:ind w:left="3600" w:firstLine="720"/>
        <w:jc w:val="left"/>
        <w:rPr>
          <w:b w:val="0"/>
          <w:sz w:val="24"/>
          <w:szCs w:val="24"/>
        </w:rPr>
      </w:pPr>
      <w:r w:rsidRPr="002C195D">
        <w:rPr>
          <w:b w:val="0"/>
          <w:sz w:val="24"/>
          <w:szCs w:val="24"/>
        </w:rPr>
        <w:t>Telephone: (202) 305-1321</w:t>
      </w:r>
    </w:p>
    <w:p w:rsidR="00EB51C6" w:rsidRPr="002C195D" w:rsidRDefault="00EB51C6" w:rsidP="00EB51C6">
      <w:pPr>
        <w:pStyle w:val="WPTitle"/>
        <w:widowControl/>
        <w:ind w:left="3600" w:firstLine="720"/>
        <w:jc w:val="left"/>
        <w:rPr>
          <w:b w:val="0"/>
          <w:sz w:val="24"/>
          <w:szCs w:val="24"/>
        </w:rPr>
      </w:pPr>
      <w:r w:rsidRPr="002C195D">
        <w:rPr>
          <w:b w:val="0"/>
          <w:sz w:val="24"/>
          <w:szCs w:val="24"/>
        </w:rPr>
        <w:t>Facsimile: (202) 307-1197</w:t>
      </w:r>
    </w:p>
    <w:p w:rsidR="00EB51C6" w:rsidRPr="002C195D" w:rsidRDefault="00F94024" w:rsidP="00EB51C6">
      <w:pPr>
        <w:pStyle w:val="WPTitle"/>
        <w:widowControl/>
        <w:ind w:left="3600" w:firstLine="720"/>
        <w:jc w:val="left"/>
        <w:rPr>
          <w:b w:val="0"/>
          <w:sz w:val="24"/>
          <w:szCs w:val="24"/>
        </w:rPr>
      </w:pPr>
      <w:hyperlink r:id="rId8" w:history="1">
        <w:r w:rsidR="00EB51C6" w:rsidRPr="002C195D">
          <w:rPr>
            <w:rStyle w:val="Hyperlink"/>
            <w:b w:val="0"/>
            <w:sz w:val="24"/>
            <w:szCs w:val="24"/>
          </w:rPr>
          <w:t>Regan.Rush@usdoj.gov</w:t>
        </w:r>
      </w:hyperlink>
    </w:p>
    <w:p w:rsidR="00EB51C6" w:rsidRPr="002C195D" w:rsidRDefault="00EB51C6" w:rsidP="00EB51C6">
      <w:pPr>
        <w:pStyle w:val="WPTitle"/>
        <w:widowControl/>
        <w:ind w:left="3600" w:firstLine="720"/>
        <w:jc w:val="left"/>
        <w:rPr>
          <w:b w:val="0"/>
          <w:sz w:val="24"/>
          <w:szCs w:val="24"/>
        </w:rPr>
      </w:pPr>
    </w:p>
    <w:p w:rsidR="00EB51C6" w:rsidRPr="004162D3" w:rsidRDefault="00EB51C6" w:rsidP="00EB51C6">
      <w:pPr>
        <w:pStyle w:val="WPTitle"/>
        <w:widowControl/>
        <w:ind w:left="3600" w:firstLine="720"/>
        <w:jc w:val="left"/>
        <w:rPr>
          <w:b w:val="0"/>
          <w:i/>
          <w:sz w:val="24"/>
          <w:szCs w:val="24"/>
        </w:rPr>
      </w:pPr>
      <w:r w:rsidRPr="004162D3">
        <w:rPr>
          <w:b w:val="0"/>
          <w:i/>
          <w:sz w:val="24"/>
          <w:szCs w:val="24"/>
        </w:rPr>
        <w:t>Counsel for Plaintiff</w:t>
      </w:r>
      <w:r w:rsidR="00EE390C" w:rsidRPr="004162D3">
        <w:rPr>
          <w:b w:val="0"/>
          <w:i/>
          <w:sz w:val="24"/>
          <w:szCs w:val="24"/>
        </w:rPr>
        <w:t>s</w:t>
      </w:r>
      <w:r w:rsidR="00757C87">
        <w:rPr>
          <w:b w:val="0"/>
          <w:i/>
          <w:sz w:val="24"/>
          <w:szCs w:val="24"/>
        </w:rPr>
        <w:t>-Intervene</w:t>
      </w:r>
      <w:r w:rsidRPr="004162D3">
        <w:rPr>
          <w:b w:val="0"/>
          <w:i/>
          <w:sz w:val="24"/>
          <w:szCs w:val="24"/>
        </w:rPr>
        <w:t>r</w:t>
      </w:r>
    </w:p>
    <w:p w:rsidR="00EB51C6" w:rsidRDefault="00EB51C6" w:rsidP="00EB51C6">
      <w:pPr>
        <w:pStyle w:val="WPTitle"/>
        <w:widowControl/>
        <w:ind w:left="3600" w:firstLine="720"/>
        <w:jc w:val="left"/>
        <w:rPr>
          <w:b w:val="0"/>
          <w:i/>
          <w:sz w:val="24"/>
          <w:szCs w:val="24"/>
        </w:rPr>
      </w:pPr>
      <w:r w:rsidRPr="004162D3">
        <w:rPr>
          <w:b w:val="0"/>
          <w:i/>
          <w:sz w:val="24"/>
          <w:szCs w:val="24"/>
        </w:rPr>
        <w:t>United States of America</w:t>
      </w:r>
    </w:p>
    <w:p w:rsidR="004162D3" w:rsidRPr="004162D3" w:rsidRDefault="004162D3" w:rsidP="00EB51C6">
      <w:pPr>
        <w:pStyle w:val="WPTitle"/>
        <w:widowControl/>
        <w:ind w:left="3600" w:firstLine="720"/>
        <w:jc w:val="left"/>
        <w:rPr>
          <w:b w:val="0"/>
          <w:i/>
          <w:sz w:val="24"/>
          <w:szCs w:val="24"/>
        </w:rPr>
      </w:pPr>
    </w:p>
    <w:p w:rsidR="004162D3" w:rsidRDefault="004162D3" w:rsidP="004162D3">
      <w:pPr>
        <w:pStyle w:val="WPTitle"/>
        <w:widowControl/>
        <w:ind w:left="3600" w:firstLine="720"/>
        <w:jc w:val="left"/>
        <w:rPr>
          <w:b w:val="0"/>
          <w:i/>
          <w:sz w:val="24"/>
          <w:szCs w:val="24"/>
        </w:rPr>
      </w:pPr>
      <w:r>
        <w:rPr>
          <w:b w:val="0"/>
          <w:i/>
          <w:sz w:val="24"/>
          <w:szCs w:val="24"/>
        </w:rPr>
        <w:t>*</w:t>
      </w:r>
      <w:r w:rsidRPr="004162D3">
        <w:rPr>
          <w:b w:val="0"/>
          <w:sz w:val="24"/>
          <w:szCs w:val="24"/>
        </w:rPr>
        <w:t xml:space="preserve">Admitted </w:t>
      </w:r>
      <w:r w:rsidRPr="004162D3">
        <w:rPr>
          <w:b w:val="0"/>
          <w:i/>
          <w:sz w:val="24"/>
          <w:szCs w:val="24"/>
        </w:rPr>
        <w:t>pro hac vice</w:t>
      </w:r>
    </w:p>
    <w:p w:rsidR="00EB51C6" w:rsidRDefault="00EB51C6" w:rsidP="00EB51C6">
      <w:pPr>
        <w:spacing w:line="480" w:lineRule="auto"/>
        <w:ind w:left="360"/>
      </w:pPr>
    </w:p>
    <w:p w:rsidR="004B767E" w:rsidRPr="002C195D" w:rsidRDefault="004B767E" w:rsidP="00EB51C6">
      <w:pPr>
        <w:spacing w:line="480" w:lineRule="auto"/>
        <w:ind w:left="360"/>
      </w:pPr>
    </w:p>
    <w:p w:rsidR="00EB51C6" w:rsidRPr="002C195D" w:rsidRDefault="00EB51C6" w:rsidP="00EB51C6">
      <w:pPr>
        <w:spacing w:line="480" w:lineRule="auto"/>
        <w:ind w:left="360"/>
        <w:jc w:val="center"/>
        <w:rPr>
          <w:b/>
          <w:u w:val="single"/>
        </w:rPr>
        <w:sectPr w:rsidR="00EB51C6" w:rsidRPr="002C195D" w:rsidSect="009B257B">
          <w:headerReference w:type="even" r:id="rId9"/>
          <w:headerReference w:type="default" r:id="rId10"/>
          <w:footerReference w:type="even" r:id="rId11"/>
          <w:footerReference w:type="default" r:id="rId12"/>
          <w:headerReference w:type="first" r:id="rId13"/>
          <w:footerReference w:type="first" r:id="rId14"/>
          <w:pgSz w:w="12240" w:h="15840" w:code="1"/>
          <w:pgMar w:top="1800" w:right="1800" w:bottom="1800" w:left="1800" w:header="720" w:footer="720" w:gutter="0"/>
          <w:pgNumType w:start="1"/>
          <w:cols w:space="720"/>
          <w:titlePg/>
          <w:docGrid w:linePitch="360"/>
        </w:sectPr>
      </w:pPr>
    </w:p>
    <w:p w:rsidR="004162D3" w:rsidRDefault="004162D3" w:rsidP="004162D3">
      <w:pPr>
        <w:pStyle w:val="Default"/>
        <w:jc w:val="center"/>
        <w:rPr>
          <w:b/>
          <w:sz w:val="23"/>
          <w:szCs w:val="23"/>
          <w:u w:val="single"/>
        </w:rPr>
      </w:pPr>
      <w:r w:rsidRPr="004162D3">
        <w:rPr>
          <w:b/>
          <w:sz w:val="23"/>
          <w:szCs w:val="23"/>
          <w:u w:val="single"/>
        </w:rPr>
        <w:t>CERTIFICATE OF SERVICE</w:t>
      </w:r>
    </w:p>
    <w:p w:rsidR="004162D3" w:rsidRPr="004162D3" w:rsidRDefault="004162D3" w:rsidP="004162D3">
      <w:pPr>
        <w:pStyle w:val="Default"/>
        <w:jc w:val="center"/>
        <w:rPr>
          <w:b/>
        </w:rPr>
      </w:pPr>
    </w:p>
    <w:p w:rsidR="003C6A1F" w:rsidRDefault="004162D3" w:rsidP="004162D3">
      <w:pPr>
        <w:pStyle w:val="Default"/>
        <w:rPr>
          <w:sz w:val="23"/>
          <w:szCs w:val="23"/>
        </w:rPr>
      </w:pPr>
      <w:r>
        <w:rPr>
          <w:sz w:val="23"/>
          <w:szCs w:val="23"/>
        </w:rPr>
        <w:t xml:space="preserve">I hereby certify that on </w:t>
      </w:r>
      <w:r w:rsidR="003E1935">
        <w:rPr>
          <w:sz w:val="23"/>
          <w:szCs w:val="23"/>
        </w:rPr>
        <w:t>June</w:t>
      </w:r>
      <w:r w:rsidR="005E3A77">
        <w:rPr>
          <w:sz w:val="23"/>
          <w:szCs w:val="23"/>
        </w:rPr>
        <w:t xml:space="preserve"> 22</w:t>
      </w:r>
      <w:r>
        <w:rPr>
          <w:sz w:val="23"/>
          <w:szCs w:val="23"/>
        </w:rPr>
        <w:t xml:space="preserve">, 2011, a copy of the foregoing was </w:t>
      </w:r>
      <w:r w:rsidR="003C6A1F">
        <w:rPr>
          <w:sz w:val="23"/>
          <w:szCs w:val="23"/>
        </w:rPr>
        <w:t xml:space="preserve">sent via U.S. Mail to the following: </w:t>
      </w:r>
    </w:p>
    <w:p w:rsidR="003C6A1F" w:rsidRDefault="003C6A1F" w:rsidP="004162D3">
      <w:pPr>
        <w:pStyle w:val="Default"/>
        <w:rPr>
          <w:sz w:val="23"/>
          <w:szCs w:val="23"/>
        </w:rPr>
      </w:pPr>
    </w:p>
    <w:p w:rsidR="003C6A1F" w:rsidRDefault="003C6A1F" w:rsidP="004162D3">
      <w:pPr>
        <w:pStyle w:val="Default"/>
        <w:rPr>
          <w:sz w:val="23"/>
          <w:szCs w:val="23"/>
        </w:rPr>
      </w:pPr>
    </w:p>
    <w:p w:rsidR="003C6A1F" w:rsidRDefault="003C6A1F" w:rsidP="003C6A1F">
      <w:pPr>
        <w:autoSpaceDE w:val="0"/>
        <w:autoSpaceDN w:val="0"/>
        <w:adjustRightInd w:val="0"/>
        <w:rPr>
          <w:rFonts w:eastAsia="Calibri"/>
          <w:szCs w:val="24"/>
        </w:rPr>
      </w:pPr>
      <w:r>
        <w:rPr>
          <w:rFonts w:eastAsia="Calibri"/>
          <w:szCs w:val="24"/>
        </w:rPr>
        <w:t>Garth A. Corbett</w:t>
      </w:r>
    </w:p>
    <w:p w:rsidR="003C6A1F" w:rsidRDefault="003C6A1F" w:rsidP="003C6A1F">
      <w:pPr>
        <w:autoSpaceDE w:val="0"/>
        <w:autoSpaceDN w:val="0"/>
        <w:adjustRightInd w:val="0"/>
        <w:rPr>
          <w:rFonts w:eastAsia="Calibri"/>
          <w:szCs w:val="24"/>
        </w:rPr>
      </w:pPr>
      <w:r>
        <w:rPr>
          <w:rFonts w:eastAsia="Calibri"/>
          <w:szCs w:val="24"/>
        </w:rPr>
        <w:t>Sean A. Jackson</w:t>
      </w:r>
    </w:p>
    <w:p w:rsidR="003C6A1F" w:rsidRDefault="003C6A1F" w:rsidP="003C6A1F">
      <w:pPr>
        <w:autoSpaceDE w:val="0"/>
        <w:autoSpaceDN w:val="0"/>
        <w:adjustRightInd w:val="0"/>
        <w:rPr>
          <w:rFonts w:eastAsia="Calibri"/>
          <w:szCs w:val="24"/>
        </w:rPr>
      </w:pPr>
      <w:r>
        <w:rPr>
          <w:rFonts w:eastAsia="Calibri"/>
          <w:szCs w:val="24"/>
        </w:rPr>
        <w:t>Advocacy Inc.</w:t>
      </w:r>
    </w:p>
    <w:p w:rsidR="003C6A1F" w:rsidRDefault="003C6A1F" w:rsidP="003C6A1F">
      <w:pPr>
        <w:autoSpaceDE w:val="0"/>
        <w:autoSpaceDN w:val="0"/>
        <w:adjustRightInd w:val="0"/>
        <w:rPr>
          <w:rFonts w:eastAsia="Calibri"/>
          <w:szCs w:val="24"/>
        </w:rPr>
      </w:pPr>
      <w:r>
        <w:rPr>
          <w:rFonts w:eastAsia="Calibri"/>
          <w:szCs w:val="24"/>
        </w:rPr>
        <w:t>7800 Shoal Creek Blvd., #171-E</w:t>
      </w:r>
    </w:p>
    <w:p w:rsidR="003C6A1F" w:rsidRDefault="003C6A1F" w:rsidP="003C6A1F">
      <w:pPr>
        <w:autoSpaceDE w:val="0"/>
        <w:autoSpaceDN w:val="0"/>
        <w:adjustRightInd w:val="0"/>
        <w:rPr>
          <w:rFonts w:eastAsia="Calibri"/>
          <w:szCs w:val="24"/>
        </w:rPr>
      </w:pPr>
      <w:r>
        <w:rPr>
          <w:rFonts w:eastAsia="Calibri"/>
          <w:szCs w:val="24"/>
        </w:rPr>
        <w:t>Austin, Texas 78757</w:t>
      </w:r>
    </w:p>
    <w:p w:rsidR="003C6A1F" w:rsidRDefault="003C6A1F" w:rsidP="003C6A1F">
      <w:pPr>
        <w:autoSpaceDE w:val="0"/>
        <w:autoSpaceDN w:val="0"/>
        <w:adjustRightInd w:val="0"/>
        <w:rPr>
          <w:rFonts w:eastAsia="Calibri"/>
          <w:szCs w:val="24"/>
        </w:rPr>
      </w:pPr>
    </w:p>
    <w:p w:rsidR="003C6A1F" w:rsidRDefault="003C6A1F" w:rsidP="003C6A1F">
      <w:pPr>
        <w:autoSpaceDE w:val="0"/>
        <w:autoSpaceDN w:val="0"/>
        <w:adjustRightInd w:val="0"/>
        <w:rPr>
          <w:rFonts w:eastAsia="Calibri"/>
          <w:szCs w:val="24"/>
        </w:rPr>
      </w:pPr>
      <w:r>
        <w:rPr>
          <w:rFonts w:eastAsia="Calibri"/>
          <w:szCs w:val="24"/>
        </w:rPr>
        <w:t>Yvette Ostolaza</w:t>
      </w:r>
    </w:p>
    <w:p w:rsidR="003C6A1F" w:rsidRDefault="003C6A1F" w:rsidP="003C6A1F">
      <w:pPr>
        <w:autoSpaceDE w:val="0"/>
        <w:autoSpaceDN w:val="0"/>
        <w:adjustRightInd w:val="0"/>
        <w:rPr>
          <w:rFonts w:eastAsia="Calibri"/>
          <w:szCs w:val="24"/>
        </w:rPr>
      </w:pPr>
      <w:r>
        <w:rPr>
          <w:rFonts w:eastAsia="Calibri"/>
          <w:szCs w:val="24"/>
        </w:rPr>
        <w:t>Robert Velevis</w:t>
      </w:r>
    </w:p>
    <w:p w:rsidR="003C6A1F" w:rsidRDefault="003C6A1F" w:rsidP="003C6A1F">
      <w:pPr>
        <w:autoSpaceDE w:val="0"/>
        <w:autoSpaceDN w:val="0"/>
        <w:adjustRightInd w:val="0"/>
        <w:rPr>
          <w:rFonts w:eastAsia="Calibri"/>
          <w:szCs w:val="24"/>
        </w:rPr>
      </w:pPr>
      <w:r>
        <w:rPr>
          <w:rFonts w:eastAsia="Calibri"/>
          <w:szCs w:val="24"/>
        </w:rPr>
        <w:t>Casey A. Burton</w:t>
      </w:r>
    </w:p>
    <w:p w:rsidR="003C6A1F" w:rsidRDefault="003C6A1F" w:rsidP="003C6A1F">
      <w:pPr>
        <w:autoSpaceDE w:val="0"/>
        <w:autoSpaceDN w:val="0"/>
        <w:adjustRightInd w:val="0"/>
        <w:rPr>
          <w:rFonts w:eastAsia="Calibri"/>
          <w:szCs w:val="24"/>
        </w:rPr>
      </w:pPr>
      <w:r>
        <w:rPr>
          <w:rFonts w:eastAsia="Calibri"/>
          <w:szCs w:val="24"/>
        </w:rPr>
        <w:t>Weil, Gotshal &amp; Manges</w:t>
      </w:r>
    </w:p>
    <w:p w:rsidR="003C6A1F" w:rsidRDefault="003C6A1F" w:rsidP="003C6A1F">
      <w:pPr>
        <w:autoSpaceDE w:val="0"/>
        <w:autoSpaceDN w:val="0"/>
        <w:adjustRightInd w:val="0"/>
        <w:rPr>
          <w:rFonts w:eastAsia="Calibri"/>
          <w:szCs w:val="24"/>
        </w:rPr>
      </w:pPr>
      <w:r>
        <w:rPr>
          <w:rFonts w:eastAsia="Calibri"/>
          <w:szCs w:val="24"/>
        </w:rPr>
        <w:t>200 Crescent Court- Suite 300</w:t>
      </w:r>
    </w:p>
    <w:p w:rsidR="003C6A1F" w:rsidRDefault="003C6A1F" w:rsidP="003C6A1F">
      <w:pPr>
        <w:autoSpaceDE w:val="0"/>
        <w:autoSpaceDN w:val="0"/>
        <w:adjustRightInd w:val="0"/>
        <w:rPr>
          <w:rFonts w:eastAsia="Calibri"/>
          <w:szCs w:val="24"/>
        </w:rPr>
      </w:pPr>
      <w:r>
        <w:rPr>
          <w:rFonts w:eastAsia="Calibri"/>
          <w:szCs w:val="24"/>
        </w:rPr>
        <w:t>Dallas, Texas 75201</w:t>
      </w:r>
    </w:p>
    <w:p w:rsidR="003C6A1F" w:rsidRDefault="003C6A1F" w:rsidP="003C6A1F">
      <w:pPr>
        <w:autoSpaceDE w:val="0"/>
        <w:autoSpaceDN w:val="0"/>
        <w:adjustRightInd w:val="0"/>
        <w:rPr>
          <w:rFonts w:eastAsia="Calibri"/>
          <w:szCs w:val="24"/>
        </w:rPr>
      </w:pPr>
    </w:p>
    <w:p w:rsidR="003C6A1F" w:rsidRDefault="003C6A1F" w:rsidP="003C6A1F">
      <w:pPr>
        <w:autoSpaceDE w:val="0"/>
        <w:autoSpaceDN w:val="0"/>
        <w:adjustRightInd w:val="0"/>
        <w:rPr>
          <w:rFonts w:eastAsia="Calibri"/>
          <w:szCs w:val="24"/>
        </w:rPr>
      </w:pPr>
      <w:r>
        <w:rPr>
          <w:rFonts w:eastAsia="Calibri"/>
          <w:szCs w:val="24"/>
        </w:rPr>
        <w:t>Steven J. Schwartz</w:t>
      </w:r>
    </w:p>
    <w:p w:rsidR="003C6A1F" w:rsidRDefault="003C6A1F" w:rsidP="003C6A1F">
      <w:pPr>
        <w:autoSpaceDE w:val="0"/>
        <w:autoSpaceDN w:val="0"/>
        <w:adjustRightInd w:val="0"/>
        <w:rPr>
          <w:rFonts w:eastAsia="Calibri"/>
          <w:szCs w:val="24"/>
        </w:rPr>
      </w:pPr>
      <w:r>
        <w:rPr>
          <w:rFonts w:eastAsia="Calibri"/>
          <w:szCs w:val="24"/>
        </w:rPr>
        <w:t>J. Paterson Rae</w:t>
      </w:r>
    </w:p>
    <w:p w:rsidR="003C6A1F" w:rsidRDefault="003C6A1F" w:rsidP="003C6A1F">
      <w:pPr>
        <w:autoSpaceDE w:val="0"/>
        <w:autoSpaceDN w:val="0"/>
        <w:adjustRightInd w:val="0"/>
        <w:rPr>
          <w:rFonts w:eastAsia="Calibri"/>
          <w:szCs w:val="24"/>
        </w:rPr>
      </w:pPr>
      <w:r>
        <w:rPr>
          <w:rFonts w:eastAsia="Calibri"/>
          <w:szCs w:val="24"/>
        </w:rPr>
        <w:t>Center for Public Representation</w:t>
      </w:r>
    </w:p>
    <w:p w:rsidR="003C6A1F" w:rsidRDefault="003C6A1F" w:rsidP="003C6A1F">
      <w:pPr>
        <w:autoSpaceDE w:val="0"/>
        <w:autoSpaceDN w:val="0"/>
        <w:adjustRightInd w:val="0"/>
        <w:rPr>
          <w:rFonts w:eastAsia="Calibri"/>
          <w:szCs w:val="24"/>
        </w:rPr>
      </w:pPr>
      <w:r>
        <w:rPr>
          <w:rFonts w:eastAsia="Calibri"/>
          <w:szCs w:val="24"/>
        </w:rPr>
        <w:t>22 Green Street</w:t>
      </w:r>
    </w:p>
    <w:p w:rsidR="003C6A1F" w:rsidRDefault="003C6A1F" w:rsidP="003C6A1F">
      <w:pPr>
        <w:autoSpaceDE w:val="0"/>
        <w:autoSpaceDN w:val="0"/>
        <w:adjustRightInd w:val="0"/>
        <w:rPr>
          <w:rFonts w:eastAsia="Calibri"/>
          <w:szCs w:val="24"/>
        </w:rPr>
      </w:pPr>
      <w:r>
        <w:rPr>
          <w:rFonts w:eastAsia="Calibri"/>
          <w:szCs w:val="24"/>
        </w:rPr>
        <w:t>Northampton, Massachusetts 01060</w:t>
      </w:r>
    </w:p>
    <w:p w:rsidR="003C6A1F" w:rsidRDefault="003C6A1F" w:rsidP="003C6A1F">
      <w:pPr>
        <w:autoSpaceDE w:val="0"/>
        <w:autoSpaceDN w:val="0"/>
        <w:adjustRightInd w:val="0"/>
        <w:rPr>
          <w:rFonts w:eastAsia="Calibri"/>
          <w:szCs w:val="24"/>
        </w:rPr>
      </w:pPr>
    </w:p>
    <w:p w:rsidR="003C6A1F" w:rsidRDefault="003C6A1F" w:rsidP="003C6A1F">
      <w:pPr>
        <w:autoSpaceDE w:val="0"/>
        <w:autoSpaceDN w:val="0"/>
        <w:adjustRightInd w:val="0"/>
        <w:rPr>
          <w:rFonts w:eastAsia="Calibri"/>
          <w:szCs w:val="24"/>
        </w:rPr>
      </w:pPr>
      <w:r>
        <w:rPr>
          <w:rFonts w:eastAsia="Calibri"/>
          <w:szCs w:val="24"/>
        </w:rPr>
        <w:t>Nancy Juren</w:t>
      </w:r>
    </w:p>
    <w:p w:rsidR="003C6A1F" w:rsidRDefault="003C6A1F" w:rsidP="003C6A1F">
      <w:pPr>
        <w:autoSpaceDE w:val="0"/>
        <w:autoSpaceDN w:val="0"/>
        <w:adjustRightInd w:val="0"/>
        <w:rPr>
          <w:rFonts w:eastAsia="Calibri"/>
          <w:sz w:val="22"/>
          <w:szCs w:val="22"/>
        </w:rPr>
      </w:pPr>
      <w:r>
        <w:rPr>
          <w:rFonts w:eastAsia="Calibri"/>
          <w:sz w:val="22"/>
          <w:szCs w:val="22"/>
        </w:rPr>
        <w:t>Assistant Attorneys General</w:t>
      </w:r>
      <w:r>
        <w:rPr>
          <w:rFonts w:eastAsia="Calibri"/>
          <w:sz w:val="22"/>
          <w:szCs w:val="22"/>
        </w:rPr>
        <w:br/>
        <w:t>General Litigation Division</w:t>
      </w:r>
    </w:p>
    <w:p w:rsidR="003C6A1F" w:rsidRDefault="003C6A1F" w:rsidP="003C6A1F">
      <w:pPr>
        <w:autoSpaceDE w:val="0"/>
        <w:autoSpaceDN w:val="0"/>
        <w:adjustRightInd w:val="0"/>
        <w:rPr>
          <w:rFonts w:eastAsia="Calibri"/>
          <w:sz w:val="22"/>
          <w:szCs w:val="22"/>
        </w:rPr>
      </w:pPr>
      <w:r>
        <w:rPr>
          <w:rFonts w:eastAsia="Calibri"/>
          <w:sz w:val="22"/>
          <w:szCs w:val="22"/>
        </w:rPr>
        <w:t>P.O. Box</w:t>
      </w:r>
    </w:p>
    <w:p w:rsidR="003C6A1F" w:rsidRDefault="003C6A1F" w:rsidP="003C6A1F">
      <w:pPr>
        <w:autoSpaceDE w:val="0"/>
        <w:autoSpaceDN w:val="0"/>
        <w:adjustRightInd w:val="0"/>
        <w:rPr>
          <w:rFonts w:eastAsia="Calibri"/>
          <w:sz w:val="22"/>
          <w:szCs w:val="22"/>
        </w:rPr>
      </w:pPr>
      <w:r>
        <w:rPr>
          <w:rFonts w:eastAsia="Calibri"/>
          <w:sz w:val="22"/>
          <w:szCs w:val="22"/>
        </w:rPr>
        <w:t>12548, Capitol Station</w:t>
      </w:r>
    </w:p>
    <w:p w:rsidR="003C6A1F" w:rsidRDefault="003C6A1F" w:rsidP="003C6A1F">
      <w:pPr>
        <w:autoSpaceDE w:val="0"/>
        <w:autoSpaceDN w:val="0"/>
        <w:adjustRightInd w:val="0"/>
        <w:rPr>
          <w:rFonts w:eastAsia="Calibri"/>
          <w:szCs w:val="24"/>
        </w:rPr>
      </w:pPr>
      <w:r>
        <w:rPr>
          <w:rFonts w:eastAsia="Calibri"/>
          <w:sz w:val="22"/>
          <w:szCs w:val="22"/>
        </w:rPr>
        <w:t>Austin, Texas 78711-2548.</w:t>
      </w:r>
    </w:p>
    <w:p w:rsidR="004162D3" w:rsidRDefault="004162D3" w:rsidP="004162D3">
      <w:pPr>
        <w:pStyle w:val="Default"/>
        <w:rPr>
          <w:sz w:val="23"/>
          <w:szCs w:val="23"/>
        </w:rPr>
      </w:pPr>
    </w:p>
    <w:p w:rsidR="004162D3" w:rsidRDefault="004162D3" w:rsidP="004162D3">
      <w:pPr>
        <w:pStyle w:val="Default"/>
        <w:rPr>
          <w:sz w:val="23"/>
          <w:szCs w:val="23"/>
        </w:rPr>
      </w:pPr>
    </w:p>
    <w:p w:rsidR="00EB51C6" w:rsidRPr="00175287" w:rsidRDefault="00EB51C6" w:rsidP="004162D3">
      <w:r w:rsidRPr="002C195D">
        <w:tab/>
      </w:r>
      <w:r w:rsidRPr="002C195D">
        <w:tab/>
      </w:r>
      <w:r w:rsidRPr="002C195D">
        <w:tab/>
      </w:r>
      <w:r w:rsidRPr="002C195D">
        <w:tab/>
      </w:r>
      <w:r w:rsidRPr="002C195D">
        <w:tab/>
      </w:r>
      <w:r w:rsidRPr="002C195D">
        <w:tab/>
      </w:r>
      <w:r w:rsidRPr="002C195D">
        <w:tab/>
      </w:r>
      <w:r w:rsidR="00175287" w:rsidRPr="00175287">
        <w:t>__________________________</w:t>
      </w:r>
    </w:p>
    <w:p w:rsidR="00EB51C6" w:rsidRPr="002C195D" w:rsidRDefault="004162D3" w:rsidP="00EB51C6">
      <w:pPr>
        <w:pStyle w:val="WPTitle"/>
        <w:widowControl/>
        <w:ind w:left="5040"/>
        <w:jc w:val="left"/>
        <w:rPr>
          <w:b w:val="0"/>
          <w:sz w:val="24"/>
          <w:szCs w:val="24"/>
        </w:rPr>
      </w:pPr>
      <w:r>
        <w:rPr>
          <w:b w:val="0"/>
          <w:sz w:val="24"/>
          <w:szCs w:val="24"/>
        </w:rPr>
        <w:t>Regan Rush</w:t>
      </w:r>
      <w:r w:rsidR="00EB51C6" w:rsidRPr="002C195D">
        <w:rPr>
          <w:b w:val="0"/>
          <w:sz w:val="24"/>
          <w:szCs w:val="24"/>
        </w:rPr>
        <w:t>, Trial Attorney</w:t>
      </w:r>
    </w:p>
    <w:p w:rsidR="00EB51C6" w:rsidRPr="002C195D" w:rsidRDefault="00EB51C6" w:rsidP="00EB51C6">
      <w:pPr>
        <w:pStyle w:val="WPTitle"/>
        <w:widowControl/>
        <w:ind w:left="5040"/>
        <w:jc w:val="left"/>
        <w:rPr>
          <w:b w:val="0"/>
          <w:sz w:val="24"/>
          <w:szCs w:val="24"/>
        </w:rPr>
      </w:pPr>
      <w:r w:rsidRPr="002C195D">
        <w:rPr>
          <w:b w:val="0"/>
          <w:sz w:val="24"/>
          <w:szCs w:val="24"/>
        </w:rPr>
        <w:t>Disability Rights Section</w:t>
      </w:r>
    </w:p>
    <w:p w:rsidR="00EB51C6" w:rsidRPr="002C195D" w:rsidRDefault="00EB51C6" w:rsidP="00EB51C6">
      <w:pPr>
        <w:pStyle w:val="WPTitle"/>
        <w:widowControl/>
        <w:ind w:left="5040"/>
        <w:jc w:val="left"/>
        <w:rPr>
          <w:b w:val="0"/>
          <w:sz w:val="24"/>
          <w:szCs w:val="24"/>
        </w:rPr>
      </w:pPr>
      <w:r w:rsidRPr="002C195D">
        <w:rPr>
          <w:b w:val="0"/>
          <w:sz w:val="24"/>
          <w:szCs w:val="24"/>
        </w:rPr>
        <w:t>Civil Rights Division</w:t>
      </w:r>
    </w:p>
    <w:p w:rsidR="00EB51C6" w:rsidRPr="002C195D" w:rsidRDefault="00EB51C6" w:rsidP="00EB51C6">
      <w:pPr>
        <w:pStyle w:val="WPTitle"/>
        <w:widowControl/>
        <w:ind w:left="5040"/>
        <w:jc w:val="left"/>
        <w:rPr>
          <w:b w:val="0"/>
          <w:sz w:val="24"/>
          <w:szCs w:val="24"/>
        </w:rPr>
      </w:pPr>
      <w:r w:rsidRPr="002C195D">
        <w:rPr>
          <w:b w:val="0"/>
          <w:sz w:val="24"/>
          <w:szCs w:val="24"/>
        </w:rPr>
        <w:t>U.S. Department of Justice</w:t>
      </w:r>
    </w:p>
    <w:p w:rsidR="00EB51C6" w:rsidRPr="002C195D" w:rsidRDefault="00EB51C6" w:rsidP="00EB51C6">
      <w:pPr>
        <w:pStyle w:val="WPTitle"/>
        <w:widowControl/>
        <w:ind w:left="5040"/>
        <w:jc w:val="left"/>
        <w:rPr>
          <w:b w:val="0"/>
          <w:sz w:val="24"/>
          <w:szCs w:val="24"/>
        </w:rPr>
      </w:pPr>
      <w:r w:rsidRPr="002C195D">
        <w:rPr>
          <w:b w:val="0"/>
          <w:sz w:val="24"/>
          <w:szCs w:val="24"/>
        </w:rPr>
        <w:t>950 Pennsylvania Avenue, N.W. – NYA</w:t>
      </w:r>
    </w:p>
    <w:p w:rsidR="00EB51C6" w:rsidRPr="002C195D" w:rsidRDefault="00EB51C6" w:rsidP="00EB51C6">
      <w:pPr>
        <w:pStyle w:val="WPTitle"/>
        <w:widowControl/>
        <w:ind w:left="5040"/>
        <w:jc w:val="left"/>
        <w:rPr>
          <w:b w:val="0"/>
          <w:sz w:val="24"/>
          <w:szCs w:val="24"/>
        </w:rPr>
      </w:pPr>
      <w:r w:rsidRPr="002C195D">
        <w:rPr>
          <w:b w:val="0"/>
          <w:sz w:val="24"/>
          <w:szCs w:val="24"/>
        </w:rPr>
        <w:t>Washington, D.C. 20530</w:t>
      </w:r>
    </w:p>
    <w:p w:rsidR="00EB51C6" w:rsidRPr="002C195D" w:rsidRDefault="00EB51C6" w:rsidP="00EB51C6">
      <w:pPr>
        <w:pStyle w:val="WPTitle"/>
        <w:widowControl/>
        <w:ind w:left="5040"/>
        <w:jc w:val="left"/>
        <w:rPr>
          <w:b w:val="0"/>
          <w:sz w:val="24"/>
          <w:szCs w:val="24"/>
        </w:rPr>
      </w:pPr>
      <w:r w:rsidRPr="002C195D">
        <w:rPr>
          <w:b w:val="0"/>
          <w:sz w:val="24"/>
          <w:szCs w:val="24"/>
        </w:rPr>
        <w:t xml:space="preserve">Telephone: (202) </w:t>
      </w:r>
      <w:r w:rsidR="004162D3">
        <w:rPr>
          <w:b w:val="0"/>
          <w:sz w:val="24"/>
          <w:szCs w:val="24"/>
        </w:rPr>
        <w:t>307-0663</w:t>
      </w:r>
    </w:p>
    <w:p w:rsidR="00EB51C6" w:rsidRPr="002C195D" w:rsidRDefault="00EB51C6" w:rsidP="00EB51C6">
      <w:pPr>
        <w:pStyle w:val="WPTitle"/>
        <w:widowControl/>
        <w:ind w:left="5040"/>
        <w:jc w:val="left"/>
        <w:rPr>
          <w:b w:val="0"/>
          <w:sz w:val="24"/>
          <w:szCs w:val="24"/>
        </w:rPr>
      </w:pPr>
      <w:r w:rsidRPr="002C195D">
        <w:rPr>
          <w:b w:val="0"/>
          <w:sz w:val="24"/>
          <w:szCs w:val="24"/>
        </w:rPr>
        <w:t>Facsimile: (202) 307-1197</w:t>
      </w:r>
    </w:p>
    <w:p w:rsidR="00D62E39" w:rsidRDefault="00F94024" w:rsidP="00860F50">
      <w:pPr>
        <w:pStyle w:val="WPTitle"/>
        <w:widowControl/>
        <w:ind w:left="5040"/>
        <w:jc w:val="left"/>
        <w:rPr>
          <w:b w:val="0"/>
          <w:sz w:val="24"/>
          <w:szCs w:val="24"/>
        </w:rPr>
      </w:pPr>
      <w:hyperlink r:id="rId15" w:history="1">
        <w:r w:rsidR="00DF56DB" w:rsidRPr="00B05388">
          <w:rPr>
            <w:rStyle w:val="Hyperlink"/>
            <w:b w:val="0"/>
            <w:sz w:val="24"/>
            <w:szCs w:val="24"/>
          </w:rPr>
          <w:t>Regan.Rush@usdoj.gov</w:t>
        </w:r>
      </w:hyperlink>
    </w:p>
    <w:p w:rsidR="009B257B" w:rsidRDefault="00D62E39" w:rsidP="00860F50">
      <w:pPr>
        <w:pStyle w:val="WPTitle"/>
        <w:widowControl/>
        <w:ind w:left="5040"/>
        <w:jc w:val="left"/>
        <w:rPr>
          <w:b w:val="0"/>
          <w:sz w:val="24"/>
          <w:szCs w:val="24"/>
        </w:rPr>
      </w:pPr>
      <w:r>
        <w:rPr>
          <w:b w:val="0"/>
          <w:sz w:val="24"/>
          <w:szCs w:val="24"/>
        </w:rPr>
        <w:br w:type="page"/>
      </w:r>
    </w:p>
    <w:p w:rsidR="004162D3" w:rsidRPr="002C195D" w:rsidRDefault="004162D3" w:rsidP="00860F50">
      <w:pPr>
        <w:pStyle w:val="WPTitle"/>
        <w:widowControl/>
        <w:ind w:left="5040"/>
        <w:jc w:val="left"/>
        <w:rPr>
          <w:b w:val="0"/>
          <w:sz w:val="24"/>
          <w:szCs w:val="24"/>
        </w:rPr>
      </w:pPr>
    </w:p>
    <w:p w:rsidR="009B257B" w:rsidRPr="009B51AD" w:rsidRDefault="009B257B" w:rsidP="009B257B">
      <w:pPr>
        <w:jc w:val="center"/>
        <w:rPr>
          <w:b/>
          <w:bCs/>
          <w:szCs w:val="24"/>
        </w:rPr>
      </w:pPr>
      <w:r w:rsidRPr="009B51AD">
        <w:rPr>
          <w:b/>
          <w:bCs/>
          <w:szCs w:val="24"/>
        </w:rPr>
        <w:t>IN THE UNITED STATES DISTRICT COURT</w:t>
      </w:r>
    </w:p>
    <w:p w:rsidR="009B257B" w:rsidRPr="009B51AD" w:rsidRDefault="009B257B" w:rsidP="009B257B">
      <w:pPr>
        <w:jc w:val="center"/>
        <w:rPr>
          <w:b/>
          <w:bCs/>
          <w:szCs w:val="24"/>
        </w:rPr>
      </w:pPr>
      <w:r w:rsidRPr="009B51AD">
        <w:rPr>
          <w:b/>
          <w:bCs/>
          <w:szCs w:val="24"/>
        </w:rPr>
        <w:t>FOR THE WESTERN DISTRICT OF TEXAS</w:t>
      </w:r>
    </w:p>
    <w:p w:rsidR="009B257B" w:rsidRPr="009B51AD" w:rsidRDefault="009B257B" w:rsidP="009B257B">
      <w:pPr>
        <w:spacing w:after="360"/>
        <w:jc w:val="center"/>
        <w:rPr>
          <w:b/>
          <w:bCs/>
          <w:szCs w:val="24"/>
        </w:rPr>
      </w:pPr>
      <w:r w:rsidRPr="009B51AD">
        <w:rPr>
          <w:b/>
          <w:bCs/>
          <w:szCs w:val="24"/>
        </w:rPr>
        <w:t>SAN ANTONIO DIVISION</w:t>
      </w:r>
    </w:p>
    <w:p w:rsidR="009B257B" w:rsidRPr="002C195D" w:rsidRDefault="009B257B" w:rsidP="009B257B">
      <w:pPr>
        <w:tabs>
          <w:tab w:val="center" w:pos="4680"/>
          <w:tab w:val="left" w:pos="5760"/>
          <w:tab w:val="left" w:pos="6480"/>
          <w:tab w:val="left" w:pos="7200"/>
          <w:tab w:val="left" w:pos="7920"/>
          <w:tab w:val="left" w:pos="8640"/>
          <w:tab w:val="right" w:pos="9360"/>
        </w:tabs>
        <w:rPr>
          <w:bCs/>
          <w:szCs w:val="24"/>
        </w:rPr>
      </w:pPr>
      <w:r w:rsidRPr="002C195D">
        <w:rPr>
          <w:bCs/>
          <w:szCs w:val="24"/>
        </w:rPr>
        <w:t>ERIC STEWARD, by his next friend</w:t>
      </w:r>
      <w:r w:rsidRPr="002C195D">
        <w:rPr>
          <w:bCs/>
          <w:szCs w:val="24"/>
        </w:rPr>
        <w:tab/>
        <w:t>§</w:t>
      </w:r>
    </w:p>
    <w:p w:rsidR="009B257B" w:rsidRPr="002C195D" w:rsidRDefault="009B257B" w:rsidP="009B257B">
      <w:pPr>
        <w:tabs>
          <w:tab w:val="center" w:pos="4680"/>
          <w:tab w:val="left" w:pos="5040"/>
          <w:tab w:val="left" w:pos="5760"/>
          <w:tab w:val="left" w:pos="6480"/>
          <w:tab w:val="left" w:pos="7200"/>
          <w:tab w:val="left" w:pos="7920"/>
          <w:tab w:val="left" w:pos="8640"/>
          <w:tab w:val="right" w:pos="9360"/>
        </w:tabs>
        <w:rPr>
          <w:bCs/>
          <w:szCs w:val="24"/>
        </w:rPr>
      </w:pPr>
      <w:r w:rsidRPr="002C195D">
        <w:rPr>
          <w:bCs/>
          <w:szCs w:val="24"/>
        </w:rPr>
        <w:t>and</w:t>
      </w:r>
      <w:r w:rsidRPr="002C195D">
        <w:rPr>
          <w:bCs/>
          <w:szCs w:val="24"/>
          <w:lang w:val="nb-NO"/>
        </w:rPr>
        <w:t xml:space="preserve"> mother, Lillian Minor, </w:t>
      </w:r>
      <w:r w:rsidRPr="002C195D">
        <w:rPr>
          <w:bCs/>
          <w:i/>
          <w:szCs w:val="24"/>
          <w:lang w:val="nb-NO"/>
        </w:rPr>
        <w:t>et al.</w:t>
      </w:r>
      <w:r w:rsidRPr="002C195D">
        <w:rPr>
          <w:bCs/>
          <w:szCs w:val="24"/>
          <w:lang w:val="nb-NO"/>
        </w:rPr>
        <w:t>,</w:t>
      </w:r>
      <w:r w:rsidRPr="002C195D">
        <w:rPr>
          <w:bCs/>
          <w:szCs w:val="24"/>
          <w:lang w:val="nb-NO"/>
        </w:rPr>
        <w:tab/>
      </w:r>
      <w:r w:rsidRPr="002C195D">
        <w:rPr>
          <w:bCs/>
          <w:szCs w:val="24"/>
        </w:rPr>
        <w:t>§</w:t>
      </w:r>
    </w:p>
    <w:p w:rsidR="009B257B" w:rsidRPr="002C195D" w:rsidRDefault="009B257B" w:rsidP="009B257B">
      <w:pPr>
        <w:tabs>
          <w:tab w:val="center" w:pos="4680"/>
          <w:tab w:val="left" w:pos="5760"/>
          <w:tab w:val="left" w:pos="6480"/>
          <w:tab w:val="left" w:pos="7200"/>
          <w:tab w:val="left" w:pos="7920"/>
          <w:tab w:val="left" w:pos="8640"/>
          <w:tab w:val="right" w:pos="9360"/>
        </w:tabs>
        <w:rPr>
          <w:bCs/>
          <w:szCs w:val="24"/>
        </w:rPr>
      </w:pPr>
      <w:r w:rsidRPr="002C195D">
        <w:rPr>
          <w:bCs/>
          <w:szCs w:val="24"/>
        </w:rPr>
        <w:tab/>
        <w:t>§</w:t>
      </w:r>
    </w:p>
    <w:p w:rsidR="009B257B" w:rsidRPr="002C195D" w:rsidRDefault="009B257B" w:rsidP="009B257B">
      <w:pPr>
        <w:tabs>
          <w:tab w:val="left" w:pos="2160"/>
          <w:tab w:val="center" w:pos="4680"/>
          <w:tab w:val="left" w:pos="5760"/>
          <w:tab w:val="left" w:pos="6480"/>
          <w:tab w:val="left" w:pos="7200"/>
          <w:tab w:val="left" w:pos="7920"/>
          <w:tab w:val="left" w:pos="8640"/>
          <w:tab w:val="right" w:pos="9360"/>
        </w:tabs>
        <w:rPr>
          <w:bCs/>
          <w:szCs w:val="24"/>
        </w:rPr>
      </w:pPr>
      <w:r w:rsidRPr="002C195D">
        <w:rPr>
          <w:bCs/>
          <w:szCs w:val="24"/>
        </w:rPr>
        <w:tab/>
      </w:r>
      <w:r w:rsidR="000B776D">
        <w:rPr>
          <w:bCs/>
          <w:szCs w:val="24"/>
        </w:rPr>
        <w:t>Plaintiffs</w:t>
      </w:r>
      <w:r w:rsidRPr="002C195D">
        <w:rPr>
          <w:bCs/>
          <w:szCs w:val="24"/>
        </w:rPr>
        <w:t>,</w:t>
      </w:r>
      <w:r w:rsidRPr="002C195D">
        <w:rPr>
          <w:bCs/>
          <w:szCs w:val="24"/>
        </w:rPr>
        <w:tab/>
        <w:t>§</w:t>
      </w:r>
    </w:p>
    <w:p w:rsidR="009B257B" w:rsidRPr="002C195D" w:rsidRDefault="009B257B" w:rsidP="009B257B">
      <w:pPr>
        <w:tabs>
          <w:tab w:val="center" w:pos="4680"/>
          <w:tab w:val="left" w:pos="5760"/>
          <w:tab w:val="left" w:pos="6480"/>
          <w:tab w:val="left" w:pos="7200"/>
          <w:tab w:val="left" w:pos="7920"/>
          <w:tab w:val="left" w:pos="8640"/>
          <w:tab w:val="right" w:pos="9360"/>
        </w:tabs>
        <w:rPr>
          <w:bCs/>
          <w:szCs w:val="24"/>
        </w:rPr>
      </w:pPr>
      <w:r w:rsidRPr="002C195D">
        <w:rPr>
          <w:bCs/>
          <w:szCs w:val="24"/>
        </w:rPr>
        <w:tab/>
        <w:t>§</w:t>
      </w:r>
    </w:p>
    <w:p w:rsidR="009B257B" w:rsidRPr="002C195D" w:rsidRDefault="009B257B" w:rsidP="009B257B">
      <w:pPr>
        <w:tabs>
          <w:tab w:val="left" w:pos="720"/>
          <w:tab w:val="left" w:pos="2160"/>
          <w:tab w:val="center" w:pos="4680"/>
          <w:tab w:val="left" w:pos="5760"/>
          <w:tab w:val="left" w:pos="6480"/>
          <w:tab w:val="left" w:pos="7200"/>
          <w:tab w:val="left" w:pos="7920"/>
          <w:tab w:val="left" w:pos="8640"/>
          <w:tab w:val="right" w:pos="9360"/>
        </w:tabs>
        <w:rPr>
          <w:bCs/>
          <w:szCs w:val="24"/>
        </w:rPr>
      </w:pPr>
      <w:r w:rsidRPr="002C195D">
        <w:rPr>
          <w:bCs/>
          <w:szCs w:val="24"/>
        </w:rPr>
        <w:tab/>
        <w:t>v.</w:t>
      </w:r>
      <w:r w:rsidRPr="002C195D">
        <w:rPr>
          <w:bCs/>
          <w:szCs w:val="24"/>
        </w:rPr>
        <w:tab/>
      </w:r>
      <w:r w:rsidRPr="002C195D">
        <w:rPr>
          <w:bCs/>
          <w:szCs w:val="24"/>
        </w:rPr>
        <w:tab/>
        <w:t xml:space="preserve">§ </w:t>
      </w:r>
      <w:r w:rsidRPr="002C195D">
        <w:rPr>
          <w:bCs/>
          <w:szCs w:val="24"/>
        </w:rPr>
        <w:tab/>
        <w:t>CIV. NO. 5:10-CV-1025-OLG</w:t>
      </w:r>
    </w:p>
    <w:p w:rsidR="009B257B" w:rsidRPr="002C195D" w:rsidRDefault="009B257B" w:rsidP="009B257B">
      <w:pPr>
        <w:tabs>
          <w:tab w:val="center" w:pos="4680"/>
          <w:tab w:val="left" w:pos="5760"/>
          <w:tab w:val="left" w:pos="6480"/>
          <w:tab w:val="left" w:pos="7200"/>
          <w:tab w:val="left" w:pos="7920"/>
          <w:tab w:val="left" w:pos="8640"/>
          <w:tab w:val="right" w:pos="9360"/>
        </w:tabs>
        <w:rPr>
          <w:bCs/>
          <w:szCs w:val="24"/>
        </w:rPr>
      </w:pPr>
      <w:r w:rsidRPr="002C195D">
        <w:rPr>
          <w:bCs/>
          <w:szCs w:val="24"/>
        </w:rPr>
        <w:tab/>
        <w:t>§</w:t>
      </w:r>
    </w:p>
    <w:p w:rsidR="009B257B" w:rsidRPr="002C195D" w:rsidRDefault="009B257B" w:rsidP="009B257B">
      <w:pPr>
        <w:tabs>
          <w:tab w:val="center" w:pos="4680"/>
          <w:tab w:val="left" w:pos="5040"/>
          <w:tab w:val="left" w:pos="5760"/>
          <w:tab w:val="left" w:pos="6480"/>
          <w:tab w:val="left" w:pos="7200"/>
          <w:tab w:val="left" w:pos="7920"/>
          <w:tab w:val="left" w:pos="8640"/>
          <w:tab w:val="right" w:pos="9360"/>
        </w:tabs>
        <w:rPr>
          <w:bCs/>
          <w:szCs w:val="24"/>
        </w:rPr>
      </w:pPr>
      <w:r w:rsidRPr="002C195D">
        <w:rPr>
          <w:bCs/>
          <w:szCs w:val="24"/>
        </w:rPr>
        <w:tab/>
        <w:t>§</w:t>
      </w:r>
    </w:p>
    <w:p w:rsidR="009B257B" w:rsidRPr="002C195D" w:rsidRDefault="009B257B" w:rsidP="009B257B">
      <w:pPr>
        <w:tabs>
          <w:tab w:val="left" w:pos="2160"/>
          <w:tab w:val="center" w:pos="4680"/>
          <w:tab w:val="left" w:pos="5040"/>
          <w:tab w:val="left" w:pos="5760"/>
          <w:tab w:val="left" w:pos="6480"/>
          <w:tab w:val="left" w:pos="7200"/>
          <w:tab w:val="left" w:pos="7920"/>
          <w:tab w:val="left" w:pos="8640"/>
          <w:tab w:val="right" w:pos="9360"/>
        </w:tabs>
        <w:rPr>
          <w:bCs/>
          <w:szCs w:val="24"/>
        </w:rPr>
      </w:pPr>
      <w:r w:rsidRPr="002C195D">
        <w:rPr>
          <w:bCs/>
          <w:szCs w:val="24"/>
        </w:rPr>
        <w:tab/>
      </w:r>
      <w:r w:rsidRPr="002C195D">
        <w:rPr>
          <w:bCs/>
          <w:szCs w:val="24"/>
        </w:rPr>
        <w:tab/>
        <w:t>§</w:t>
      </w:r>
    </w:p>
    <w:p w:rsidR="009B257B" w:rsidRPr="002C195D" w:rsidRDefault="009B257B" w:rsidP="009B257B">
      <w:pPr>
        <w:tabs>
          <w:tab w:val="left" w:pos="2160"/>
          <w:tab w:val="center" w:pos="4680"/>
          <w:tab w:val="left" w:pos="5040"/>
          <w:tab w:val="left" w:pos="5760"/>
          <w:tab w:val="left" w:pos="6480"/>
          <w:tab w:val="left" w:pos="7200"/>
          <w:tab w:val="left" w:pos="7920"/>
          <w:tab w:val="left" w:pos="8640"/>
          <w:tab w:val="right" w:pos="9360"/>
        </w:tabs>
        <w:rPr>
          <w:bCs/>
          <w:szCs w:val="24"/>
        </w:rPr>
      </w:pPr>
      <w:r w:rsidRPr="002C195D">
        <w:rPr>
          <w:bCs/>
          <w:szCs w:val="24"/>
        </w:rPr>
        <w:t xml:space="preserve">RICK PERRY, Governor, </w:t>
      </w:r>
      <w:r w:rsidRPr="002C195D">
        <w:rPr>
          <w:bCs/>
          <w:i/>
          <w:szCs w:val="24"/>
        </w:rPr>
        <w:t>et al</w:t>
      </w:r>
      <w:r w:rsidRPr="002C195D">
        <w:rPr>
          <w:bCs/>
          <w:szCs w:val="24"/>
        </w:rPr>
        <w:t>.</w:t>
      </w:r>
      <w:r w:rsidRPr="002C195D">
        <w:rPr>
          <w:bCs/>
          <w:szCs w:val="24"/>
        </w:rPr>
        <w:tab/>
        <w:t>§</w:t>
      </w:r>
    </w:p>
    <w:p w:rsidR="009B257B" w:rsidRPr="002C195D" w:rsidRDefault="009B257B" w:rsidP="009B257B">
      <w:pPr>
        <w:tabs>
          <w:tab w:val="center" w:pos="4680"/>
          <w:tab w:val="left" w:pos="5040"/>
          <w:tab w:val="left" w:pos="5760"/>
          <w:tab w:val="left" w:pos="6480"/>
          <w:tab w:val="left" w:pos="7200"/>
          <w:tab w:val="left" w:pos="7920"/>
          <w:tab w:val="left" w:pos="8640"/>
          <w:tab w:val="right" w:pos="9360"/>
        </w:tabs>
        <w:rPr>
          <w:bCs/>
          <w:szCs w:val="24"/>
        </w:rPr>
      </w:pPr>
      <w:r w:rsidRPr="002C195D">
        <w:rPr>
          <w:bCs/>
          <w:szCs w:val="24"/>
        </w:rPr>
        <w:tab/>
        <w:t>§</w:t>
      </w:r>
    </w:p>
    <w:p w:rsidR="009B257B" w:rsidRPr="002C195D" w:rsidRDefault="009B257B" w:rsidP="009B257B">
      <w:pPr>
        <w:tabs>
          <w:tab w:val="left" w:pos="2160"/>
          <w:tab w:val="center" w:pos="4680"/>
          <w:tab w:val="left" w:pos="5040"/>
          <w:tab w:val="left" w:pos="5760"/>
          <w:tab w:val="left" w:pos="6480"/>
          <w:tab w:val="left" w:pos="7200"/>
          <w:tab w:val="left" w:pos="7920"/>
          <w:tab w:val="left" w:pos="8640"/>
          <w:tab w:val="right" w:pos="9360"/>
        </w:tabs>
        <w:rPr>
          <w:bCs/>
          <w:szCs w:val="24"/>
        </w:rPr>
      </w:pPr>
      <w:r w:rsidRPr="002C195D">
        <w:rPr>
          <w:bCs/>
          <w:szCs w:val="24"/>
        </w:rPr>
        <w:tab/>
        <w:t>Defendants.</w:t>
      </w:r>
      <w:r w:rsidRPr="002C195D">
        <w:rPr>
          <w:bCs/>
          <w:szCs w:val="24"/>
        </w:rPr>
        <w:tab/>
        <w:t>§</w:t>
      </w:r>
    </w:p>
    <w:p w:rsidR="009B257B" w:rsidRPr="002C195D" w:rsidRDefault="00DD0235" w:rsidP="00D520F8">
      <w:pPr>
        <w:tabs>
          <w:tab w:val="left" w:pos="2160"/>
          <w:tab w:val="center" w:pos="4680"/>
          <w:tab w:val="left" w:pos="5040"/>
          <w:tab w:val="left" w:pos="5760"/>
          <w:tab w:val="left" w:pos="6480"/>
          <w:tab w:val="left" w:pos="7200"/>
          <w:tab w:val="left" w:pos="7920"/>
          <w:tab w:val="left" w:pos="8640"/>
          <w:tab w:val="right" w:pos="9360"/>
        </w:tabs>
        <w:spacing w:after="360"/>
        <w:rPr>
          <w:bCs/>
          <w:szCs w:val="24"/>
        </w:rPr>
      </w:pPr>
      <w:r>
        <w:rPr>
          <w:bCs/>
          <w:szCs w:val="24"/>
        </w:rPr>
        <w:t>______________________________________</w:t>
      </w:r>
      <w:r w:rsidRPr="002C195D">
        <w:rPr>
          <w:bCs/>
          <w:szCs w:val="24"/>
        </w:rPr>
        <w:t>§</w:t>
      </w:r>
      <w:r w:rsidR="009B257B" w:rsidRPr="002C195D">
        <w:rPr>
          <w:bCs/>
          <w:szCs w:val="24"/>
        </w:rPr>
        <w:tab/>
      </w:r>
      <w:r w:rsidR="009B257B" w:rsidRPr="002C195D">
        <w:rPr>
          <w:bCs/>
          <w:szCs w:val="24"/>
        </w:rPr>
        <w:tab/>
      </w:r>
    </w:p>
    <w:p w:rsidR="009B257B" w:rsidRPr="002C195D" w:rsidRDefault="009B257B" w:rsidP="00D520F8">
      <w:pPr>
        <w:jc w:val="center"/>
        <w:rPr>
          <w:b/>
          <w:bCs/>
          <w:szCs w:val="24"/>
          <w:u w:val="single"/>
        </w:rPr>
      </w:pPr>
      <w:r w:rsidRPr="002C195D">
        <w:rPr>
          <w:b/>
          <w:szCs w:val="24"/>
          <w:u w:val="single"/>
        </w:rPr>
        <w:t xml:space="preserve">ORDER GRANTING UNITED STATES’ </w:t>
      </w:r>
      <w:r w:rsidRPr="002C195D">
        <w:rPr>
          <w:b/>
          <w:bCs/>
          <w:szCs w:val="24"/>
          <w:u w:val="single"/>
        </w:rPr>
        <w:t>MOTION TO INTERVENE</w:t>
      </w:r>
    </w:p>
    <w:p w:rsidR="00D520F8" w:rsidRPr="002C195D" w:rsidRDefault="00D520F8" w:rsidP="00D520F8">
      <w:pPr>
        <w:pStyle w:val="WPTitle"/>
        <w:widowControl/>
        <w:ind w:firstLine="720"/>
        <w:jc w:val="left"/>
        <w:rPr>
          <w:rFonts w:eastAsia="Calibri"/>
          <w:b w:val="0"/>
          <w:sz w:val="24"/>
          <w:szCs w:val="24"/>
        </w:rPr>
      </w:pPr>
    </w:p>
    <w:p w:rsidR="005A0B30" w:rsidRPr="002C195D" w:rsidRDefault="00DF770A" w:rsidP="00DF770A">
      <w:pPr>
        <w:pStyle w:val="WPTitle"/>
        <w:widowControl/>
        <w:spacing w:line="480" w:lineRule="auto"/>
        <w:ind w:firstLine="720"/>
        <w:jc w:val="left"/>
        <w:rPr>
          <w:b w:val="0"/>
          <w:sz w:val="24"/>
          <w:szCs w:val="24"/>
        </w:rPr>
      </w:pPr>
      <w:r w:rsidRPr="002C195D">
        <w:rPr>
          <w:rFonts w:eastAsia="Calibri"/>
          <w:b w:val="0"/>
          <w:sz w:val="24"/>
          <w:szCs w:val="24"/>
        </w:rPr>
        <w:t xml:space="preserve">On this day came to be considered </w:t>
      </w:r>
      <w:r w:rsidR="009531D1" w:rsidRPr="002C195D">
        <w:rPr>
          <w:b w:val="0"/>
          <w:sz w:val="24"/>
          <w:szCs w:val="24"/>
        </w:rPr>
        <w:t>the United</w:t>
      </w:r>
      <w:r w:rsidRPr="002C195D">
        <w:rPr>
          <w:b w:val="0"/>
          <w:sz w:val="24"/>
          <w:szCs w:val="24"/>
        </w:rPr>
        <w:t xml:space="preserve"> States M</w:t>
      </w:r>
      <w:r w:rsidR="009531D1" w:rsidRPr="002C195D">
        <w:rPr>
          <w:b w:val="0"/>
          <w:sz w:val="24"/>
          <w:szCs w:val="24"/>
        </w:rPr>
        <w:t>otion</w:t>
      </w:r>
      <w:r w:rsidRPr="002C195D">
        <w:rPr>
          <w:b w:val="0"/>
          <w:sz w:val="24"/>
          <w:szCs w:val="24"/>
        </w:rPr>
        <w:t xml:space="preserve"> to Intervene,</w:t>
      </w:r>
      <w:r w:rsidR="009531D1" w:rsidRPr="002C195D">
        <w:rPr>
          <w:b w:val="0"/>
          <w:sz w:val="24"/>
          <w:szCs w:val="24"/>
        </w:rPr>
        <w:t xml:space="preserve"> seeking leave to intervene in this action as of right, pursuant to Federal Rule of Civil Procedure 24(a)(2) or, alternatively, in permissive intervention pursuant to Federal Rule of Civil Procedure 24(b).  </w:t>
      </w:r>
      <w:r w:rsidR="005A0B30" w:rsidRPr="002C195D">
        <w:rPr>
          <w:b w:val="0"/>
          <w:sz w:val="24"/>
          <w:szCs w:val="24"/>
        </w:rPr>
        <w:t xml:space="preserve">Having </w:t>
      </w:r>
      <w:r w:rsidRPr="002C195D">
        <w:rPr>
          <w:b w:val="0"/>
          <w:sz w:val="24"/>
          <w:szCs w:val="24"/>
        </w:rPr>
        <w:t xml:space="preserve">carefully </w:t>
      </w:r>
      <w:r w:rsidR="005A0B30" w:rsidRPr="002C195D">
        <w:rPr>
          <w:b w:val="0"/>
          <w:sz w:val="24"/>
          <w:szCs w:val="24"/>
        </w:rPr>
        <w:t>reviewed the motion, any response thereto, and the applicable law, this Court finds</w:t>
      </w:r>
      <w:r w:rsidR="00AF3A00" w:rsidRPr="002C195D">
        <w:rPr>
          <w:b w:val="0"/>
          <w:sz w:val="24"/>
          <w:szCs w:val="24"/>
        </w:rPr>
        <w:t xml:space="preserve"> that the United States shall be permitted to intervene</w:t>
      </w:r>
      <w:r w:rsidR="005E3A77">
        <w:rPr>
          <w:b w:val="0"/>
          <w:sz w:val="24"/>
          <w:szCs w:val="24"/>
        </w:rPr>
        <w:t xml:space="preserve"> and file its complaint in intervention</w:t>
      </w:r>
      <w:r w:rsidR="005A0B30" w:rsidRPr="002C195D">
        <w:rPr>
          <w:b w:val="0"/>
          <w:sz w:val="24"/>
          <w:szCs w:val="24"/>
        </w:rPr>
        <w:t xml:space="preserve">.  </w:t>
      </w:r>
    </w:p>
    <w:p w:rsidR="005A0B30" w:rsidRPr="002C195D" w:rsidRDefault="00E6343B" w:rsidP="00102053">
      <w:pPr>
        <w:pStyle w:val="WPTitle"/>
        <w:widowControl/>
        <w:spacing w:line="480" w:lineRule="auto"/>
        <w:ind w:firstLine="720"/>
        <w:jc w:val="left"/>
        <w:rPr>
          <w:b w:val="0"/>
          <w:sz w:val="24"/>
          <w:szCs w:val="24"/>
        </w:rPr>
      </w:pPr>
      <w:r>
        <w:rPr>
          <w:b w:val="0"/>
          <w:color w:val="000000"/>
          <w:spacing w:val="-3"/>
          <w:sz w:val="24"/>
          <w:szCs w:val="24"/>
        </w:rPr>
        <w:t xml:space="preserve">WHEREFORE, PREMISES CONSIDERED, it is hereby </w:t>
      </w:r>
      <w:r w:rsidR="005A0B30" w:rsidRPr="002C195D">
        <w:rPr>
          <w:b w:val="0"/>
          <w:color w:val="000000"/>
          <w:spacing w:val="-3"/>
          <w:sz w:val="24"/>
          <w:szCs w:val="24"/>
        </w:rPr>
        <w:t>ORDERED</w:t>
      </w:r>
      <w:r>
        <w:rPr>
          <w:b w:val="0"/>
          <w:color w:val="000000"/>
          <w:spacing w:val="-3"/>
          <w:sz w:val="24"/>
          <w:szCs w:val="24"/>
        </w:rPr>
        <w:t>, ADJUDGED and DECREED</w:t>
      </w:r>
      <w:r w:rsidR="005A0B30" w:rsidRPr="002C195D">
        <w:rPr>
          <w:b w:val="0"/>
          <w:color w:val="000000"/>
          <w:spacing w:val="-3"/>
          <w:sz w:val="24"/>
          <w:szCs w:val="24"/>
        </w:rPr>
        <w:t xml:space="preserve"> that the United States’ Motion to </w:t>
      </w:r>
      <w:r w:rsidR="009531D1" w:rsidRPr="002C195D">
        <w:rPr>
          <w:b w:val="0"/>
          <w:color w:val="000000"/>
          <w:spacing w:val="-3"/>
          <w:sz w:val="24"/>
          <w:szCs w:val="24"/>
        </w:rPr>
        <w:t>Intervene</w:t>
      </w:r>
      <w:r w:rsidR="005A0B30" w:rsidRPr="002C195D">
        <w:rPr>
          <w:b w:val="0"/>
          <w:color w:val="000000"/>
          <w:spacing w:val="-3"/>
          <w:sz w:val="24"/>
          <w:szCs w:val="24"/>
        </w:rPr>
        <w:t xml:space="preserve"> is </w:t>
      </w:r>
      <w:r w:rsidR="0066654F">
        <w:rPr>
          <w:b w:val="0"/>
          <w:color w:val="000000"/>
          <w:spacing w:val="-3"/>
          <w:sz w:val="24"/>
          <w:szCs w:val="24"/>
        </w:rPr>
        <w:t>hereby GRANTED</w:t>
      </w:r>
      <w:r w:rsidR="005A0B30" w:rsidRPr="002C195D">
        <w:rPr>
          <w:b w:val="0"/>
          <w:color w:val="000000"/>
          <w:spacing w:val="-3"/>
          <w:sz w:val="24"/>
          <w:szCs w:val="24"/>
        </w:rPr>
        <w:t xml:space="preserve">. </w:t>
      </w:r>
    </w:p>
    <w:p w:rsidR="005A0B30" w:rsidRPr="002C195D" w:rsidRDefault="005A0B30" w:rsidP="00102053">
      <w:pPr>
        <w:ind w:firstLine="720"/>
        <w:jc w:val="both"/>
        <w:rPr>
          <w:spacing w:val="-3"/>
          <w:szCs w:val="24"/>
        </w:rPr>
      </w:pPr>
      <w:r w:rsidRPr="002C195D">
        <w:rPr>
          <w:spacing w:val="-3"/>
          <w:szCs w:val="24"/>
        </w:rPr>
        <w:t>Signed this ____ day of ____________, 2011</w:t>
      </w:r>
    </w:p>
    <w:p w:rsidR="005A0B30" w:rsidRPr="002C195D" w:rsidRDefault="005A0B30" w:rsidP="005A0B30">
      <w:pPr>
        <w:autoSpaceDE w:val="0"/>
        <w:autoSpaceDN w:val="0"/>
        <w:adjustRightInd w:val="0"/>
        <w:rPr>
          <w:spacing w:val="-3"/>
          <w:szCs w:val="24"/>
        </w:rPr>
      </w:pPr>
    </w:p>
    <w:p w:rsidR="005A0B30" w:rsidRPr="002C195D" w:rsidRDefault="005A0B30" w:rsidP="005A0B30">
      <w:pPr>
        <w:autoSpaceDE w:val="0"/>
        <w:autoSpaceDN w:val="0"/>
        <w:adjustRightInd w:val="0"/>
        <w:rPr>
          <w:spacing w:val="-3"/>
          <w:szCs w:val="24"/>
        </w:rPr>
      </w:pPr>
    </w:p>
    <w:p w:rsidR="00D520F8" w:rsidRPr="002C195D" w:rsidRDefault="00D520F8" w:rsidP="005A0B30">
      <w:pPr>
        <w:autoSpaceDE w:val="0"/>
        <w:autoSpaceDN w:val="0"/>
        <w:adjustRightInd w:val="0"/>
        <w:rPr>
          <w:spacing w:val="-3"/>
          <w:szCs w:val="24"/>
        </w:rPr>
      </w:pPr>
    </w:p>
    <w:p w:rsidR="005A0B30" w:rsidRPr="002C195D" w:rsidRDefault="005A0B30" w:rsidP="005A0B30">
      <w:pPr>
        <w:autoSpaceDE w:val="0"/>
        <w:autoSpaceDN w:val="0"/>
        <w:adjustRightInd w:val="0"/>
        <w:ind w:left="3600"/>
        <w:rPr>
          <w:spacing w:val="-3"/>
          <w:szCs w:val="24"/>
        </w:rPr>
      </w:pPr>
      <w:r w:rsidRPr="002C195D">
        <w:rPr>
          <w:rFonts w:eastAsia="Calibri"/>
          <w:szCs w:val="24"/>
        </w:rPr>
        <w:t>___________________________________</w:t>
      </w:r>
      <w:r w:rsidRPr="002C195D">
        <w:rPr>
          <w:rFonts w:eastAsia="Calibri"/>
          <w:szCs w:val="24"/>
          <w:u w:val="single"/>
        </w:rPr>
        <w:tab/>
      </w:r>
      <w:r w:rsidRPr="002C195D">
        <w:rPr>
          <w:rFonts w:eastAsia="Calibri"/>
          <w:szCs w:val="24"/>
          <w:u w:val="single"/>
        </w:rPr>
        <w:tab/>
      </w:r>
      <w:r w:rsidRPr="002C195D">
        <w:rPr>
          <w:rFonts w:eastAsia="Calibri"/>
          <w:szCs w:val="24"/>
        </w:rPr>
        <w:tab/>
      </w:r>
    </w:p>
    <w:p w:rsidR="005A0B30" w:rsidRPr="002C195D" w:rsidRDefault="005A0B30" w:rsidP="005A0B30">
      <w:pPr>
        <w:autoSpaceDE w:val="0"/>
        <w:autoSpaceDN w:val="0"/>
        <w:adjustRightInd w:val="0"/>
        <w:ind w:left="3600"/>
        <w:rPr>
          <w:rFonts w:eastAsia="Calibri"/>
          <w:sz w:val="26"/>
          <w:szCs w:val="26"/>
        </w:rPr>
      </w:pPr>
      <w:r w:rsidRPr="002C195D">
        <w:rPr>
          <w:rFonts w:eastAsia="Calibri"/>
          <w:sz w:val="26"/>
          <w:szCs w:val="26"/>
        </w:rPr>
        <w:t>ORLANDO L. GARCIA</w:t>
      </w:r>
    </w:p>
    <w:p w:rsidR="005A0B30" w:rsidRPr="002C195D" w:rsidRDefault="008F0CCF" w:rsidP="005A0B30">
      <w:pPr>
        <w:ind w:left="2880" w:firstLine="720"/>
        <w:jc w:val="both"/>
        <w:rPr>
          <w:spacing w:val="-3"/>
          <w:szCs w:val="24"/>
        </w:rPr>
      </w:pPr>
      <w:r>
        <w:rPr>
          <w:rFonts w:eastAsia="Calibri"/>
          <w:sz w:val="23"/>
          <w:szCs w:val="23"/>
        </w:rPr>
        <w:t>UNITED STATES DISTRICT</w:t>
      </w:r>
      <w:r w:rsidR="005A0B30" w:rsidRPr="002C195D">
        <w:rPr>
          <w:rFonts w:eastAsia="Calibri"/>
          <w:sz w:val="23"/>
          <w:szCs w:val="23"/>
        </w:rPr>
        <w:t xml:space="preserve"> J</w:t>
      </w:r>
      <w:r>
        <w:rPr>
          <w:rFonts w:eastAsia="Calibri"/>
          <w:sz w:val="23"/>
          <w:szCs w:val="23"/>
        </w:rPr>
        <w:t>UDGE</w:t>
      </w:r>
    </w:p>
    <w:p w:rsidR="007105F0" w:rsidRPr="002C195D" w:rsidRDefault="007105F0">
      <w:bookmarkStart w:id="21" w:name="_GoBack"/>
      <w:bookmarkEnd w:id="21"/>
    </w:p>
    <w:sectPr w:rsidR="007105F0" w:rsidRPr="002C195D" w:rsidSect="00BB21D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D56" w:rsidRDefault="00DC2D56" w:rsidP="0016507D">
      <w:r>
        <w:separator/>
      </w:r>
    </w:p>
  </w:endnote>
  <w:endnote w:type="continuationSeparator" w:id="0">
    <w:p w:rsidR="00DC2D56" w:rsidRDefault="00DC2D56" w:rsidP="00165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56" w:rsidRDefault="00F94024" w:rsidP="009B257B">
    <w:pPr>
      <w:pStyle w:val="Footer"/>
      <w:framePr w:wrap="around" w:vAnchor="text" w:hAnchor="margin" w:xAlign="center" w:y="1"/>
      <w:rPr>
        <w:rStyle w:val="PageNumber"/>
      </w:rPr>
    </w:pPr>
    <w:r>
      <w:rPr>
        <w:rStyle w:val="PageNumber"/>
      </w:rPr>
      <w:fldChar w:fldCharType="begin"/>
    </w:r>
    <w:r w:rsidR="00DC2D56">
      <w:rPr>
        <w:rStyle w:val="PageNumber"/>
      </w:rPr>
      <w:instrText xml:space="preserve">PAGE  </w:instrText>
    </w:r>
    <w:r>
      <w:rPr>
        <w:rStyle w:val="PageNumber"/>
      </w:rPr>
      <w:fldChar w:fldCharType="end"/>
    </w:r>
  </w:p>
  <w:p w:rsidR="00DC2D56" w:rsidRDefault="00DC2D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56" w:rsidRDefault="00F94024" w:rsidP="009B257B">
    <w:pPr>
      <w:pStyle w:val="Footer"/>
      <w:framePr w:wrap="around" w:vAnchor="text" w:hAnchor="margin" w:xAlign="center" w:y="1"/>
      <w:rPr>
        <w:rStyle w:val="PageNumber"/>
      </w:rPr>
    </w:pPr>
    <w:r>
      <w:rPr>
        <w:rStyle w:val="PageNumber"/>
      </w:rPr>
      <w:fldChar w:fldCharType="begin"/>
    </w:r>
    <w:r w:rsidR="00DC2D56">
      <w:rPr>
        <w:rStyle w:val="PageNumber"/>
      </w:rPr>
      <w:instrText xml:space="preserve">PAGE  </w:instrText>
    </w:r>
    <w:r>
      <w:rPr>
        <w:rStyle w:val="PageNumber"/>
      </w:rPr>
      <w:fldChar w:fldCharType="separate"/>
    </w:r>
    <w:r w:rsidR="00741310">
      <w:rPr>
        <w:rStyle w:val="PageNumber"/>
        <w:noProof/>
      </w:rPr>
      <w:t>2</w:t>
    </w:r>
    <w:r>
      <w:rPr>
        <w:rStyle w:val="PageNumber"/>
      </w:rPr>
      <w:fldChar w:fldCharType="end"/>
    </w:r>
  </w:p>
  <w:p w:rsidR="00DC2D56" w:rsidRDefault="00DC2D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310" w:rsidRDefault="00741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D56" w:rsidRDefault="00DC2D56" w:rsidP="0016507D">
      <w:r>
        <w:separator/>
      </w:r>
    </w:p>
  </w:footnote>
  <w:footnote w:type="continuationSeparator" w:id="0">
    <w:p w:rsidR="00DC2D56" w:rsidRDefault="00DC2D56" w:rsidP="0016507D">
      <w:r>
        <w:continuationSeparator/>
      </w:r>
    </w:p>
  </w:footnote>
  <w:footnote w:id="1">
    <w:p w:rsidR="00DC2D56" w:rsidRDefault="00DC2D56" w:rsidP="00F40724">
      <w:pPr>
        <w:pStyle w:val="FootnoteText"/>
      </w:pPr>
      <w:r>
        <w:rPr>
          <w:rStyle w:val="FootnoteReference"/>
        </w:rPr>
        <w:footnoteRef/>
      </w:r>
      <w:r>
        <w:t xml:space="preserve"> </w:t>
      </w:r>
      <w:r w:rsidRPr="002B6310">
        <w:t>Title II was modeled closely on Section 504 of the Rehabilitation Act of 1973, 29 U.S.C. § 794, which prohibits discrimination on the b</w:t>
      </w:r>
      <w:r>
        <w:t>asis of disability in federally-</w:t>
      </w:r>
      <w:r w:rsidRPr="002B6310">
        <w:t xml:space="preserve">conducted programs and in all of the operations of public entities that receive federal financial assistance.  The ADA and </w:t>
      </w:r>
      <w:r>
        <w:t>Section 504</w:t>
      </w:r>
      <w:r w:rsidRPr="002B6310">
        <w:t xml:space="preserve"> </w:t>
      </w:r>
      <w:r>
        <w:t xml:space="preserve">of the Rehabilitation Act </w:t>
      </w:r>
      <w:r w:rsidRPr="002B6310">
        <w:t xml:space="preserve">are generally construed to impose the same requirements.  </w:t>
      </w:r>
      <w:r w:rsidRPr="007D5A6E">
        <w:rPr>
          <w:i/>
        </w:rPr>
        <w:t xml:space="preserve">See </w:t>
      </w:r>
      <w:r w:rsidRPr="00D51389">
        <w:rPr>
          <w:i/>
          <w:szCs w:val="24"/>
        </w:rPr>
        <w:t>Kemp v. Holder</w:t>
      </w:r>
      <w:r>
        <w:rPr>
          <w:szCs w:val="24"/>
        </w:rPr>
        <w:t>, 610 F.3d 231, 234-35 (5th Cir. 2010).</w:t>
      </w:r>
      <w:r w:rsidRPr="007D5A6E">
        <w:rPr>
          <w:i/>
        </w:rPr>
        <w:t xml:space="preserve"> </w:t>
      </w:r>
      <w:r>
        <w:rPr>
          <w:i/>
        </w:rPr>
        <w:t xml:space="preserve"> </w:t>
      </w:r>
      <w:r w:rsidRPr="002B6310">
        <w:t xml:space="preserve">This principle follows from the similar language employed in the two acts. </w:t>
      </w:r>
      <w:r>
        <w:t xml:space="preserve"> </w:t>
      </w:r>
      <w:r w:rsidRPr="002B6310">
        <w:t>It also derives from the Congressional directive that implementation and interpretation of the two acts “be coordinated to prevent</w:t>
      </w:r>
      <w:r>
        <w:t xml:space="preserve">    </w:t>
      </w:r>
      <w:r w:rsidRPr="002B6310">
        <w:t xml:space="preserve">[ ] imposition of inconsistent or conflicting standards for the same requirements under </w:t>
      </w:r>
      <w:r w:rsidRPr="007D5A6E">
        <w:t xml:space="preserve">the two statutes.”  </w:t>
      </w:r>
      <w:r w:rsidRPr="007D5A6E">
        <w:rPr>
          <w:i/>
        </w:rPr>
        <w:t>Baird ex rel. Baird v. Rose</w:t>
      </w:r>
      <w:r w:rsidRPr="007D5A6E">
        <w:t>, 192 F.3d 462, 468</w:t>
      </w:r>
      <w:r>
        <w:t>-9</w:t>
      </w:r>
      <w:r w:rsidRPr="007D5A6E">
        <w:t xml:space="preserve"> (4th Cir</w:t>
      </w:r>
      <w:r>
        <w:t>.</w:t>
      </w:r>
      <w:r w:rsidRPr="007D5A6E">
        <w:t xml:space="preserve"> 1999) (citing 42 U.S.C. § 12117(b)) (alteration in original).  </w:t>
      </w:r>
      <w:r w:rsidRPr="007D5A6E">
        <w:rPr>
          <w:i/>
        </w:rPr>
        <w:t>See also</w:t>
      </w:r>
      <w:r w:rsidRPr="007D5A6E">
        <w:t xml:space="preserve"> </w:t>
      </w:r>
      <w:r w:rsidRPr="007D5A6E">
        <w:rPr>
          <w:i/>
          <w:iCs/>
        </w:rPr>
        <w:t>Yeskey v. Com. of Penn. Dep’t of Corrections</w:t>
      </w:r>
      <w:r w:rsidRPr="007D5A6E">
        <w:t xml:space="preserve">, 118 F.3d 168, 170 (3d Cir. 1997) (“[A]ll the leading cases take up the statutes together, as we will.”), </w:t>
      </w:r>
      <w:r w:rsidRPr="00070C61">
        <w:rPr>
          <w:i/>
        </w:rPr>
        <w:t>aff’d</w:t>
      </w:r>
      <w:r w:rsidRPr="007D5A6E">
        <w:t>, 524 U.S. 206 (1998).</w:t>
      </w:r>
    </w:p>
    <w:p w:rsidR="00DC2D56" w:rsidRPr="00FB145D" w:rsidRDefault="00DC2D56" w:rsidP="00FB145D">
      <w:pPr>
        <w:pStyle w:val="FootnoteText"/>
      </w:pPr>
    </w:p>
  </w:footnote>
  <w:footnote w:id="2">
    <w:p w:rsidR="00DC2D56" w:rsidRPr="00405512" w:rsidRDefault="00DC2D56">
      <w:pPr>
        <w:pStyle w:val="FootnoteText"/>
      </w:pPr>
      <w:r>
        <w:rPr>
          <w:rStyle w:val="FootnoteReference"/>
        </w:rPr>
        <w:footnoteRef/>
      </w:r>
      <w:r>
        <w:t xml:space="preserve"> The United States’ Complaint in Intervention names the State of Texas as a Defendant in this case.  While not currently a Defendant, there is no question that the State of Texas may be joined as a Defendant by the United States because the right to relief asserted against the State and the existing Defendants (state officials sued in their official capacities) is joint and several and contains common questions of law and fact in compliance with </w:t>
      </w:r>
      <w:r w:rsidRPr="002C195D">
        <w:t xml:space="preserve">Fed. R. Civ. P. </w:t>
      </w:r>
      <w:r>
        <w:t>20(a)(2).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310" w:rsidRDefault="007413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310" w:rsidRDefault="007413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310" w:rsidRDefault="007413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26D0"/>
    <w:multiLevelType w:val="hybridMultilevel"/>
    <w:tmpl w:val="95845B0A"/>
    <w:lvl w:ilvl="0" w:tplc="89A287F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D98391F"/>
    <w:multiLevelType w:val="hybridMultilevel"/>
    <w:tmpl w:val="187CAC0C"/>
    <w:lvl w:ilvl="0" w:tplc="FD949CDC">
      <w:start w:val="1"/>
      <w:numFmt w:val="upperLetter"/>
      <w:pStyle w:val="Subsection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0766D0"/>
    <w:multiLevelType w:val="hybridMultilevel"/>
    <w:tmpl w:val="E87A25E8"/>
    <w:lvl w:ilvl="0" w:tplc="BC685554">
      <w:start w:val="1"/>
      <w:numFmt w:val="decimal"/>
      <w:lvlText w:val="%1."/>
      <w:lvlJc w:val="left"/>
      <w:pPr>
        <w:ind w:left="450" w:hanging="360"/>
      </w:pPr>
      <w:rPr>
        <w:b w:val="0"/>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233553"/>
    <w:multiLevelType w:val="hybridMultilevel"/>
    <w:tmpl w:val="3FF06ADC"/>
    <w:lvl w:ilvl="0" w:tplc="1B18A6AE">
      <w:start w:val="2"/>
      <w:numFmt w:val="lowerRoman"/>
      <w:pStyle w:val="Sub-Subsection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40622"/>
    <w:multiLevelType w:val="hybridMultilevel"/>
    <w:tmpl w:val="E7401524"/>
    <w:lvl w:ilvl="0" w:tplc="A816BD76">
      <w:start w:val="1"/>
      <w:numFmt w:val="upperRoman"/>
      <w:pStyle w:val="Heading1"/>
      <w:lvlText w:val="%1."/>
      <w:lvlJc w:val="righ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B20ECE"/>
    <w:multiLevelType w:val="hybridMultilevel"/>
    <w:tmpl w:val="F37EF04C"/>
    <w:lvl w:ilvl="0" w:tplc="382A2BF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56564F"/>
    <w:multiLevelType w:val="hybridMultilevel"/>
    <w:tmpl w:val="CA42F4FA"/>
    <w:lvl w:ilvl="0" w:tplc="C2D28A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6"/>
  </w:num>
  <w:num w:numId="6">
    <w:abstractNumId w:val="3"/>
  </w:num>
  <w:num w:numId="7">
    <w:abstractNumId w:val="1"/>
    <w:lvlOverride w:ilvl="0">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BE3255"/>
    <w:rsid w:val="00012097"/>
    <w:rsid w:val="00015108"/>
    <w:rsid w:val="00045FBD"/>
    <w:rsid w:val="000524EE"/>
    <w:rsid w:val="00052F6C"/>
    <w:rsid w:val="00057A5D"/>
    <w:rsid w:val="00060890"/>
    <w:rsid w:val="0007164B"/>
    <w:rsid w:val="0007562C"/>
    <w:rsid w:val="00085786"/>
    <w:rsid w:val="00087ED1"/>
    <w:rsid w:val="00090170"/>
    <w:rsid w:val="00096664"/>
    <w:rsid w:val="000A3D10"/>
    <w:rsid w:val="000B49A3"/>
    <w:rsid w:val="000B73C8"/>
    <w:rsid w:val="000B776D"/>
    <w:rsid w:val="000B7DC8"/>
    <w:rsid w:val="000C12FA"/>
    <w:rsid w:val="000E4795"/>
    <w:rsid w:val="000F4FF1"/>
    <w:rsid w:val="000F6476"/>
    <w:rsid w:val="000F7AB8"/>
    <w:rsid w:val="00102053"/>
    <w:rsid w:val="001020B3"/>
    <w:rsid w:val="00103305"/>
    <w:rsid w:val="00114385"/>
    <w:rsid w:val="001209A4"/>
    <w:rsid w:val="00120A04"/>
    <w:rsid w:val="00126AE1"/>
    <w:rsid w:val="00135E02"/>
    <w:rsid w:val="0016507D"/>
    <w:rsid w:val="00174525"/>
    <w:rsid w:val="00175287"/>
    <w:rsid w:val="001B7901"/>
    <w:rsid w:val="001C2CCC"/>
    <w:rsid w:val="001D64A3"/>
    <w:rsid w:val="001E1CE8"/>
    <w:rsid w:val="001E6B56"/>
    <w:rsid w:val="001E7753"/>
    <w:rsid w:val="001F6080"/>
    <w:rsid w:val="001F711E"/>
    <w:rsid w:val="00214CE4"/>
    <w:rsid w:val="00227547"/>
    <w:rsid w:val="00227AE4"/>
    <w:rsid w:val="00274AD7"/>
    <w:rsid w:val="00296ECC"/>
    <w:rsid w:val="002A721F"/>
    <w:rsid w:val="002C195D"/>
    <w:rsid w:val="00320BA4"/>
    <w:rsid w:val="003308FE"/>
    <w:rsid w:val="0033617E"/>
    <w:rsid w:val="003377BC"/>
    <w:rsid w:val="003526C0"/>
    <w:rsid w:val="0036212A"/>
    <w:rsid w:val="00363B4A"/>
    <w:rsid w:val="003705FD"/>
    <w:rsid w:val="003733C0"/>
    <w:rsid w:val="00377C01"/>
    <w:rsid w:val="00383918"/>
    <w:rsid w:val="003A5900"/>
    <w:rsid w:val="003B3AFE"/>
    <w:rsid w:val="003C6A1F"/>
    <w:rsid w:val="003D0FB3"/>
    <w:rsid w:val="003E1935"/>
    <w:rsid w:val="003F0E83"/>
    <w:rsid w:val="00405512"/>
    <w:rsid w:val="004162D3"/>
    <w:rsid w:val="00427614"/>
    <w:rsid w:val="00431E12"/>
    <w:rsid w:val="00457FFB"/>
    <w:rsid w:val="00470C2A"/>
    <w:rsid w:val="00472C4A"/>
    <w:rsid w:val="00474BC3"/>
    <w:rsid w:val="0047534E"/>
    <w:rsid w:val="004955C2"/>
    <w:rsid w:val="004A439D"/>
    <w:rsid w:val="004B3984"/>
    <w:rsid w:val="004B5708"/>
    <w:rsid w:val="004B767E"/>
    <w:rsid w:val="004C695E"/>
    <w:rsid w:val="0052599F"/>
    <w:rsid w:val="00532390"/>
    <w:rsid w:val="00541748"/>
    <w:rsid w:val="0056617E"/>
    <w:rsid w:val="005669C6"/>
    <w:rsid w:val="00566C41"/>
    <w:rsid w:val="005744D0"/>
    <w:rsid w:val="00582C7C"/>
    <w:rsid w:val="00583A09"/>
    <w:rsid w:val="00591863"/>
    <w:rsid w:val="005941BE"/>
    <w:rsid w:val="005A0B30"/>
    <w:rsid w:val="005A5564"/>
    <w:rsid w:val="005A6D8D"/>
    <w:rsid w:val="005A71F9"/>
    <w:rsid w:val="005B3A6F"/>
    <w:rsid w:val="005E02DC"/>
    <w:rsid w:val="005E3A77"/>
    <w:rsid w:val="005F7998"/>
    <w:rsid w:val="00607CC7"/>
    <w:rsid w:val="00610449"/>
    <w:rsid w:val="00643D06"/>
    <w:rsid w:val="0066654F"/>
    <w:rsid w:val="006871AC"/>
    <w:rsid w:val="006944FE"/>
    <w:rsid w:val="0069654B"/>
    <w:rsid w:val="006A0DAB"/>
    <w:rsid w:val="006A740A"/>
    <w:rsid w:val="006C430F"/>
    <w:rsid w:val="006C5A7C"/>
    <w:rsid w:val="006E683A"/>
    <w:rsid w:val="007105F0"/>
    <w:rsid w:val="007148A2"/>
    <w:rsid w:val="00715423"/>
    <w:rsid w:val="00740A4C"/>
    <w:rsid w:val="00741310"/>
    <w:rsid w:val="00757C87"/>
    <w:rsid w:val="007606F2"/>
    <w:rsid w:val="00761684"/>
    <w:rsid w:val="007636F4"/>
    <w:rsid w:val="00781720"/>
    <w:rsid w:val="007848C5"/>
    <w:rsid w:val="00793F98"/>
    <w:rsid w:val="007F40E8"/>
    <w:rsid w:val="007F7D3E"/>
    <w:rsid w:val="00832BB6"/>
    <w:rsid w:val="0083305A"/>
    <w:rsid w:val="00860F50"/>
    <w:rsid w:val="0086631E"/>
    <w:rsid w:val="00872215"/>
    <w:rsid w:val="00886D30"/>
    <w:rsid w:val="00894740"/>
    <w:rsid w:val="008A0505"/>
    <w:rsid w:val="008A4D8E"/>
    <w:rsid w:val="008B429B"/>
    <w:rsid w:val="008C438E"/>
    <w:rsid w:val="008C49FF"/>
    <w:rsid w:val="008C6F37"/>
    <w:rsid w:val="008C7416"/>
    <w:rsid w:val="008D3229"/>
    <w:rsid w:val="008D53D9"/>
    <w:rsid w:val="008E326E"/>
    <w:rsid w:val="008F0CCF"/>
    <w:rsid w:val="008F7E6A"/>
    <w:rsid w:val="0090424D"/>
    <w:rsid w:val="009225F7"/>
    <w:rsid w:val="00950206"/>
    <w:rsid w:val="009531D1"/>
    <w:rsid w:val="00964A2C"/>
    <w:rsid w:val="00965108"/>
    <w:rsid w:val="00985DBE"/>
    <w:rsid w:val="00996EBA"/>
    <w:rsid w:val="009A5DC7"/>
    <w:rsid w:val="009B257B"/>
    <w:rsid w:val="009B51AD"/>
    <w:rsid w:val="009D724F"/>
    <w:rsid w:val="009E1E50"/>
    <w:rsid w:val="00A06EC2"/>
    <w:rsid w:val="00A06FAD"/>
    <w:rsid w:val="00A43D8A"/>
    <w:rsid w:val="00A56F17"/>
    <w:rsid w:val="00A63916"/>
    <w:rsid w:val="00A66BED"/>
    <w:rsid w:val="00A72641"/>
    <w:rsid w:val="00A848AF"/>
    <w:rsid w:val="00A9178F"/>
    <w:rsid w:val="00A94AE0"/>
    <w:rsid w:val="00A94C9A"/>
    <w:rsid w:val="00AB039C"/>
    <w:rsid w:val="00AB3207"/>
    <w:rsid w:val="00AB58E1"/>
    <w:rsid w:val="00AC4115"/>
    <w:rsid w:val="00AC6BBB"/>
    <w:rsid w:val="00AD6761"/>
    <w:rsid w:val="00AD7B9D"/>
    <w:rsid w:val="00AE2964"/>
    <w:rsid w:val="00AF3A00"/>
    <w:rsid w:val="00AF4108"/>
    <w:rsid w:val="00B102B3"/>
    <w:rsid w:val="00B13369"/>
    <w:rsid w:val="00B161BF"/>
    <w:rsid w:val="00B25347"/>
    <w:rsid w:val="00B401C5"/>
    <w:rsid w:val="00B47F57"/>
    <w:rsid w:val="00B60075"/>
    <w:rsid w:val="00B63A02"/>
    <w:rsid w:val="00B90E98"/>
    <w:rsid w:val="00B9130E"/>
    <w:rsid w:val="00B93E00"/>
    <w:rsid w:val="00BA0DB1"/>
    <w:rsid w:val="00BA23D1"/>
    <w:rsid w:val="00BA3CA4"/>
    <w:rsid w:val="00BB009D"/>
    <w:rsid w:val="00BB21D1"/>
    <w:rsid w:val="00BC386F"/>
    <w:rsid w:val="00BC48A0"/>
    <w:rsid w:val="00BD1154"/>
    <w:rsid w:val="00BE3255"/>
    <w:rsid w:val="00BF46F2"/>
    <w:rsid w:val="00BF49CF"/>
    <w:rsid w:val="00C10A31"/>
    <w:rsid w:val="00C11FA2"/>
    <w:rsid w:val="00C210AD"/>
    <w:rsid w:val="00C33B6E"/>
    <w:rsid w:val="00C3431D"/>
    <w:rsid w:val="00C55B6A"/>
    <w:rsid w:val="00C65603"/>
    <w:rsid w:val="00C72A67"/>
    <w:rsid w:val="00C857CD"/>
    <w:rsid w:val="00CB2D54"/>
    <w:rsid w:val="00CC6133"/>
    <w:rsid w:val="00CD1BFF"/>
    <w:rsid w:val="00CD591A"/>
    <w:rsid w:val="00CE0890"/>
    <w:rsid w:val="00CE1783"/>
    <w:rsid w:val="00CE323C"/>
    <w:rsid w:val="00CF1BFB"/>
    <w:rsid w:val="00CF345F"/>
    <w:rsid w:val="00CF4866"/>
    <w:rsid w:val="00CF6667"/>
    <w:rsid w:val="00D0359D"/>
    <w:rsid w:val="00D14DAF"/>
    <w:rsid w:val="00D24CDB"/>
    <w:rsid w:val="00D267AB"/>
    <w:rsid w:val="00D45356"/>
    <w:rsid w:val="00D50828"/>
    <w:rsid w:val="00D520F8"/>
    <w:rsid w:val="00D6059D"/>
    <w:rsid w:val="00D62E39"/>
    <w:rsid w:val="00D7590A"/>
    <w:rsid w:val="00D770EB"/>
    <w:rsid w:val="00D8027A"/>
    <w:rsid w:val="00D825F6"/>
    <w:rsid w:val="00D85E94"/>
    <w:rsid w:val="00D873B9"/>
    <w:rsid w:val="00DB64A8"/>
    <w:rsid w:val="00DB77BC"/>
    <w:rsid w:val="00DC2D56"/>
    <w:rsid w:val="00DD0235"/>
    <w:rsid w:val="00DD4E19"/>
    <w:rsid w:val="00DE1322"/>
    <w:rsid w:val="00DF56DB"/>
    <w:rsid w:val="00DF770A"/>
    <w:rsid w:val="00E256CA"/>
    <w:rsid w:val="00E27E83"/>
    <w:rsid w:val="00E42C21"/>
    <w:rsid w:val="00E46CD5"/>
    <w:rsid w:val="00E6343B"/>
    <w:rsid w:val="00E647F6"/>
    <w:rsid w:val="00E91964"/>
    <w:rsid w:val="00E960B3"/>
    <w:rsid w:val="00EB192F"/>
    <w:rsid w:val="00EB51C6"/>
    <w:rsid w:val="00EC4058"/>
    <w:rsid w:val="00EC71A2"/>
    <w:rsid w:val="00ED250C"/>
    <w:rsid w:val="00EE390C"/>
    <w:rsid w:val="00EE72F1"/>
    <w:rsid w:val="00F04FCF"/>
    <w:rsid w:val="00F0735A"/>
    <w:rsid w:val="00F21A3D"/>
    <w:rsid w:val="00F229A1"/>
    <w:rsid w:val="00F355FE"/>
    <w:rsid w:val="00F40724"/>
    <w:rsid w:val="00F4182B"/>
    <w:rsid w:val="00F545C4"/>
    <w:rsid w:val="00F60440"/>
    <w:rsid w:val="00F62997"/>
    <w:rsid w:val="00F918C7"/>
    <w:rsid w:val="00F94024"/>
    <w:rsid w:val="00FB145D"/>
    <w:rsid w:val="00FC336C"/>
    <w:rsid w:val="00FD361B"/>
    <w:rsid w:val="00FE66E3"/>
    <w:rsid w:val="00FE72DC"/>
    <w:rsid w:val="00FF6289"/>
    <w:rsid w:val="00FF66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255"/>
    <w:rPr>
      <w:rFonts w:ascii="Times New Roman" w:eastAsia="Times New Roman" w:hAnsi="Times New Roman"/>
      <w:sz w:val="24"/>
    </w:rPr>
  </w:style>
  <w:style w:type="paragraph" w:styleId="Heading1">
    <w:name w:val="heading 1"/>
    <w:basedOn w:val="BodyText"/>
    <w:next w:val="Normal"/>
    <w:link w:val="Heading1Char"/>
    <w:uiPriority w:val="9"/>
    <w:qFormat/>
    <w:rsid w:val="00D267AB"/>
    <w:pPr>
      <w:keepNext/>
      <w:numPr>
        <w:numId w:val="2"/>
      </w:numPr>
      <w:spacing w:before="240"/>
      <w:ind w:left="864" w:hanging="72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Title">
    <w:name w:val="WP_Title"/>
    <w:basedOn w:val="Normal"/>
    <w:uiPriority w:val="99"/>
    <w:rsid w:val="00E256CA"/>
    <w:pPr>
      <w:widowControl w:val="0"/>
      <w:jc w:val="center"/>
    </w:pPr>
    <w:rPr>
      <w:b/>
      <w:sz w:val="20"/>
    </w:rPr>
  </w:style>
  <w:style w:type="character" w:customStyle="1" w:styleId="Heading1Char">
    <w:name w:val="Heading 1 Char"/>
    <w:basedOn w:val="DefaultParagraphFont"/>
    <w:link w:val="Heading1"/>
    <w:uiPriority w:val="9"/>
    <w:rsid w:val="00D267AB"/>
    <w:rPr>
      <w:rFonts w:ascii="Times New Roman" w:eastAsia="Times New Roman" w:hAnsi="Times New Roman" w:cs="Times New Roman"/>
      <w:b/>
      <w:bCs/>
      <w:kern w:val="32"/>
      <w:sz w:val="24"/>
      <w:szCs w:val="32"/>
    </w:rPr>
  </w:style>
  <w:style w:type="paragraph" w:styleId="BodyText">
    <w:name w:val="Body Text"/>
    <w:basedOn w:val="Normal"/>
    <w:link w:val="BodyTextChar"/>
    <w:uiPriority w:val="99"/>
    <w:semiHidden/>
    <w:unhideWhenUsed/>
    <w:rsid w:val="00D267AB"/>
    <w:pPr>
      <w:spacing w:after="120"/>
    </w:pPr>
  </w:style>
  <w:style w:type="character" w:customStyle="1" w:styleId="BodyTextChar">
    <w:name w:val="Body Text Char"/>
    <w:basedOn w:val="DefaultParagraphFont"/>
    <w:link w:val="BodyText"/>
    <w:uiPriority w:val="99"/>
    <w:semiHidden/>
    <w:rsid w:val="00D267AB"/>
    <w:rPr>
      <w:rFonts w:ascii="Times New Roman" w:eastAsia="Times New Roman" w:hAnsi="Times New Roman" w:cs="Times New Roman"/>
      <w:sz w:val="24"/>
      <w:szCs w:val="20"/>
    </w:rPr>
  </w:style>
  <w:style w:type="paragraph" w:customStyle="1" w:styleId="SectionHeading">
    <w:name w:val="Section Heading"/>
    <w:basedOn w:val="Normal"/>
    <w:autoRedefine/>
    <w:qFormat/>
    <w:rsid w:val="00D50828"/>
    <w:pPr>
      <w:jc w:val="center"/>
    </w:pPr>
    <w:rPr>
      <w:b/>
    </w:rPr>
  </w:style>
  <w:style w:type="character" w:styleId="Hyperlink">
    <w:name w:val="Hyperlink"/>
    <w:uiPriority w:val="99"/>
    <w:unhideWhenUsed/>
    <w:rsid w:val="00EB51C6"/>
    <w:rPr>
      <w:color w:val="0000FF"/>
      <w:u w:val="single"/>
    </w:rPr>
  </w:style>
  <w:style w:type="paragraph" w:styleId="Footer">
    <w:name w:val="footer"/>
    <w:basedOn w:val="Normal"/>
    <w:link w:val="FooterChar"/>
    <w:uiPriority w:val="99"/>
    <w:semiHidden/>
    <w:unhideWhenUsed/>
    <w:rsid w:val="00EB51C6"/>
    <w:pPr>
      <w:tabs>
        <w:tab w:val="center" w:pos="4320"/>
        <w:tab w:val="right" w:pos="8640"/>
      </w:tabs>
    </w:pPr>
  </w:style>
  <w:style w:type="character" w:customStyle="1" w:styleId="FooterChar">
    <w:name w:val="Footer Char"/>
    <w:basedOn w:val="DefaultParagraphFont"/>
    <w:link w:val="Footer"/>
    <w:uiPriority w:val="99"/>
    <w:semiHidden/>
    <w:rsid w:val="00EB51C6"/>
    <w:rPr>
      <w:rFonts w:ascii="Times New Roman" w:eastAsia="Times New Roman" w:hAnsi="Times New Roman"/>
      <w:sz w:val="24"/>
    </w:rPr>
  </w:style>
  <w:style w:type="character" w:styleId="PageNumber">
    <w:name w:val="page number"/>
    <w:basedOn w:val="DefaultParagraphFont"/>
    <w:uiPriority w:val="99"/>
    <w:semiHidden/>
    <w:unhideWhenUsed/>
    <w:rsid w:val="00EB51C6"/>
  </w:style>
  <w:style w:type="paragraph" w:styleId="FootnoteText">
    <w:name w:val="footnote text"/>
    <w:basedOn w:val="Normal"/>
    <w:link w:val="FootnoteTextChar"/>
    <w:uiPriority w:val="99"/>
    <w:unhideWhenUsed/>
    <w:rsid w:val="0016507D"/>
    <w:rPr>
      <w:sz w:val="20"/>
    </w:rPr>
  </w:style>
  <w:style w:type="character" w:customStyle="1" w:styleId="FootnoteTextChar">
    <w:name w:val="Footnote Text Char"/>
    <w:basedOn w:val="DefaultParagraphFont"/>
    <w:link w:val="FootnoteText"/>
    <w:uiPriority w:val="99"/>
    <w:rsid w:val="0016507D"/>
    <w:rPr>
      <w:rFonts w:ascii="Times New Roman" w:eastAsia="Times New Roman" w:hAnsi="Times New Roman"/>
    </w:rPr>
  </w:style>
  <w:style w:type="character" w:styleId="FootnoteReference">
    <w:name w:val="footnote reference"/>
    <w:uiPriority w:val="99"/>
    <w:semiHidden/>
    <w:unhideWhenUsed/>
    <w:rsid w:val="0016507D"/>
    <w:rPr>
      <w:vertAlign w:val="superscript"/>
    </w:rPr>
  </w:style>
  <w:style w:type="paragraph" w:customStyle="1" w:styleId="Sub-Subsection1">
    <w:name w:val="Sub-Subsection1"/>
    <w:basedOn w:val="Normal"/>
    <w:autoRedefine/>
    <w:qFormat/>
    <w:rsid w:val="00715423"/>
    <w:pPr>
      <w:numPr>
        <w:numId w:val="6"/>
      </w:numPr>
      <w:ind w:left="720" w:hanging="360"/>
    </w:pPr>
    <w:rPr>
      <w:i/>
    </w:rPr>
  </w:style>
  <w:style w:type="paragraph" w:customStyle="1" w:styleId="Subsection1">
    <w:name w:val="Subsection1"/>
    <w:basedOn w:val="Normal"/>
    <w:autoRedefine/>
    <w:qFormat/>
    <w:rsid w:val="0016507D"/>
    <w:pPr>
      <w:numPr>
        <w:numId w:val="4"/>
      </w:numPr>
    </w:pPr>
    <w:rPr>
      <w:b/>
      <w:u w:val="single"/>
    </w:rPr>
  </w:style>
  <w:style w:type="character" w:customStyle="1" w:styleId="documentbody">
    <w:name w:val="documentbody"/>
    <w:basedOn w:val="DefaultParagraphFont"/>
    <w:rsid w:val="0016507D"/>
  </w:style>
  <w:style w:type="character" w:customStyle="1" w:styleId="apple-style-span">
    <w:name w:val="apple-style-span"/>
    <w:rsid w:val="0016507D"/>
  </w:style>
  <w:style w:type="character" w:customStyle="1" w:styleId="apple-converted-space">
    <w:name w:val="apple-converted-space"/>
    <w:rsid w:val="0016507D"/>
  </w:style>
  <w:style w:type="character" w:styleId="CommentReference">
    <w:name w:val="annotation reference"/>
    <w:basedOn w:val="DefaultParagraphFont"/>
    <w:uiPriority w:val="99"/>
    <w:semiHidden/>
    <w:unhideWhenUsed/>
    <w:rsid w:val="00607CC7"/>
    <w:rPr>
      <w:sz w:val="16"/>
      <w:szCs w:val="16"/>
    </w:rPr>
  </w:style>
  <w:style w:type="paragraph" w:styleId="CommentText">
    <w:name w:val="annotation text"/>
    <w:basedOn w:val="Normal"/>
    <w:link w:val="CommentTextChar"/>
    <w:uiPriority w:val="99"/>
    <w:semiHidden/>
    <w:unhideWhenUsed/>
    <w:rsid w:val="00607CC7"/>
    <w:rPr>
      <w:sz w:val="20"/>
    </w:rPr>
  </w:style>
  <w:style w:type="character" w:customStyle="1" w:styleId="CommentTextChar">
    <w:name w:val="Comment Text Char"/>
    <w:basedOn w:val="DefaultParagraphFont"/>
    <w:link w:val="CommentText"/>
    <w:uiPriority w:val="99"/>
    <w:semiHidden/>
    <w:rsid w:val="00607CC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7CC7"/>
    <w:rPr>
      <w:b/>
      <w:bCs/>
    </w:rPr>
  </w:style>
  <w:style w:type="character" w:customStyle="1" w:styleId="CommentSubjectChar">
    <w:name w:val="Comment Subject Char"/>
    <w:basedOn w:val="CommentTextChar"/>
    <w:link w:val="CommentSubject"/>
    <w:uiPriority w:val="99"/>
    <w:semiHidden/>
    <w:rsid w:val="00607CC7"/>
    <w:rPr>
      <w:rFonts w:ascii="Times New Roman" w:eastAsia="Times New Roman" w:hAnsi="Times New Roman"/>
      <w:b/>
      <w:bCs/>
    </w:rPr>
  </w:style>
  <w:style w:type="paragraph" w:styleId="BalloonText">
    <w:name w:val="Balloon Text"/>
    <w:basedOn w:val="Normal"/>
    <w:link w:val="BalloonTextChar"/>
    <w:uiPriority w:val="99"/>
    <w:semiHidden/>
    <w:unhideWhenUsed/>
    <w:rsid w:val="00607CC7"/>
    <w:rPr>
      <w:rFonts w:ascii="Tahoma" w:hAnsi="Tahoma" w:cs="Tahoma"/>
      <w:sz w:val="16"/>
      <w:szCs w:val="16"/>
    </w:rPr>
  </w:style>
  <w:style w:type="character" w:customStyle="1" w:styleId="BalloonTextChar">
    <w:name w:val="Balloon Text Char"/>
    <w:basedOn w:val="DefaultParagraphFont"/>
    <w:link w:val="BalloonText"/>
    <w:uiPriority w:val="99"/>
    <w:semiHidden/>
    <w:rsid w:val="00607CC7"/>
    <w:rPr>
      <w:rFonts w:ascii="Tahoma" w:eastAsia="Times New Roman" w:hAnsi="Tahoma" w:cs="Tahoma"/>
      <w:sz w:val="16"/>
      <w:szCs w:val="16"/>
    </w:rPr>
  </w:style>
  <w:style w:type="paragraph" w:customStyle="1" w:styleId="Default">
    <w:name w:val="Default"/>
    <w:rsid w:val="004162D3"/>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unhideWhenUsed/>
    <w:rsid w:val="00741310"/>
    <w:pPr>
      <w:tabs>
        <w:tab w:val="center" w:pos="4680"/>
        <w:tab w:val="right" w:pos="9360"/>
      </w:tabs>
    </w:pPr>
  </w:style>
  <w:style w:type="character" w:customStyle="1" w:styleId="HeaderChar">
    <w:name w:val="Header Char"/>
    <w:basedOn w:val="DefaultParagraphFont"/>
    <w:link w:val="Header"/>
    <w:uiPriority w:val="99"/>
    <w:semiHidden/>
    <w:rsid w:val="00741310"/>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255"/>
    <w:rPr>
      <w:rFonts w:ascii="Times New Roman" w:eastAsia="Times New Roman" w:hAnsi="Times New Roman"/>
      <w:sz w:val="24"/>
    </w:rPr>
  </w:style>
  <w:style w:type="paragraph" w:styleId="Heading1">
    <w:name w:val="heading 1"/>
    <w:basedOn w:val="BodyText"/>
    <w:next w:val="Normal"/>
    <w:link w:val="Heading1Char"/>
    <w:uiPriority w:val="9"/>
    <w:qFormat/>
    <w:rsid w:val="00D267AB"/>
    <w:pPr>
      <w:keepNext/>
      <w:numPr>
        <w:numId w:val="2"/>
      </w:numPr>
      <w:spacing w:before="240"/>
      <w:ind w:left="864" w:hanging="72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Title">
    <w:name w:val="WP_Title"/>
    <w:basedOn w:val="Normal"/>
    <w:uiPriority w:val="99"/>
    <w:rsid w:val="00E256CA"/>
    <w:pPr>
      <w:widowControl w:val="0"/>
      <w:jc w:val="center"/>
    </w:pPr>
    <w:rPr>
      <w:b/>
      <w:sz w:val="20"/>
    </w:rPr>
  </w:style>
  <w:style w:type="character" w:customStyle="1" w:styleId="Heading1Char">
    <w:name w:val="Heading 1 Char"/>
    <w:basedOn w:val="DefaultParagraphFont"/>
    <w:link w:val="Heading1"/>
    <w:uiPriority w:val="9"/>
    <w:rsid w:val="00D267AB"/>
    <w:rPr>
      <w:rFonts w:ascii="Times New Roman" w:eastAsia="Times New Roman" w:hAnsi="Times New Roman" w:cs="Times New Roman"/>
      <w:b/>
      <w:bCs/>
      <w:kern w:val="32"/>
      <w:sz w:val="24"/>
      <w:szCs w:val="32"/>
    </w:rPr>
  </w:style>
  <w:style w:type="paragraph" w:styleId="BodyText">
    <w:name w:val="Body Text"/>
    <w:basedOn w:val="Normal"/>
    <w:link w:val="BodyTextChar"/>
    <w:uiPriority w:val="99"/>
    <w:semiHidden/>
    <w:unhideWhenUsed/>
    <w:rsid w:val="00D267AB"/>
    <w:pPr>
      <w:spacing w:after="120"/>
    </w:pPr>
  </w:style>
  <w:style w:type="character" w:customStyle="1" w:styleId="BodyTextChar">
    <w:name w:val="Body Text Char"/>
    <w:basedOn w:val="DefaultParagraphFont"/>
    <w:link w:val="BodyText"/>
    <w:uiPriority w:val="99"/>
    <w:semiHidden/>
    <w:rsid w:val="00D267AB"/>
    <w:rPr>
      <w:rFonts w:ascii="Times New Roman" w:eastAsia="Times New Roman" w:hAnsi="Times New Roman" w:cs="Times New Roman"/>
      <w:sz w:val="24"/>
      <w:szCs w:val="20"/>
    </w:rPr>
  </w:style>
  <w:style w:type="paragraph" w:customStyle="1" w:styleId="SectionHeading">
    <w:name w:val="Section Heading"/>
    <w:basedOn w:val="Normal"/>
    <w:autoRedefine/>
    <w:qFormat/>
    <w:rsid w:val="00D50828"/>
    <w:pPr>
      <w:jc w:val="center"/>
    </w:pPr>
    <w:rPr>
      <w:b/>
    </w:rPr>
  </w:style>
  <w:style w:type="character" w:styleId="Hyperlink">
    <w:name w:val="Hyperlink"/>
    <w:uiPriority w:val="99"/>
    <w:unhideWhenUsed/>
    <w:rsid w:val="00EB51C6"/>
    <w:rPr>
      <w:color w:val="0000FF"/>
      <w:u w:val="single"/>
    </w:rPr>
  </w:style>
  <w:style w:type="paragraph" w:styleId="Footer">
    <w:name w:val="footer"/>
    <w:basedOn w:val="Normal"/>
    <w:link w:val="FooterChar"/>
    <w:uiPriority w:val="99"/>
    <w:semiHidden/>
    <w:unhideWhenUsed/>
    <w:rsid w:val="00EB51C6"/>
    <w:pPr>
      <w:tabs>
        <w:tab w:val="center" w:pos="4320"/>
        <w:tab w:val="right" w:pos="8640"/>
      </w:tabs>
    </w:pPr>
  </w:style>
  <w:style w:type="character" w:customStyle="1" w:styleId="FooterChar">
    <w:name w:val="Footer Char"/>
    <w:basedOn w:val="DefaultParagraphFont"/>
    <w:link w:val="Footer"/>
    <w:uiPriority w:val="99"/>
    <w:semiHidden/>
    <w:rsid w:val="00EB51C6"/>
    <w:rPr>
      <w:rFonts w:ascii="Times New Roman" w:eastAsia="Times New Roman" w:hAnsi="Times New Roman"/>
      <w:sz w:val="24"/>
    </w:rPr>
  </w:style>
  <w:style w:type="character" w:styleId="PageNumber">
    <w:name w:val="page number"/>
    <w:basedOn w:val="DefaultParagraphFont"/>
    <w:uiPriority w:val="99"/>
    <w:semiHidden/>
    <w:unhideWhenUsed/>
    <w:rsid w:val="00EB51C6"/>
  </w:style>
  <w:style w:type="paragraph" w:styleId="FootnoteText">
    <w:name w:val="footnote text"/>
    <w:basedOn w:val="Normal"/>
    <w:link w:val="FootnoteTextChar"/>
    <w:uiPriority w:val="99"/>
    <w:unhideWhenUsed/>
    <w:rsid w:val="0016507D"/>
    <w:rPr>
      <w:sz w:val="20"/>
    </w:rPr>
  </w:style>
  <w:style w:type="character" w:customStyle="1" w:styleId="FootnoteTextChar">
    <w:name w:val="Footnote Text Char"/>
    <w:basedOn w:val="DefaultParagraphFont"/>
    <w:link w:val="FootnoteText"/>
    <w:uiPriority w:val="99"/>
    <w:rsid w:val="0016507D"/>
    <w:rPr>
      <w:rFonts w:ascii="Times New Roman" w:eastAsia="Times New Roman" w:hAnsi="Times New Roman"/>
    </w:rPr>
  </w:style>
  <w:style w:type="character" w:styleId="FootnoteReference">
    <w:name w:val="footnote reference"/>
    <w:uiPriority w:val="99"/>
    <w:semiHidden/>
    <w:unhideWhenUsed/>
    <w:rsid w:val="0016507D"/>
    <w:rPr>
      <w:vertAlign w:val="superscript"/>
    </w:rPr>
  </w:style>
  <w:style w:type="paragraph" w:customStyle="1" w:styleId="Sub-Subsection1">
    <w:name w:val="Sub-Subsection1"/>
    <w:basedOn w:val="Normal"/>
    <w:autoRedefine/>
    <w:qFormat/>
    <w:rsid w:val="00715423"/>
    <w:pPr>
      <w:numPr>
        <w:numId w:val="6"/>
      </w:numPr>
      <w:ind w:left="720" w:hanging="360"/>
    </w:pPr>
    <w:rPr>
      <w:i/>
    </w:rPr>
  </w:style>
  <w:style w:type="paragraph" w:customStyle="1" w:styleId="Subsection1">
    <w:name w:val="Subsection1"/>
    <w:basedOn w:val="Normal"/>
    <w:autoRedefine/>
    <w:qFormat/>
    <w:rsid w:val="0016507D"/>
    <w:pPr>
      <w:numPr>
        <w:numId w:val="4"/>
      </w:numPr>
    </w:pPr>
    <w:rPr>
      <w:b/>
      <w:u w:val="single"/>
    </w:rPr>
  </w:style>
  <w:style w:type="character" w:customStyle="1" w:styleId="documentbody">
    <w:name w:val="documentbody"/>
    <w:basedOn w:val="DefaultParagraphFont"/>
    <w:rsid w:val="0016507D"/>
  </w:style>
  <w:style w:type="character" w:customStyle="1" w:styleId="apple-style-span">
    <w:name w:val="apple-style-span"/>
    <w:rsid w:val="0016507D"/>
  </w:style>
  <w:style w:type="character" w:customStyle="1" w:styleId="apple-converted-space">
    <w:name w:val="apple-converted-space"/>
    <w:rsid w:val="0016507D"/>
  </w:style>
  <w:style w:type="character" w:styleId="CommentReference">
    <w:name w:val="annotation reference"/>
    <w:basedOn w:val="DefaultParagraphFont"/>
    <w:uiPriority w:val="99"/>
    <w:semiHidden/>
    <w:unhideWhenUsed/>
    <w:rsid w:val="00607CC7"/>
    <w:rPr>
      <w:sz w:val="16"/>
      <w:szCs w:val="16"/>
    </w:rPr>
  </w:style>
  <w:style w:type="paragraph" w:styleId="CommentText">
    <w:name w:val="annotation text"/>
    <w:basedOn w:val="Normal"/>
    <w:link w:val="CommentTextChar"/>
    <w:uiPriority w:val="99"/>
    <w:semiHidden/>
    <w:unhideWhenUsed/>
    <w:rsid w:val="00607CC7"/>
    <w:rPr>
      <w:sz w:val="20"/>
    </w:rPr>
  </w:style>
  <w:style w:type="character" w:customStyle="1" w:styleId="CommentTextChar">
    <w:name w:val="Comment Text Char"/>
    <w:basedOn w:val="DefaultParagraphFont"/>
    <w:link w:val="CommentText"/>
    <w:uiPriority w:val="99"/>
    <w:semiHidden/>
    <w:rsid w:val="00607CC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7CC7"/>
    <w:rPr>
      <w:b/>
      <w:bCs/>
    </w:rPr>
  </w:style>
  <w:style w:type="character" w:customStyle="1" w:styleId="CommentSubjectChar">
    <w:name w:val="Comment Subject Char"/>
    <w:basedOn w:val="CommentTextChar"/>
    <w:link w:val="CommentSubject"/>
    <w:uiPriority w:val="99"/>
    <w:semiHidden/>
    <w:rsid w:val="00607CC7"/>
    <w:rPr>
      <w:rFonts w:ascii="Times New Roman" w:eastAsia="Times New Roman" w:hAnsi="Times New Roman"/>
      <w:b/>
      <w:bCs/>
    </w:rPr>
  </w:style>
  <w:style w:type="paragraph" w:styleId="BalloonText">
    <w:name w:val="Balloon Text"/>
    <w:basedOn w:val="Normal"/>
    <w:link w:val="BalloonTextChar"/>
    <w:uiPriority w:val="99"/>
    <w:semiHidden/>
    <w:unhideWhenUsed/>
    <w:rsid w:val="00607CC7"/>
    <w:rPr>
      <w:rFonts w:ascii="Tahoma" w:hAnsi="Tahoma" w:cs="Tahoma"/>
      <w:sz w:val="16"/>
      <w:szCs w:val="16"/>
    </w:rPr>
  </w:style>
  <w:style w:type="character" w:customStyle="1" w:styleId="BalloonTextChar">
    <w:name w:val="Balloon Text Char"/>
    <w:basedOn w:val="DefaultParagraphFont"/>
    <w:link w:val="BalloonText"/>
    <w:uiPriority w:val="99"/>
    <w:semiHidden/>
    <w:rsid w:val="00607CC7"/>
    <w:rPr>
      <w:rFonts w:ascii="Tahoma" w:eastAsia="Times New Roman" w:hAnsi="Tahoma" w:cs="Tahoma"/>
      <w:sz w:val="16"/>
      <w:szCs w:val="16"/>
    </w:rPr>
  </w:style>
  <w:style w:type="paragraph" w:customStyle="1" w:styleId="Default">
    <w:name w:val="Default"/>
    <w:rsid w:val="004162D3"/>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an.Rush@usdoj.gov"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egan.Rush@usdoj.gov"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egan.Rush@usdoj.gov"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4006</Words>
  <Characters>22839</Characters>
  <Application>Microsoft Office Word</Application>
  <DocSecurity>0</DocSecurity>
  <Lines>190</Lines>
  <Paragraphs>53</Paragraphs>
  <ScaleCrop>false</ScaleCrop>
  <Company/>
  <LinksUpToDate>false</LinksUpToDate>
  <CharactersWithSpaces>26792</CharactersWithSpaces>
  <SharedDoc>false</SharedDoc>
  <HLinks>
    <vt:vector size="12" baseType="variant">
      <vt:variant>
        <vt:i4>4980782</vt:i4>
      </vt:variant>
      <vt:variant>
        <vt:i4>7</vt:i4>
      </vt:variant>
      <vt:variant>
        <vt:i4>0</vt:i4>
      </vt:variant>
      <vt:variant>
        <vt:i4>5</vt:i4>
      </vt:variant>
      <vt:variant>
        <vt:lpwstr>mailto:Anne.Raish@usdoj.gov</vt:lpwstr>
      </vt:variant>
      <vt:variant>
        <vt:lpwstr/>
      </vt:variant>
      <vt:variant>
        <vt:i4>327777</vt:i4>
      </vt:variant>
      <vt:variant>
        <vt:i4>4</vt:i4>
      </vt:variant>
      <vt:variant>
        <vt:i4>0</vt:i4>
      </vt:variant>
      <vt:variant>
        <vt:i4>5</vt:i4>
      </vt:variant>
      <vt:variant>
        <vt:lpwstr>mailto:Regan.Rush@usdoj.gov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2011-08-30T18:39:00Z</dcterms:created>
  <dcterms:modified xsi:type="dcterms:W3CDTF">2011-08-30T18:39:00Z</dcterms:modified>
</cp:coreProperties>
</file>