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0B" w:rsidRDefault="000A5E0B" w:rsidP="000A5E0B">
      <w:pPr>
        <w:pBdr>
          <w:top w:val="single" w:sz="18" w:space="1" w:color="auto"/>
          <w:left w:val="single" w:sz="18" w:space="1" w:color="auto"/>
          <w:bottom w:val="single" w:sz="18" w:space="1" w:color="auto"/>
          <w:right w:val="single" w:sz="18" w:space="1" w:color="auto"/>
        </w:pBdr>
        <w:jc w:val="center"/>
        <w:rPr>
          <w:rFonts w:ascii="Arial" w:hAnsi="Arial"/>
          <w:b/>
          <w:sz w:val="52"/>
        </w:rPr>
      </w:pPr>
      <w:r>
        <w:rPr>
          <w:rFonts w:ascii="Arial" w:hAnsi="Arial"/>
          <w:b/>
          <w:sz w:val="52"/>
        </w:rPr>
        <w:t>REGULATORY ALERT</w:t>
      </w:r>
    </w:p>
    <w:p w:rsidR="000A5E0B" w:rsidRDefault="000A5E0B" w:rsidP="000A5E0B">
      <w:pPr>
        <w:rPr>
          <w:rFonts w:ascii="Arial" w:hAnsi="Arial"/>
        </w:rPr>
      </w:pPr>
    </w:p>
    <w:p w:rsidR="000A5E0B" w:rsidRPr="00663771" w:rsidRDefault="000A5E0B" w:rsidP="000A5E0B">
      <w:pPr>
        <w:jc w:val="center"/>
        <w:rPr>
          <w:rFonts w:ascii="Arial" w:hAnsi="Arial"/>
          <w:b/>
          <w:sz w:val="28"/>
          <w:szCs w:val="28"/>
        </w:rPr>
      </w:pPr>
      <w:r w:rsidRPr="00663771">
        <w:rPr>
          <w:rFonts w:ascii="Arial" w:hAnsi="Arial"/>
          <w:b/>
          <w:sz w:val="28"/>
          <w:szCs w:val="28"/>
        </w:rPr>
        <w:t>NATIONAL CREDIT UNION ADMINISTRATION</w:t>
      </w:r>
    </w:p>
    <w:p w:rsidR="000A5E0B" w:rsidRPr="00663771" w:rsidRDefault="000A5E0B" w:rsidP="000A5E0B">
      <w:pPr>
        <w:jc w:val="center"/>
        <w:rPr>
          <w:rFonts w:ascii="Arial" w:hAnsi="Arial"/>
          <w:b/>
          <w:sz w:val="28"/>
          <w:szCs w:val="28"/>
        </w:rPr>
      </w:pPr>
      <w:r w:rsidRPr="00663771">
        <w:rPr>
          <w:rFonts w:ascii="Arial" w:hAnsi="Arial"/>
          <w:b/>
          <w:sz w:val="28"/>
          <w:szCs w:val="28"/>
        </w:rPr>
        <w:t>1775 DUKE STREET, ALEXANDRIA, VA  22314</w:t>
      </w:r>
    </w:p>
    <w:p w:rsidR="000A5E0B" w:rsidRPr="00663771" w:rsidRDefault="000A5E0B" w:rsidP="000A5E0B">
      <w:pPr>
        <w:rPr>
          <w:rFonts w:ascii="Arial" w:hAnsi="Arial"/>
          <w:sz w:val="28"/>
          <w:szCs w:val="28"/>
        </w:rPr>
      </w:pPr>
    </w:p>
    <w:p w:rsidR="000A5E0B" w:rsidRPr="00663771" w:rsidRDefault="000A5E0B" w:rsidP="000A5E0B">
      <w:pPr>
        <w:rPr>
          <w:rFonts w:ascii="Arial" w:hAnsi="Arial"/>
          <w:b/>
          <w:sz w:val="28"/>
          <w:szCs w:val="28"/>
        </w:rPr>
      </w:pPr>
      <w:r w:rsidRPr="00663771">
        <w:rPr>
          <w:rFonts w:ascii="Arial" w:hAnsi="Arial"/>
          <w:b/>
          <w:sz w:val="28"/>
          <w:szCs w:val="28"/>
        </w:rPr>
        <w:t>DATE:</w:t>
      </w:r>
      <w:r w:rsidRPr="00663771">
        <w:rPr>
          <w:rFonts w:ascii="Arial" w:hAnsi="Arial"/>
          <w:b/>
          <w:sz w:val="28"/>
          <w:szCs w:val="28"/>
        </w:rPr>
        <w:tab/>
      </w:r>
      <w:r w:rsidR="00EA77F1">
        <w:rPr>
          <w:rFonts w:ascii="Arial" w:hAnsi="Arial"/>
          <w:b/>
          <w:sz w:val="28"/>
          <w:szCs w:val="28"/>
        </w:rPr>
        <w:t>April</w:t>
      </w:r>
      <w:r w:rsidR="00C9324A">
        <w:rPr>
          <w:rFonts w:ascii="Arial" w:hAnsi="Arial"/>
          <w:b/>
          <w:sz w:val="28"/>
          <w:szCs w:val="28"/>
        </w:rPr>
        <w:t xml:space="preserve"> 2009</w:t>
      </w:r>
      <w:r w:rsidRPr="00663771">
        <w:rPr>
          <w:rFonts w:ascii="Arial" w:hAnsi="Arial"/>
          <w:b/>
          <w:sz w:val="28"/>
          <w:szCs w:val="28"/>
        </w:rPr>
        <w:tab/>
      </w:r>
      <w:r w:rsidRPr="00663771">
        <w:rPr>
          <w:rFonts w:ascii="Arial" w:hAnsi="Arial"/>
          <w:b/>
          <w:sz w:val="28"/>
          <w:szCs w:val="28"/>
        </w:rPr>
        <w:tab/>
        <w:t xml:space="preserve"> </w:t>
      </w:r>
      <w:r w:rsidRPr="00663771">
        <w:rPr>
          <w:rFonts w:ascii="Arial" w:hAnsi="Arial"/>
          <w:b/>
          <w:sz w:val="28"/>
          <w:szCs w:val="28"/>
        </w:rPr>
        <w:tab/>
      </w:r>
      <w:r w:rsidRPr="00663771">
        <w:rPr>
          <w:rFonts w:ascii="Arial" w:hAnsi="Arial"/>
          <w:b/>
          <w:sz w:val="28"/>
          <w:szCs w:val="28"/>
        </w:rPr>
        <w:tab/>
        <w:t>NO:</w:t>
      </w:r>
      <w:r w:rsidRPr="00663771">
        <w:rPr>
          <w:rFonts w:ascii="Arial" w:hAnsi="Arial"/>
          <w:b/>
          <w:sz w:val="28"/>
          <w:szCs w:val="28"/>
        </w:rPr>
        <w:tab/>
        <w:t xml:space="preserve"> 0</w:t>
      </w:r>
      <w:r w:rsidR="00C9324A">
        <w:rPr>
          <w:rFonts w:ascii="Arial" w:hAnsi="Arial"/>
          <w:b/>
          <w:sz w:val="28"/>
          <w:szCs w:val="28"/>
        </w:rPr>
        <w:t>9</w:t>
      </w:r>
      <w:r w:rsidRPr="00663771">
        <w:rPr>
          <w:rFonts w:ascii="Arial" w:hAnsi="Arial"/>
          <w:b/>
          <w:sz w:val="28"/>
          <w:szCs w:val="28"/>
        </w:rPr>
        <w:t>-RA-</w:t>
      </w:r>
      <w:r w:rsidR="004C4710">
        <w:rPr>
          <w:rFonts w:ascii="Arial" w:hAnsi="Arial"/>
          <w:b/>
          <w:sz w:val="28"/>
          <w:szCs w:val="28"/>
        </w:rPr>
        <w:t xml:space="preserve"> 05</w:t>
      </w:r>
    </w:p>
    <w:p w:rsidR="000A5E0B" w:rsidRDefault="000A5E0B" w:rsidP="000A5E0B">
      <w:pPr>
        <w:rPr>
          <w:rFonts w:ascii="Arial" w:hAnsi="Arial"/>
          <w:b/>
          <w:sz w:val="28"/>
          <w:szCs w:val="28"/>
        </w:rPr>
      </w:pPr>
    </w:p>
    <w:p w:rsidR="00C9324A" w:rsidRPr="00D15396" w:rsidRDefault="00C9324A" w:rsidP="00C9324A">
      <w:pPr>
        <w:rPr>
          <w:rFonts w:ascii="Arial" w:hAnsi="Arial"/>
          <w:b/>
          <w:sz w:val="28"/>
          <w:szCs w:val="28"/>
        </w:rPr>
      </w:pPr>
      <w:r w:rsidRPr="00D15396">
        <w:rPr>
          <w:rFonts w:ascii="Arial" w:hAnsi="Arial"/>
          <w:b/>
          <w:sz w:val="28"/>
          <w:szCs w:val="28"/>
        </w:rPr>
        <w:t>TO:</w:t>
      </w:r>
      <w:r w:rsidRPr="00D15396">
        <w:rPr>
          <w:rFonts w:ascii="Arial" w:hAnsi="Arial"/>
          <w:b/>
          <w:sz w:val="28"/>
          <w:szCs w:val="28"/>
        </w:rPr>
        <w:tab/>
      </w:r>
      <w:r w:rsidRPr="00D15396">
        <w:rPr>
          <w:rFonts w:ascii="Arial" w:hAnsi="Arial"/>
          <w:b/>
          <w:sz w:val="28"/>
          <w:szCs w:val="28"/>
        </w:rPr>
        <w:tab/>
        <w:t>Federally Insured Credit Unions</w:t>
      </w:r>
    </w:p>
    <w:p w:rsidR="00C9324A" w:rsidRPr="00D15396" w:rsidRDefault="00C9324A" w:rsidP="00C9324A">
      <w:pPr>
        <w:rPr>
          <w:rFonts w:ascii="Arial" w:hAnsi="Arial"/>
          <w:sz w:val="28"/>
          <w:szCs w:val="28"/>
        </w:rPr>
      </w:pPr>
    </w:p>
    <w:p w:rsidR="00C9324A" w:rsidRDefault="00C9324A" w:rsidP="00EA77F1">
      <w:pPr>
        <w:ind w:right="-1620"/>
        <w:rPr>
          <w:rFonts w:ascii="Arial" w:hAnsi="Arial"/>
          <w:b/>
          <w:sz w:val="28"/>
        </w:rPr>
      </w:pPr>
      <w:r w:rsidRPr="00D15396">
        <w:rPr>
          <w:rFonts w:ascii="Arial" w:hAnsi="Arial"/>
          <w:b/>
          <w:sz w:val="28"/>
          <w:szCs w:val="28"/>
        </w:rPr>
        <w:t>SUBJ:</w:t>
      </w:r>
      <w:r w:rsidRPr="00D15396">
        <w:rPr>
          <w:rFonts w:ascii="Arial" w:hAnsi="Arial"/>
          <w:b/>
          <w:sz w:val="28"/>
          <w:szCs w:val="28"/>
        </w:rPr>
        <w:tab/>
      </w:r>
      <w:r w:rsidR="00EA77F1">
        <w:rPr>
          <w:rFonts w:ascii="Arial" w:hAnsi="Arial"/>
          <w:b/>
          <w:sz w:val="28"/>
        </w:rPr>
        <w:t>Guidance on Filing Suspicious Activity Reports</w:t>
      </w:r>
    </w:p>
    <w:p w:rsidR="00EA77F1" w:rsidRPr="00D15396" w:rsidRDefault="00EA77F1" w:rsidP="00EA77F1">
      <w:pPr>
        <w:ind w:right="-1620"/>
        <w:rPr>
          <w:rFonts w:ascii="Arial" w:hAnsi="Arial"/>
          <w:b/>
          <w:i/>
          <w:sz w:val="28"/>
          <w:szCs w:val="28"/>
        </w:rPr>
      </w:pPr>
      <w:r>
        <w:rPr>
          <w:rFonts w:ascii="Arial" w:hAnsi="Arial"/>
          <w:b/>
          <w:sz w:val="28"/>
        </w:rPr>
        <w:tab/>
      </w:r>
      <w:r>
        <w:rPr>
          <w:rFonts w:ascii="Arial" w:hAnsi="Arial"/>
          <w:b/>
          <w:sz w:val="28"/>
        </w:rPr>
        <w:tab/>
        <w:t>Regarding Loan Modification/Foreclosure Rescue Scams</w:t>
      </w:r>
    </w:p>
    <w:p w:rsidR="00C9324A" w:rsidRDefault="00C9324A" w:rsidP="00C9324A">
      <w:pPr>
        <w:rPr>
          <w:rFonts w:ascii="Arial" w:hAnsi="Arial"/>
          <w:sz w:val="28"/>
          <w:szCs w:val="28"/>
        </w:rPr>
      </w:pPr>
    </w:p>
    <w:p w:rsidR="00C9324A" w:rsidRPr="00D15396" w:rsidRDefault="00C9324A" w:rsidP="00C9324A">
      <w:pPr>
        <w:rPr>
          <w:rFonts w:ascii="Arial" w:hAnsi="Arial"/>
          <w:sz w:val="28"/>
          <w:szCs w:val="28"/>
        </w:rPr>
      </w:pPr>
    </w:p>
    <w:p w:rsidR="00C9324A" w:rsidRPr="005F6E9B" w:rsidRDefault="00C9324A" w:rsidP="00C9324A">
      <w:pPr>
        <w:rPr>
          <w:rFonts w:ascii="Arial" w:hAnsi="Arial" w:cs="Arial"/>
        </w:rPr>
      </w:pPr>
      <w:r>
        <w:rPr>
          <w:rFonts w:ascii="Arial" w:hAnsi="Arial" w:cs="Arial"/>
        </w:rPr>
        <w:t>Dear Board of Directors,</w:t>
      </w:r>
    </w:p>
    <w:p w:rsidR="00C9324A" w:rsidRDefault="00C9324A" w:rsidP="00C9324A">
      <w:pPr>
        <w:rPr>
          <w:rFonts w:ascii="Arial" w:hAnsi="Arial" w:cs="Arial"/>
        </w:rPr>
      </w:pPr>
    </w:p>
    <w:p w:rsidR="00C9324A" w:rsidRDefault="00C9324A" w:rsidP="00C9324A">
      <w:pPr>
        <w:pStyle w:val="Default"/>
        <w:rPr>
          <w:rFonts w:ascii="Arial" w:hAnsi="Arial" w:cs="Arial"/>
        </w:rPr>
      </w:pPr>
      <w:r>
        <w:rPr>
          <w:rFonts w:ascii="Arial" w:hAnsi="Arial" w:cs="Arial"/>
        </w:rPr>
        <w:t>T</w:t>
      </w:r>
      <w:r w:rsidRPr="009A1D02">
        <w:rPr>
          <w:rFonts w:ascii="Arial" w:hAnsi="Arial" w:cs="Arial"/>
        </w:rPr>
        <w:t>he F</w:t>
      </w:r>
      <w:r>
        <w:rPr>
          <w:rFonts w:ascii="Arial" w:hAnsi="Arial" w:cs="Arial"/>
        </w:rPr>
        <w:t>inancial Crimes Enforcement Network (</w:t>
      </w:r>
      <w:proofErr w:type="spellStart"/>
      <w:r>
        <w:rPr>
          <w:rFonts w:ascii="Arial" w:hAnsi="Arial" w:cs="Arial"/>
        </w:rPr>
        <w:t>FinCEN</w:t>
      </w:r>
      <w:proofErr w:type="spellEnd"/>
      <w:r>
        <w:rPr>
          <w:rFonts w:ascii="Arial" w:hAnsi="Arial" w:cs="Arial"/>
        </w:rPr>
        <w:t xml:space="preserve">) recently </w:t>
      </w:r>
      <w:r w:rsidR="00EA77F1">
        <w:rPr>
          <w:rFonts w:ascii="Arial" w:hAnsi="Arial" w:cs="Arial"/>
        </w:rPr>
        <w:t xml:space="preserve">issued </w:t>
      </w:r>
      <w:r w:rsidR="00F936D0">
        <w:rPr>
          <w:rFonts w:ascii="Arial" w:hAnsi="Arial" w:cs="Arial"/>
        </w:rPr>
        <w:t>an advisory</w:t>
      </w:r>
      <w:r w:rsidR="00EA77F1">
        <w:rPr>
          <w:rFonts w:ascii="Arial" w:hAnsi="Arial" w:cs="Arial"/>
        </w:rPr>
        <w:t xml:space="preserve"> to </w:t>
      </w:r>
      <w:r w:rsidR="009C5900">
        <w:rPr>
          <w:rFonts w:ascii="Arial" w:hAnsi="Arial" w:cs="Arial"/>
        </w:rPr>
        <w:t>highlight</w:t>
      </w:r>
      <w:r w:rsidR="00136C48">
        <w:rPr>
          <w:rFonts w:ascii="Arial" w:hAnsi="Arial" w:cs="Arial"/>
        </w:rPr>
        <w:t xml:space="preserve"> </w:t>
      </w:r>
      <w:r w:rsidR="009C5900">
        <w:rPr>
          <w:rFonts w:ascii="Arial" w:hAnsi="Arial" w:cs="Arial"/>
        </w:rPr>
        <w:t>loan modification/foreclosure rescue scams so that financial institutions may better assist law enforcement</w:t>
      </w:r>
      <w:r w:rsidR="00F936D0">
        <w:rPr>
          <w:rFonts w:ascii="Arial" w:hAnsi="Arial" w:cs="Arial"/>
        </w:rPr>
        <w:t xml:space="preserve"> when </w:t>
      </w:r>
      <w:r w:rsidR="009C5900">
        <w:rPr>
          <w:rFonts w:ascii="Arial" w:hAnsi="Arial" w:cs="Arial"/>
        </w:rPr>
        <w:t xml:space="preserve">filing Suspicious Activity Reports (SARs).  </w:t>
      </w:r>
      <w:r>
        <w:rPr>
          <w:rFonts w:ascii="Arial" w:hAnsi="Arial" w:cs="Arial"/>
        </w:rPr>
        <w:t xml:space="preserve"> </w:t>
      </w:r>
    </w:p>
    <w:p w:rsidR="00C9324A" w:rsidRDefault="00C9324A" w:rsidP="00C9324A">
      <w:pPr>
        <w:pStyle w:val="Default"/>
        <w:rPr>
          <w:rFonts w:ascii="Arial" w:hAnsi="Arial" w:cs="Arial"/>
        </w:rPr>
      </w:pPr>
    </w:p>
    <w:p w:rsidR="00C9324A" w:rsidRDefault="009C5900" w:rsidP="00C9324A">
      <w:pPr>
        <w:pStyle w:val="Default"/>
        <w:rPr>
          <w:rFonts w:ascii="Arial" w:hAnsi="Arial" w:cs="Arial"/>
        </w:rPr>
      </w:pPr>
      <w:r>
        <w:rPr>
          <w:rFonts w:ascii="Arial" w:hAnsi="Arial" w:cs="Arial"/>
        </w:rPr>
        <w:t>In the current economic environment, many homeowners are encountering significant difficulty in making their mortgage payments.  This difficulty has led to an increasing amount of fraud in the form of loan modification/foreclosure “rescue” schemes</w:t>
      </w:r>
      <w:r w:rsidR="000060B0">
        <w:rPr>
          <w:rFonts w:ascii="Arial" w:hAnsi="Arial" w:cs="Arial"/>
        </w:rPr>
        <w:t>.</w:t>
      </w:r>
      <w:r>
        <w:rPr>
          <w:rFonts w:ascii="Arial" w:hAnsi="Arial" w:cs="Arial"/>
        </w:rPr>
        <w:t xml:space="preserve"> Under the pretense of helping homeowners modify their mortgage obligations, these schemes result in the loss of money, equity, and in many cases, the home itself.  </w:t>
      </w:r>
      <w:r w:rsidR="00C9324A">
        <w:rPr>
          <w:rFonts w:ascii="Arial" w:hAnsi="Arial" w:cs="Arial"/>
        </w:rPr>
        <w:t xml:space="preserve">  </w:t>
      </w:r>
    </w:p>
    <w:p w:rsidR="00C9324A" w:rsidRDefault="00C9324A" w:rsidP="00C9324A">
      <w:pPr>
        <w:pStyle w:val="Default"/>
        <w:rPr>
          <w:rFonts w:ascii="Arial" w:hAnsi="Arial" w:cs="Arial"/>
        </w:rPr>
      </w:pPr>
    </w:p>
    <w:p w:rsidR="00C9324A" w:rsidRDefault="009C5900" w:rsidP="00C9324A">
      <w:pPr>
        <w:pStyle w:val="Default"/>
        <w:rPr>
          <w:rFonts w:ascii="Arial" w:hAnsi="Arial" w:cs="Arial"/>
        </w:rPr>
      </w:pPr>
      <w:r>
        <w:rPr>
          <w:rFonts w:ascii="Arial" w:hAnsi="Arial" w:cs="Arial"/>
        </w:rPr>
        <w:t>The activities of credit unions may intersect with these rescue scams in the following two ways</w:t>
      </w:r>
      <w:r w:rsidR="00AC763E">
        <w:rPr>
          <w:rFonts w:ascii="Arial" w:hAnsi="Arial" w:cs="Arial"/>
        </w:rPr>
        <w:t>:</w:t>
      </w:r>
    </w:p>
    <w:p w:rsidR="009C5900" w:rsidRDefault="009C5900" w:rsidP="00C9324A">
      <w:pPr>
        <w:pStyle w:val="Default"/>
        <w:rPr>
          <w:rFonts w:ascii="Arial" w:hAnsi="Arial" w:cs="Arial"/>
        </w:rPr>
      </w:pPr>
    </w:p>
    <w:p w:rsidR="009C5900" w:rsidRDefault="009C5900" w:rsidP="009C5900">
      <w:pPr>
        <w:pStyle w:val="Default"/>
        <w:numPr>
          <w:ilvl w:val="0"/>
          <w:numId w:val="2"/>
        </w:numPr>
        <w:rPr>
          <w:rFonts w:ascii="Arial" w:hAnsi="Arial" w:cs="Arial"/>
        </w:rPr>
      </w:pPr>
      <w:r>
        <w:rPr>
          <w:rFonts w:ascii="Arial" w:hAnsi="Arial" w:cs="Arial"/>
        </w:rPr>
        <w:t>Persons or entities perpetrating loan modification/foreclosure rescue scams may seek the services of credit unions for the purpose of receiving, depositing or moving funds relating to the scams; and</w:t>
      </w:r>
      <w:r w:rsidR="000060B0">
        <w:rPr>
          <w:rFonts w:ascii="Arial" w:hAnsi="Arial" w:cs="Arial"/>
        </w:rPr>
        <w:br/>
      </w:r>
    </w:p>
    <w:p w:rsidR="009C5900" w:rsidRDefault="009C5900" w:rsidP="009C5900">
      <w:pPr>
        <w:pStyle w:val="Default"/>
        <w:numPr>
          <w:ilvl w:val="0"/>
          <w:numId w:val="2"/>
        </w:numPr>
        <w:rPr>
          <w:rFonts w:ascii="Arial" w:hAnsi="Arial" w:cs="Arial"/>
        </w:rPr>
      </w:pPr>
      <w:r>
        <w:rPr>
          <w:rFonts w:ascii="Arial" w:hAnsi="Arial" w:cs="Arial"/>
        </w:rPr>
        <w:t xml:space="preserve">Credit unions may become aware of such scams through their interactions with members who have become victims. </w:t>
      </w:r>
    </w:p>
    <w:p w:rsidR="009C5900" w:rsidRDefault="009C5900" w:rsidP="00C9324A">
      <w:pPr>
        <w:pStyle w:val="Default"/>
        <w:rPr>
          <w:rFonts w:ascii="Arial" w:hAnsi="Arial" w:cs="Arial"/>
        </w:rPr>
      </w:pPr>
    </w:p>
    <w:p w:rsidR="009C5900" w:rsidRDefault="009C5900" w:rsidP="00C9324A">
      <w:pPr>
        <w:pStyle w:val="Default"/>
        <w:rPr>
          <w:rFonts w:ascii="Arial" w:hAnsi="Arial" w:cs="Arial"/>
        </w:rPr>
      </w:pPr>
      <w:r>
        <w:rPr>
          <w:rFonts w:ascii="Arial" w:hAnsi="Arial" w:cs="Arial"/>
        </w:rPr>
        <w:t xml:space="preserve">Credit unions are reminded of the requirement to implement appropriate risk-based policies, procedures and processes to aid in the identification of potentially suspicious transactions. These processes should include conducting appropriate member due diligence on a risk-assessed basis.  </w:t>
      </w:r>
    </w:p>
    <w:p w:rsidR="00F74860" w:rsidRDefault="00F74860" w:rsidP="00C9324A">
      <w:pPr>
        <w:pStyle w:val="Default"/>
        <w:rPr>
          <w:rFonts w:ascii="Arial" w:hAnsi="Arial" w:cs="Arial"/>
        </w:rPr>
      </w:pPr>
    </w:p>
    <w:p w:rsidR="009C5900" w:rsidRDefault="00F74860" w:rsidP="00C9324A">
      <w:pPr>
        <w:pStyle w:val="Default"/>
        <w:rPr>
          <w:rFonts w:ascii="Arial" w:hAnsi="Arial" w:cs="Arial"/>
        </w:rPr>
      </w:pPr>
      <w:r>
        <w:rPr>
          <w:rFonts w:ascii="Arial" w:hAnsi="Arial" w:cs="Arial"/>
        </w:rPr>
        <w:lastRenderedPageBreak/>
        <w:t xml:space="preserve">A list of potential </w:t>
      </w:r>
      <w:r w:rsidR="00E65181">
        <w:rPr>
          <w:rFonts w:ascii="Arial" w:hAnsi="Arial" w:cs="Arial"/>
        </w:rPr>
        <w:t>indicators of loan modification</w:t>
      </w:r>
      <w:r>
        <w:rPr>
          <w:rFonts w:ascii="Arial" w:hAnsi="Arial" w:cs="Arial"/>
        </w:rPr>
        <w:t xml:space="preserve">/foreclosure rescue scams is included in the guidance.  </w:t>
      </w:r>
      <w:r w:rsidR="002B0D0E">
        <w:rPr>
          <w:rFonts w:ascii="Arial" w:hAnsi="Arial" w:cs="Arial"/>
        </w:rPr>
        <w:t xml:space="preserve">In order to assist law enforcement in its efforts to target this type of fraudulent activity, </w:t>
      </w:r>
      <w:proofErr w:type="spellStart"/>
      <w:r w:rsidR="002B0D0E">
        <w:rPr>
          <w:rFonts w:ascii="Arial" w:hAnsi="Arial" w:cs="Arial"/>
        </w:rPr>
        <w:t>FinCEN</w:t>
      </w:r>
      <w:proofErr w:type="spellEnd"/>
      <w:r w:rsidR="002B0D0E">
        <w:rPr>
          <w:rFonts w:ascii="Arial" w:hAnsi="Arial" w:cs="Arial"/>
        </w:rPr>
        <w:t xml:space="preserve"> requests the term “foreclosure rescue scam” be included in the narrative portions of all relevant SARs filed.  </w:t>
      </w:r>
      <w:proofErr w:type="spellStart"/>
      <w:r w:rsidR="002B0D0E">
        <w:rPr>
          <w:rFonts w:ascii="Arial" w:hAnsi="Arial" w:cs="Arial"/>
        </w:rPr>
        <w:t>FinCEN</w:t>
      </w:r>
      <w:proofErr w:type="spellEnd"/>
      <w:r w:rsidR="002B0D0E">
        <w:rPr>
          <w:rFonts w:ascii="Arial" w:hAnsi="Arial" w:cs="Arial"/>
        </w:rPr>
        <w:t xml:space="preserve"> further requests that the Suspect/Subject Information Section of the SAR include all information available for each party suspected of engaging in this fraudulent activity.  This information should include the individual or company name, address, phone number and any other identifying information.  </w:t>
      </w:r>
    </w:p>
    <w:p w:rsidR="002B0D0E" w:rsidRDefault="002B0D0E" w:rsidP="00C9324A">
      <w:pPr>
        <w:pStyle w:val="Default"/>
        <w:rPr>
          <w:rFonts w:ascii="Arial" w:hAnsi="Arial" w:cs="Arial"/>
        </w:rPr>
      </w:pPr>
    </w:p>
    <w:p w:rsidR="002B0D0E" w:rsidRDefault="002B0D0E" w:rsidP="00C9324A">
      <w:pPr>
        <w:pStyle w:val="Default"/>
        <w:rPr>
          <w:rFonts w:ascii="Arial" w:hAnsi="Arial" w:cs="Arial"/>
        </w:rPr>
      </w:pPr>
      <w:r>
        <w:rPr>
          <w:rFonts w:ascii="Arial" w:hAnsi="Arial" w:cs="Arial"/>
        </w:rPr>
        <w:t>In many cases</w:t>
      </w:r>
      <w:r w:rsidR="000060B0">
        <w:rPr>
          <w:rFonts w:ascii="Arial" w:hAnsi="Arial" w:cs="Arial"/>
        </w:rPr>
        <w:t>,</w:t>
      </w:r>
      <w:r>
        <w:rPr>
          <w:rFonts w:ascii="Arial" w:hAnsi="Arial" w:cs="Arial"/>
        </w:rPr>
        <w:t xml:space="preserve"> the homeowner is a victim of the scam and therefore should not be listed as a suspect unless there is reason to believe the homeowner knowingly participated in the fraudulent activity.  When the homeowner is simply a victim of the scam, including all available information in the narrative portion of the SAR about the homeowner and his or her property will assist law enforcement in investigating these potential crimes. </w:t>
      </w:r>
    </w:p>
    <w:p w:rsidR="002B0D0E" w:rsidRDefault="002B0D0E" w:rsidP="00C9324A">
      <w:pPr>
        <w:pStyle w:val="Default"/>
        <w:rPr>
          <w:rFonts w:ascii="Arial" w:hAnsi="Arial" w:cs="Arial"/>
        </w:rPr>
      </w:pPr>
    </w:p>
    <w:p w:rsidR="002B0D0E" w:rsidRPr="002B0D0E" w:rsidRDefault="002B0D0E" w:rsidP="00C9324A">
      <w:pPr>
        <w:pStyle w:val="Default"/>
        <w:rPr>
          <w:rFonts w:ascii="Arial" w:hAnsi="Arial" w:cs="Arial"/>
        </w:rPr>
      </w:pPr>
      <w:r w:rsidRPr="002B0D0E">
        <w:rPr>
          <w:rFonts w:ascii="Arial" w:hAnsi="Arial" w:cs="Arial"/>
        </w:rPr>
        <w:t>A complete copy of FIN-200</w:t>
      </w:r>
      <w:r w:rsidR="00F936D0">
        <w:rPr>
          <w:rFonts w:ascii="Arial" w:hAnsi="Arial" w:cs="Arial"/>
        </w:rPr>
        <w:t>9</w:t>
      </w:r>
      <w:r w:rsidRPr="002B0D0E">
        <w:rPr>
          <w:rFonts w:ascii="Arial" w:hAnsi="Arial" w:cs="Arial"/>
        </w:rPr>
        <w:t>-</w:t>
      </w:r>
      <w:r w:rsidR="00F936D0">
        <w:rPr>
          <w:rFonts w:ascii="Arial" w:hAnsi="Arial" w:cs="Arial"/>
        </w:rPr>
        <w:t>A</w:t>
      </w:r>
      <w:r w:rsidRPr="002B0D0E">
        <w:rPr>
          <w:rFonts w:ascii="Arial" w:hAnsi="Arial" w:cs="Arial"/>
        </w:rPr>
        <w:t>005 may be obtained at</w:t>
      </w:r>
      <w:r>
        <w:rPr>
          <w:rFonts w:ascii="Arial" w:hAnsi="Arial" w:cs="Arial"/>
        </w:rPr>
        <w:t xml:space="preserve"> </w:t>
      </w:r>
      <w:hyperlink r:id="rId5" w:history="1">
        <w:r w:rsidRPr="00144602">
          <w:rPr>
            <w:rStyle w:val="Hyperlink"/>
            <w:rFonts w:ascii="Arial" w:hAnsi="Arial" w:cs="Arial"/>
          </w:rPr>
          <w:t>http://www.fincen.gov/statutes_regs/guidance/pdf/fin-2009-a001.pdf</w:t>
        </w:r>
      </w:hyperlink>
      <w:r>
        <w:rPr>
          <w:rFonts w:ascii="Arial" w:hAnsi="Arial" w:cs="Arial"/>
        </w:rPr>
        <w:t xml:space="preserve">. </w:t>
      </w:r>
      <w:r w:rsidRPr="002B0D0E">
        <w:rPr>
          <w:rFonts w:ascii="Arial" w:hAnsi="Arial" w:cs="Arial"/>
        </w:rPr>
        <w:t xml:space="preserve">  </w:t>
      </w:r>
    </w:p>
    <w:p w:rsidR="009C5900" w:rsidRDefault="009C5900" w:rsidP="00C9324A">
      <w:pPr>
        <w:pStyle w:val="Default"/>
        <w:rPr>
          <w:rFonts w:ascii="Arial" w:hAnsi="Arial" w:cs="Arial"/>
        </w:rPr>
      </w:pPr>
    </w:p>
    <w:p w:rsidR="00C9324A" w:rsidRDefault="00C9324A" w:rsidP="00C9324A">
      <w:pPr>
        <w:rPr>
          <w:rFonts w:ascii="Arial" w:hAnsi="Arial"/>
        </w:rPr>
      </w:pPr>
      <w:r>
        <w:rPr>
          <w:rFonts w:ascii="Arial" w:hAnsi="Arial"/>
        </w:rPr>
        <w:t xml:space="preserve">If you have any questions regarding this </w:t>
      </w:r>
      <w:r w:rsidR="00F936D0">
        <w:rPr>
          <w:rFonts w:ascii="Arial" w:hAnsi="Arial"/>
        </w:rPr>
        <w:t>FIN-2009-A005</w:t>
      </w:r>
      <w:r>
        <w:rPr>
          <w:rFonts w:ascii="Arial" w:hAnsi="Arial"/>
        </w:rPr>
        <w:t>, please contact your district examiner, regional office, or state supervisory authority.</w:t>
      </w:r>
    </w:p>
    <w:p w:rsidR="00C9324A" w:rsidRDefault="00C9324A" w:rsidP="00C9324A">
      <w:pPr>
        <w:tabs>
          <w:tab w:val="left" w:pos="3960"/>
        </w:tabs>
        <w:rPr>
          <w:rFonts w:ascii="Arial" w:hAnsi="Arial" w:cs="Arial"/>
        </w:rPr>
      </w:pPr>
      <w:r>
        <w:rPr>
          <w:rFonts w:ascii="Arial" w:hAnsi="Arial" w:cs="Arial"/>
        </w:rPr>
        <w:tab/>
      </w:r>
    </w:p>
    <w:p w:rsidR="00C9324A" w:rsidRDefault="00C9324A" w:rsidP="00C9324A">
      <w:pPr>
        <w:tabs>
          <w:tab w:val="left" w:pos="3600"/>
        </w:tabs>
        <w:rPr>
          <w:rFonts w:ascii="Arial" w:hAnsi="Arial" w:cs="Arial"/>
        </w:rPr>
      </w:pPr>
      <w:r>
        <w:rPr>
          <w:rFonts w:ascii="Arial" w:hAnsi="Arial" w:cs="Arial"/>
        </w:rPr>
        <w:tab/>
        <w:t>Sincerely,</w:t>
      </w:r>
    </w:p>
    <w:p w:rsidR="00C9324A" w:rsidRDefault="00C9324A" w:rsidP="00C9324A">
      <w:pPr>
        <w:tabs>
          <w:tab w:val="left" w:pos="3600"/>
        </w:tabs>
        <w:rPr>
          <w:rFonts w:ascii="Arial" w:hAnsi="Arial" w:cs="Arial"/>
        </w:rPr>
      </w:pPr>
    </w:p>
    <w:p w:rsidR="00C9324A" w:rsidRPr="00E62409" w:rsidRDefault="00C9324A" w:rsidP="00C9324A">
      <w:pPr>
        <w:tabs>
          <w:tab w:val="left" w:pos="3600"/>
          <w:tab w:val="left" w:pos="3960"/>
        </w:tabs>
        <w:rPr>
          <w:rFonts w:ascii="Arial" w:hAnsi="Arial" w:cs="Arial"/>
        </w:rPr>
      </w:pPr>
      <w:r>
        <w:rPr>
          <w:rFonts w:ascii="Arial" w:hAnsi="Arial" w:cs="Arial"/>
        </w:rPr>
        <w:tab/>
      </w:r>
      <w:r w:rsidRPr="00E62409">
        <w:rPr>
          <w:rFonts w:ascii="Arial" w:hAnsi="Arial" w:cs="Arial"/>
        </w:rPr>
        <w:tab/>
      </w:r>
      <w:r w:rsidR="004C4710">
        <w:rPr>
          <w:rFonts w:ascii="Arial" w:hAnsi="Arial" w:cs="Arial"/>
        </w:rPr>
        <w:t>/s/</w:t>
      </w:r>
    </w:p>
    <w:p w:rsidR="00C9324A" w:rsidRDefault="00C9324A" w:rsidP="00C9324A">
      <w:pPr>
        <w:tabs>
          <w:tab w:val="left" w:pos="3600"/>
        </w:tabs>
        <w:rPr>
          <w:rFonts w:ascii="Arial" w:hAnsi="Arial" w:cs="Arial"/>
        </w:rPr>
      </w:pPr>
    </w:p>
    <w:p w:rsidR="00C9324A" w:rsidRDefault="00C9324A" w:rsidP="00C9324A">
      <w:pPr>
        <w:tabs>
          <w:tab w:val="left" w:pos="3600"/>
        </w:tabs>
        <w:rPr>
          <w:rFonts w:ascii="Arial" w:hAnsi="Arial" w:cs="Arial"/>
        </w:rPr>
      </w:pPr>
      <w:r>
        <w:rPr>
          <w:rFonts w:ascii="Arial" w:hAnsi="Arial" w:cs="Arial"/>
        </w:rPr>
        <w:tab/>
        <w:t>Michael E. Fryzel</w:t>
      </w:r>
    </w:p>
    <w:p w:rsidR="00C9324A" w:rsidRDefault="00C9324A" w:rsidP="00C9324A">
      <w:pPr>
        <w:tabs>
          <w:tab w:val="left" w:pos="3600"/>
        </w:tabs>
        <w:rPr>
          <w:rFonts w:ascii="Arial" w:hAnsi="Arial" w:cs="Arial"/>
        </w:rPr>
      </w:pPr>
      <w:r>
        <w:rPr>
          <w:rFonts w:ascii="Arial" w:hAnsi="Arial" w:cs="Arial"/>
        </w:rPr>
        <w:tab/>
        <w:t>Chairman</w:t>
      </w:r>
      <w:r>
        <w:rPr>
          <w:rFonts w:ascii="Arial" w:hAnsi="Arial" w:cs="Arial"/>
        </w:rPr>
        <w:tab/>
      </w:r>
      <w:r>
        <w:rPr>
          <w:rFonts w:ascii="Arial" w:hAnsi="Arial" w:cs="Arial"/>
        </w:rPr>
        <w:tab/>
      </w:r>
      <w:r>
        <w:rPr>
          <w:rFonts w:ascii="Arial" w:hAnsi="Arial" w:cs="Arial"/>
        </w:rPr>
        <w:tab/>
      </w:r>
      <w:r>
        <w:rPr>
          <w:rFonts w:ascii="Arial" w:hAnsi="Arial" w:cs="Arial"/>
        </w:rPr>
        <w:tab/>
      </w:r>
    </w:p>
    <w:p w:rsidR="00C9324A" w:rsidRPr="00663771" w:rsidRDefault="00C9324A" w:rsidP="000A5E0B">
      <w:pPr>
        <w:rPr>
          <w:rFonts w:ascii="Arial" w:hAnsi="Arial"/>
          <w:b/>
          <w:sz w:val="28"/>
          <w:szCs w:val="28"/>
        </w:rPr>
      </w:pPr>
    </w:p>
    <w:sectPr w:rsidR="00C9324A" w:rsidRPr="00663771" w:rsidSect="00F77CD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445A"/>
    <w:multiLevelType w:val="hybridMultilevel"/>
    <w:tmpl w:val="050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438ED"/>
    <w:multiLevelType w:val="hybridMultilevel"/>
    <w:tmpl w:val="2C1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F432A"/>
    <w:rsid w:val="00003B77"/>
    <w:rsid w:val="000060B0"/>
    <w:rsid w:val="0001202B"/>
    <w:rsid w:val="00023C89"/>
    <w:rsid w:val="00097384"/>
    <w:rsid w:val="000A5E0B"/>
    <w:rsid w:val="000B36B9"/>
    <w:rsid w:val="000E71AA"/>
    <w:rsid w:val="000F432A"/>
    <w:rsid w:val="00136C48"/>
    <w:rsid w:val="001C57CC"/>
    <w:rsid w:val="00227F6B"/>
    <w:rsid w:val="00235329"/>
    <w:rsid w:val="002740C5"/>
    <w:rsid w:val="00295964"/>
    <w:rsid w:val="002B0D0E"/>
    <w:rsid w:val="003C362B"/>
    <w:rsid w:val="003D7D82"/>
    <w:rsid w:val="003E3B19"/>
    <w:rsid w:val="004072A6"/>
    <w:rsid w:val="00485CAB"/>
    <w:rsid w:val="004C4710"/>
    <w:rsid w:val="005A1213"/>
    <w:rsid w:val="00616808"/>
    <w:rsid w:val="0062300C"/>
    <w:rsid w:val="00663771"/>
    <w:rsid w:val="006F7E8A"/>
    <w:rsid w:val="007211B3"/>
    <w:rsid w:val="00770B6A"/>
    <w:rsid w:val="007C24D3"/>
    <w:rsid w:val="00887DCF"/>
    <w:rsid w:val="00912EBD"/>
    <w:rsid w:val="009655FF"/>
    <w:rsid w:val="00970722"/>
    <w:rsid w:val="009C5900"/>
    <w:rsid w:val="00A134D2"/>
    <w:rsid w:val="00A1773E"/>
    <w:rsid w:val="00A946A6"/>
    <w:rsid w:val="00AC763E"/>
    <w:rsid w:val="00B2420C"/>
    <w:rsid w:val="00B37518"/>
    <w:rsid w:val="00B83158"/>
    <w:rsid w:val="00BE0D75"/>
    <w:rsid w:val="00C9324A"/>
    <w:rsid w:val="00D65D96"/>
    <w:rsid w:val="00D840E9"/>
    <w:rsid w:val="00E00765"/>
    <w:rsid w:val="00E50B64"/>
    <w:rsid w:val="00E65181"/>
    <w:rsid w:val="00E81E20"/>
    <w:rsid w:val="00EA77F1"/>
    <w:rsid w:val="00F531EE"/>
    <w:rsid w:val="00F74860"/>
    <w:rsid w:val="00F77CDA"/>
    <w:rsid w:val="00F936D0"/>
    <w:rsid w:val="00FF7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E0B"/>
    <w:pPr>
      <w:overflowPunct w:val="0"/>
      <w:autoSpaceDE w:val="0"/>
      <w:autoSpaceDN w:val="0"/>
      <w:adjustRightInd w:val="0"/>
      <w:textAlignment w:val="baseline"/>
    </w:pPr>
    <w:rPr>
      <w:sz w:val="24"/>
    </w:rPr>
  </w:style>
  <w:style w:type="paragraph" w:styleId="Heading1">
    <w:name w:val="heading 1"/>
    <w:basedOn w:val="Normal"/>
    <w:next w:val="Normal"/>
    <w:qFormat/>
    <w:rsid w:val="000A5E0B"/>
    <w:pPr>
      <w:keepNext/>
      <w:ind w:left="3600"/>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E0B"/>
    <w:rPr>
      <w:color w:val="0000FF"/>
      <w:u w:val="single"/>
    </w:rPr>
  </w:style>
  <w:style w:type="paragraph" w:styleId="BalloonText">
    <w:name w:val="Balloon Text"/>
    <w:basedOn w:val="Normal"/>
    <w:semiHidden/>
    <w:rsid w:val="00D840E9"/>
    <w:rPr>
      <w:rFonts w:ascii="Tahoma" w:hAnsi="Tahoma" w:cs="Tahoma"/>
      <w:sz w:val="16"/>
      <w:szCs w:val="16"/>
    </w:rPr>
  </w:style>
  <w:style w:type="character" w:styleId="FollowedHyperlink">
    <w:name w:val="FollowedHyperlink"/>
    <w:basedOn w:val="DefaultParagraphFont"/>
    <w:rsid w:val="00887DCF"/>
    <w:rPr>
      <w:color w:val="800080"/>
      <w:u w:val="single"/>
    </w:rPr>
  </w:style>
  <w:style w:type="paragraph" w:styleId="ListParagraph">
    <w:name w:val="List Paragraph"/>
    <w:basedOn w:val="Normal"/>
    <w:uiPriority w:val="34"/>
    <w:qFormat/>
    <w:rsid w:val="003D7D82"/>
    <w:pPr>
      <w:ind w:left="720"/>
      <w:contextualSpacing/>
    </w:pPr>
  </w:style>
  <w:style w:type="paragraph" w:customStyle="1" w:styleId="Default">
    <w:name w:val="Default"/>
    <w:rsid w:val="00C9324A"/>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cen.gov/statutes_regs/guidance/pdf/fin-2009-a0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429</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REGULATORY ALERT</vt:lpstr>
    </vt:vector>
  </TitlesOfParts>
  <Company>NCUA</Company>
  <LinksUpToDate>false</LinksUpToDate>
  <CharactersWithSpaces>3141</CharactersWithSpaces>
  <SharedDoc>false</SharedDoc>
  <HLinks>
    <vt:vector size="6" baseType="variant">
      <vt:variant>
        <vt:i4>262164</vt:i4>
      </vt:variant>
      <vt:variant>
        <vt:i4>0</vt:i4>
      </vt:variant>
      <vt:variant>
        <vt:i4>0</vt:i4>
      </vt:variant>
      <vt:variant>
        <vt:i4>5</vt:i4>
      </vt:variant>
      <vt:variant>
        <vt:lpwstr>http://www.federalreserve.gov/boarddocs/press/bcreg/2006/20061018/default.htm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ALERT</dc:title>
  <dc:creator>BasicXP</dc:creator>
  <cp:lastModifiedBy>Nicole M Cunningham</cp:lastModifiedBy>
  <cp:revision>2</cp:revision>
  <cp:lastPrinted>2009-04-06T18:23:00Z</cp:lastPrinted>
  <dcterms:created xsi:type="dcterms:W3CDTF">2009-04-23T20:31:00Z</dcterms:created>
  <dcterms:modified xsi:type="dcterms:W3CDTF">2009-04-23T20:31:00Z</dcterms:modified>
</cp:coreProperties>
</file>