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8D" w:rsidRDefault="0064568D" w:rsidP="0087669A">
      <w:pPr>
        <w:pStyle w:val="Default"/>
        <w:jc w:val="center"/>
      </w:pPr>
    </w:p>
    <w:p w:rsidR="0064568D" w:rsidRDefault="0064568D" w:rsidP="0087669A">
      <w:pPr>
        <w:pStyle w:val="Default"/>
        <w:jc w:val="center"/>
      </w:pPr>
    </w:p>
    <w:p w:rsidR="00C1182D" w:rsidRPr="00733129" w:rsidRDefault="0087669A" w:rsidP="0087669A">
      <w:pPr>
        <w:pStyle w:val="Default"/>
        <w:jc w:val="center"/>
      </w:pPr>
      <w:r>
        <w:t>December 18, 2008</w:t>
      </w:r>
    </w:p>
    <w:p w:rsidR="00794803" w:rsidRPr="00733129" w:rsidRDefault="00794803" w:rsidP="00C1182D">
      <w:pPr>
        <w:pStyle w:val="Default"/>
      </w:pPr>
    </w:p>
    <w:p w:rsidR="00C1182D" w:rsidRPr="00733129" w:rsidRDefault="008D1BD6" w:rsidP="00C1182D">
      <w:pPr>
        <w:pStyle w:val="Default"/>
      </w:pPr>
      <w:r w:rsidRPr="00733129">
        <w:t>Guy A. Messick, Esq.</w:t>
      </w:r>
    </w:p>
    <w:p w:rsidR="00C1182D" w:rsidRPr="00733129" w:rsidRDefault="00C1182D" w:rsidP="00C1182D">
      <w:pPr>
        <w:pStyle w:val="Default"/>
      </w:pPr>
      <w:r w:rsidRPr="00733129">
        <w:t xml:space="preserve">Messick &amp; Weber P.C. </w:t>
      </w:r>
    </w:p>
    <w:p w:rsidR="00C1182D" w:rsidRPr="00733129" w:rsidRDefault="00C1182D" w:rsidP="00C1182D">
      <w:pPr>
        <w:pStyle w:val="Default"/>
      </w:pPr>
      <w:r w:rsidRPr="00733129">
        <w:t xml:space="preserve">108 Chesley Drive </w:t>
      </w:r>
    </w:p>
    <w:p w:rsidR="00C1182D" w:rsidRPr="00733129" w:rsidRDefault="00C1182D" w:rsidP="00C1182D">
      <w:pPr>
        <w:pStyle w:val="Default"/>
      </w:pPr>
      <w:r w:rsidRPr="00733129">
        <w:t xml:space="preserve">Media, PA 19063-1712 </w:t>
      </w:r>
    </w:p>
    <w:p w:rsidR="00C1182D" w:rsidRPr="00733129" w:rsidRDefault="00C1182D" w:rsidP="00861653">
      <w:pPr>
        <w:pStyle w:val="Default"/>
      </w:pPr>
    </w:p>
    <w:p w:rsidR="00C1182D" w:rsidRPr="00733129" w:rsidRDefault="00C1182D" w:rsidP="00861653">
      <w:pPr>
        <w:pStyle w:val="Default"/>
      </w:pPr>
      <w:r w:rsidRPr="00733129">
        <w:t xml:space="preserve">Re:  Applicability of </w:t>
      </w:r>
      <w:r w:rsidR="00045FAE" w:rsidRPr="00733129">
        <w:t>Certain Regulatory R</w:t>
      </w:r>
      <w:r w:rsidRPr="00733129">
        <w:t>equirements for SBA loans.</w:t>
      </w:r>
    </w:p>
    <w:p w:rsidR="00C1182D" w:rsidRPr="00733129" w:rsidRDefault="00C1182D" w:rsidP="00861653">
      <w:pPr>
        <w:pStyle w:val="Default"/>
      </w:pPr>
    </w:p>
    <w:p w:rsidR="00C1182D" w:rsidRPr="00733129" w:rsidRDefault="00C1182D" w:rsidP="00861653">
      <w:pPr>
        <w:pStyle w:val="Default"/>
      </w:pPr>
      <w:r w:rsidRPr="00733129">
        <w:t>Dear Mr. Messick:</w:t>
      </w:r>
    </w:p>
    <w:p w:rsidR="00C1182D" w:rsidRPr="00733129" w:rsidRDefault="00C1182D" w:rsidP="00861653">
      <w:pPr>
        <w:pStyle w:val="Default"/>
      </w:pPr>
    </w:p>
    <w:p w:rsidR="00C1182D" w:rsidRPr="00733129" w:rsidRDefault="00C1182D" w:rsidP="00861653">
      <w:pPr>
        <w:pStyle w:val="Default"/>
      </w:pPr>
      <w:r w:rsidRPr="00733129">
        <w:t>You have asked if the requirements NCUA’s member business lending</w:t>
      </w:r>
      <w:r w:rsidR="00045FAE" w:rsidRPr="00733129">
        <w:t xml:space="preserve"> (MBL)</w:t>
      </w:r>
      <w:r w:rsidRPr="00733129">
        <w:t xml:space="preserve"> rule </w:t>
      </w:r>
      <w:r w:rsidR="00045FAE" w:rsidRPr="00733129">
        <w:t xml:space="preserve">establishes for </w:t>
      </w:r>
      <w:r w:rsidRPr="00733129">
        <w:t xml:space="preserve">maximum loan to value ratios apply to loans </w:t>
      </w:r>
      <w:r w:rsidR="00045FAE" w:rsidRPr="00733129">
        <w:t xml:space="preserve">guaranteed </w:t>
      </w:r>
      <w:r w:rsidRPr="00733129">
        <w:t xml:space="preserve">by the U.S. Small Business Administration (SBA).  No, the rule expressly excludes </w:t>
      </w:r>
      <w:r w:rsidR="008D1BD6" w:rsidRPr="00733129">
        <w:t xml:space="preserve">SBA program </w:t>
      </w:r>
      <w:r w:rsidRPr="00733129">
        <w:t xml:space="preserve">loans from its loan to value restrictions.   </w:t>
      </w:r>
    </w:p>
    <w:p w:rsidR="00C1182D" w:rsidRPr="00733129" w:rsidRDefault="00C1182D" w:rsidP="00861653">
      <w:pPr>
        <w:pStyle w:val="Default"/>
      </w:pPr>
    </w:p>
    <w:p w:rsidR="007B7AE3" w:rsidRPr="00733129" w:rsidRDefault="008D1BD6" w:rsidP="00861653">
      <w:pPr>
        <w:pStyle w:val="Default"/>
      </w:pPr>
      <w:r w:rsidRPr="00733129">
        <w:t xml:space="preserve">You </w:t>
      </w:r>
      <w:r w:rsidR="007D615C" w:rsidRPr="00733129">
        <w:t>state</w:t>
      </w:r>
      <w:r w:rsidRPr="00733129">
        <w:t xml:space="preserve"> your client, a credit union service organization, provides commercial loan underwriting services to credit unions.  One of these credit unions,</w:t>
      </w:r>
      <w:r w:rsidR="00045FAE" w:rsidRPr="00733129">
        <w:t xml:space="preserve"> a</w:t>
      </w:r>
      <w:r w:rsidRPr="00733129">
        <w:t xml:space="preserve"> federally insured</w:t>
      </w:r>
      <w:r w:rsidR="00045FAE" w:rsidRPr="00733129">
        <w:t xml:space="preserve"> state-chartered credit union, </w:t>
      </w:r>
      <w:r w:rsidRPr="00733129">
        <w:t xml:space="preserve">has made several loans </w:t>
      </w:r>
      <w:r w:rsidR="007B7AE3" w:rsidRPr="00733129">
        <w:t xml:space="preserve">with </w:t>
      </w:r>
      <w:r w:rsidR="00045FAE" w:rsidRPr="00733129">
        <w:t xml:space="preserve">SBA </w:t>
      </w:r>
      <w:r w:rsidR="007B7AE3" w:rsidRPr="00733129">
        <w:t>guarantees</w:t>
      </w:r>
      <w:r w:rsidR="00045FAE" w:rsidRPr="00733129">
        <w:t xml:space="preserve">.  </w:t>
      </w:r>
      <w:r w:rsidR="007B7AE3" w:rsidRPr="00733129">
        <w:t xml:space="preserve"> You indicate the loans meet all applicable SBA lending criteria</w:t>
      </w:r>
      <w:r w:rsidR="00422D1C" w:rsidRPr="00733129">
        <w:t>.  T</w:t>
      </w:r>
      <w:r w:rsidR="007B7AE3" w:rsidRPr="00733129">
        <w:t>he</w:t>
      </w:r>
      <w:r w:rsidR="000F4EDE" w:rsidRPr="00733129">
        <w:t xml:space="preserve"> credit union’s </w:t>
      </w:r>
      <w:r w:rsidR="007B7AE3" w:rsidRPr="00733129">
        <w:t>examination report, prepared jointly by the NCUA and state regulatory authorities, criticizes some of the</w:t>
      </w:r>
      <w:r w:rsidR="00422D1C" w:rsidRPr="00733129">
        <w:t>se</w:t>
      </w:r>
      <w:r w:rsidR="007B7AE3" w:rsidRPr="00733129">
        <w:t xml:space="preserve"> loans for failing to meet the loan to value requirements in NCUA’s</w:t>
      </w:r>
      <w:r w:rsidR="00733129">
        <w:t xml:space="preserve"> MBL</w:t>
      </w:r>
      <w:r w:rsidR="007B7AE3" w:rsidRPr="00733129">
        <w:t xml:space="preserve"> rule.  </w:t>
      </w:r>
      <w:proofErr w:type="gramStart"/>
      <w:r w:rsidR="007B7AE3" w:rsidRPr="00733129">
        <w:t>12 C.F.R. §723.7</w:t>
      </w:r>
      <w:r w:rsidR="00CF0B29" w:rsidRPr="00733129">
        <w:t>.</w:t>
      </w:r>
      <w:proofErr w:type="gramEnd"/>
      <w:r w:rsidR="00CF0B29" w:rsidRPr="00733129">
        <w:t xml:space="preserve">  As a matter of clarification, we note, contrary to </w:t>
      </w:r>
      <w:r w:rsidR="00FD4FF1">
        <w:t xml:space="preserve">a </w:t>
      </w:r>
      <w:r w:rsidR="00CF0B29" w:rsidRPr="00733129">
        <w:t xml:space="preserve">statement in your letter, </w:t>
      </w:r>
      <w:r w:rsidR="00FD4FF1">
        <w:t>th</w:t>
      </w:r>
      <w:r w:rsidR="00CF0B29" w:rsidRPr="00733129">
        <w:t xml:space="preserve">e loans are </w:t>
      </w:r>
      <w:r w:rsidR="000A489F">
        <w:t xml:space="preserve">not subject to a cease and </w:t>
      </w:r>
      <w:proofErr w:type="gramStart"/>
      <w:r w:rsidR="000A489F">
        <w:t>desist</w:t>
      </w:r>
      <w:proofErr w:type="gramEnd"/>
      <w:r w:rsidR="000A489F">
        <w:t xml:space="preserve"> order but addressed in </w:t>
      </w:r>
      <w:r w:rsidR="00FD4FF1">
        <w:t xml:space="preserve">a document of resolution </w:t>
      </w:r>
      <w:r w:rsidR="00CF0B29" w:rsidRPr="00733129">
        <w:t xml:space="preserve">in </w:t>
      </w:r>
      <w:r w:rsidR="00FD4FF1">
        <w:t>an</w:t>
      </w:r>
      <w:r w:rsidR="00CF0B29" w:rsidRPr="00733129">
        <w:t xml:space="preserve"> examination report</w:t>
      </w:r>
      <w:r w:rsidR="000A489F">
        <w:t>, instructing the credit union to ensure the loans are in regulatory compliance.</w:t>
      </w:r>
    </w:p>
    <w:p w:rsidR="007B7AE3" w:rsidRPr="00733129" w:rsidRDefault="007B7AE3" w:rsidP="00861653">
      <w:pPr>
        <w:pStyle w:val="Default"/>
      </w:pPr>
    </w:p>
    <w:p w:rsidR="00794803" w:rsidRPr="00733129" w:rsidRDefault="00CF0B29" w:rsidP="00861653">
      <w:pPr>
        <w:pStyle w:val="Default"/>
      </w:pPr>
      <w:r w:rsidRPr="00733129">
        <w:t xml:space="preserve">The MBL </w:t>
      </w:r>
      <w:r w:rsidR="00E85CEE" w:rsidRPr="00733129">
        <w:t xml:space="preserve">rule </w:t>
      </w:r>
      <w:r w:rsidR="00AD31D7" w:rsidRPr="00733129">
        <w:t>generally governs commercial lending by federally insured credit unions and sets out several restrictions</w:t>
      </w:r>
      <w:r w:rsidR="00E85CEE" w:rsidRPr="00733129">
        <w:t xml:space="preserve"> and limitations</w:t>
      </w:r>
      <w:r w:rsidR="00AD31D7" w:rsidRPr="00733129">
        <w:t xml:space="preserve">, including </w:t>
      </w:r>
      <w:r w:rsidR="00BF205A" w:rsidRPr="00733129">
        <w:t xml:space="preserve">collateral and equity requirements.  12 C.F.R. </w:t>
      </w:r>
      <w:proofErr w:type="gramStart"/>
      <w:r w:rsidR="007D615C" w:rsidRPr="00733129">
        <w:t>P</w:t>
      </w:r>
      <w:r w:rsidR="00BF205A" w:rsidRPr="00733129">
        <w:t>art</w:t>
      </w:r>
      <w:proofErr w:type="gramEnd"/>
      <w:r w:rsidR="00BF205A" w:rsidRPr="00733129">
        <w:t xml:space="preserve"> 723.</w:t>
      </w:r>
      <w:r w:rsidR="00E85CEE" w:rsidRPr="00733129">
        <w:t xml:space="preserve">  The rule applies to all federal credit unions and to federally insured</w:t>
      </w:r>
      <w:r w:rsidR="00F52EEB" w:rsidRPr="00733129">
        <w:t>, state chartered</w:t>
      </w:r>
      <w:r w:rsidR="00E85CEE" w:rsidRPr="00733129">
        <w:t xml:space="preserve"> credit unions except for those in states that have adopted a comparable rule approved by the NCUA Board.  </w:t>
      </w:r>
      <w:proofErr w:type="gramStart"/>
      <w:r w:rsidR="00E85CEE" w:rsidRPr="00733129">
        <w:t>12 C.F.R. §§741.203(a), 723.20.</w:t>
      </w:r>
      <w:proofErr w:type="gramEnd"/>
      <w:r w:rsidR="00E85CEE" w:rsidRPr="00733129">
        <w:t xml:space="preserve">  </w:t>
      </w:r>
    </w:p>
    <w:p w:rsidR="00794803" w:rsidRPr="00733129" w:rsidRDefault="00794803" w:rsidP="00861653">
      <w:pPr>
        <w:pStyle w:val="Default"/>
      </w:pPr>
    </w:p>
    <w:p w:rsidR="00BA1390" w:rsidRPr="00733129" w:rsidRDefault="00E85CEE" w:rsidP="00861653">
      <w:pPr>
        <w:pStyle w:val="Default"/>
      </w:pPr>
      <w:r w:rsidRPr="00733129">
        <w:t xml:space="preserve">Although the rule </w:t>
      </w:r>
      <w:r w:rsidR="00BA1390" w:rsidRPr="00733129">
        <w:t>establishes limits governin</w:t>
      </w:r>
      <w:r w:rsidR="00794803" w:rsidRPr="00733129">
        <w:t xml:space="preserve">g loan to value ratios, it </w:t>
      </w:r>
      <w:r w:rsidR="00BA1390" w:rsidRPr="00733129">
        <w:t>provides an exception to th</w:t>
      </w:r>
      <w:r w:rsidR="000F4EDE" w:rsidRPr="00733129">
        <w:t>o</w:t>
      </w:r>
      <w:r w:rsidR="00BA1390" w:rsidRPr="00733129">
        <w:t>se requirements for loans made pursuant to an SBA loan program:</w:t>
      </w:r>
    </w:p>
    <w:p w:rsidR="00BA1390" w:rsidRPr="00733129" w:rsidRDefault="00BA1390" w:rsidP="00861653">
      <w:pPr>
        <w:pStyle w:val="Default"/>
      </w:pPr>
    </w:p>
    <w:p w:rsidR="008D1BD6" w:rsidRPr="00733129" w:rsidRDefault="00CF0B29" w:rsidP="00BA1390">
      <w:pPr>
        <w:pStyle w:val="Default"/>
        <w:ind w:left="720"/>
      </w:pPr>
      <w:r w:rsidRPr="00733129">
        <w:t>T</w:t>
      </w:r>
      <w:r w:rsidR="00A92A7E" w:rsidRPr="00733129">
        <w:t xml:space="preserve">he collateral and security requirements of §723.3 and §723.7 do not apply to member business loans made as part of a Small Business Administration guaranteed loan program.  </w:t>
      </w:r>
      <w:r w:rsidR="00BA1390" w:rsidRPr="00733129">
        <w:t xml:space="preserve"> </w:t>
      </w:r>
      <w:r w:rsidR="00E85CEE" w:rsidRPr="00733129">
        <w:t xml:space="preserve"> </w:t>
      </w:r>
      <w:r w:rsidR="00BF205A" w:rsidRPr="00733129">
        <w:t xml:space="preserve">  </w:t>
      </w:r>
    </w:p>
    <w:p w:rsidR="00E85CEE" w:rsidRPr="00733129" w:rsidRDefault="00E85CEE" w:rsidP="00861653">
      <w:pPr>
        <w:pStyle w:val="Default"/>
      </w:pPr>
    </w:p>
    <w:p w:rsidR="00422D1C" w:rsidRPr="00733129" w:rsidRDefault="00A92A7E" w:rsidP="00861653">
      <w:pPr>
        <w:pStyle w:val="Default"/>
      </w:pPr>
      <w:proofErr w:type="gramStart"/>
      <w:r w:rsidRPr="00733129">
        <w:t>12 C.F.R. §723.4(c).</w:t>
      </w:r>
      <w:proofErr w:type="gramEnd"/>
      <w:r w:rsidRPr="00733129">
        <w:t xml:space="preserve">  In the preamble to the </w:t>
      </w:r>
      <w:r w:rsidR="00BA2FFC" w:rsidRPr="00733129">
        <w:t>amendment adding this provision to t</w:t>
      </w:r>
      <w:r w:rsidRPr="00733129">
        <w:t>he</w:t>
      </w:r>
      <w:r w:rsidR="00BA2FFC" w:rsidRPr="00733129">
        <w:t xml:space="preserve"> rule, the NCUA Board noted </w:t>
      </w:r>
      <w:r w:rsidR="00951B64" w:rsidRPr="00733129">
        <w:t xml:space="preserve">the collateral requirements of the SBA’s guaranteed loan programs are not consistent with those in the rule.  Because the Board wanted to </w:t>
      </w:r>
      <w:r w:rsidR="00951B64" w:rsidRPr="00733129">
        <w:lastRenderedPageBreak/>
        <w:t xml:space="preserve">encourage credit unions to participate in the various programs sponsored by the SBA, the amendment removed the impediments by exempting SBA guaranteed loans from the rule’s collateral requirements.  </w:t>
      </w:r>
      <w:proofErr w:type="gramStart"/>
      <w:r w:rsidR="00951B64" w:rsidRPr="00733129">
        <w:t>69 Fed.Reg.</w:t>
      </w:r>
      <w:proofErr w:type="gramEnd"/>
      <w:r w:rsidR="00951B64" w:rsidRPr="00733129">
        <w:t xml:space="preserve"> 62563, 62564 (October 27, 2004).</w:t>
      </w:r>
    </w:p>
    <w:p w:rsidR="00A92A7E" w:rsidRPr="00733129" w:rsidRDefault="00951B64" w:rsidP="00861653">
      <w:pPr>
        <w:pStyle w:val="Default"/>
      </w:pPr>
      <w:r w:rsidRPr="00733129">
        <w:t xml:space="preserve">    </w:t>
      </w:r>
    </w:p>
    <w:p w:rsidR="00986FB0" w:rsidRPr="00733129" w:rsidRDefault="00F52EEB" w:rsidP="00861653">
      <w:pPr>
        <w:pStyle w:val="Default"/>
      </w:pPr>
      <w:r w:rsidRPr="00733129">
        <w:t xml:space="preserve">Accepting your representation that the loans in issue otherwise comply with applicable SBA requirements, </w:t>
      </w:r>
      <w:r w:rsidR="008930EC" w:rsidRPr="00733129">
        <w:t xml:space="preserve">there would appear to be </w:t>
      </w:r>
      <w:r w:rsidRPr="00733129">
        <w:t>no violation of the loan to value provisions</w:t>
      </w:r>
      <w:r w:rsidR="008930EC" w:rsidRPr="00733129">
        <w:t xml:space="preserve"> in</w:t>
      </w:r>
      <w:r w:rsidR="00733129" w:rsidRPr="00733129">
        <w:t xml:space="preserve"> the MBL</w:t>
      </w:r>
      <w:r w:rsidR="008930EC" w:rsidRPr="00733129">
        <w:t xml:space="preserve"> rule.  </w:t>
      </w:r>
      <w:r w:rsidR="003B51BD" w:rsidRPr="00733129">
        <w:t xml:space="preserve">  </w:t>
      </w:r>
    </w:p>
    <w:p w:rsidR="00986FB0" w:rsidRPr="00733129" w:rsidRDefault="00986FB0" w:rsidP="00861653">
      <w:pPr>
        <w:pStyle w:val="Default"/>
      </w:pPr>
    </w:p>
    <w:p w:rsidR="00986FB0" w:rsidRPr="00733129" w:rsidRDefault="00986FB0" w:rsidP="00861653">
      <w:pPr>
        <w:pStyle w:val="Default"/>
      </w:pPr>
      <w:r w:rsidRPr="00733129">
        <w:tab/>
      </w:r>
      <w:r w:rsidRPr="00733129">
        <w:tab/>
      </w:r>
      <w:r w:rsidRPr="00733129">
        <w:tab/>
      </w:r>
      <w:r w:rsidRPr="00733129">
        <w:tab/>
      </w:r>
      <w:r w:rsidRPr="00733129">
        <w:tab/>
      </w:r>
      <w:r w:rsidRPr="00733129">
        <w:tab/>
      </w:r>
      <w:r w:rsidRPr="00733129">
        <w:tab/>
      </w:r>
      <w:r w:rsidR="00B00B2A" w:rsidRPr="00733129">
        <w:t>Sincerely</w:t>
      </w:r>
      <w:r w:rsidRPr="00733129">
        <w:t>,</w:t>
      </w:r>
    </w:p>
    <w:p w:rsidR="00986FB0" w:rsidRDefault="00986FB0" w:rsidP="00861653">
      <w:pPr>
        <w:pStyle w:val="Default"/>
      </w:pPr>
    </w:p>
    <w:p w:rsidR="00FD4FF1" w:rsidRPr="00733129" w:rsidRDefault="0064568D" w:rsidP="0086165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E1BEF">
        <w:t>/S/</w:t>
      </w:r>
    </w:p>
    <w:p w:rsidR="00986FB0" w:rsidRPr="00733129" w:rsidRDefault="00986FB0" w:rsidP="00861653">
      <w:pPr>
        <w:pStyle w:val="Default"/>
      </w:pPr>
    </w:p>
    <w:p w:rsidR="00986FB0" w:rsidRPr="00733129" w:rsidRDefault="00986FB0" w:rsidP="00861653">
      <w:pPr>
        <w:pStyle w:val="Default"/>
      </w:pPr>
      <w:r w:rsidRPr="00733129">
        <w:tab/>
      </w:r>
      <w:r w:rsidRPr="00733129">
        <w:tab/>
      </w:r>
      <w:r w:rsidRPr="00733129">
        <w:tab/>
      </w:r>
      <w:r w:rsidRPr="00733129">
        <w:tab/>
      </w:r>
      <w:r w:rsidRPr="00733129">
        <w:tab/>
      </w:r>
      <w:r w:rsidRPr="00733129">
        <w:tab/>
      </w:r>
      <w:r w:rsidRPr="00733129">
        <w:tab/>
        <w:t>Sheila A. Albin</w:t>
      </w:r>
    </w:p>
    <w:p w:rsidR="00986FB0" w:rsidRPr="00733129" w:rsidRDefault="00986FB0" w:rsidP="00861653">
      <w:pPr>
        <w:pStyle w:val="Default"/>
      </w:pPr>
      <w:r w:rsidRPr="00733129">
        <w:tab/>
      </w:r>
      <w:r w:rsidRPr="00733129">
        <w:tab/>
      </w:r>
      <w:r w:rsidRPr="00733129">
        <w:tab/>
      </w:r>
      <w:r w:rsidRPr="00733129">
        <w:tab/>
      </w:r>
      <w:r w:rsidRPr="00733129">
        <w:tab/>
      </w:r>
      <w:r w:rsidRPr="00733129">
        <w:tab/>
      </w:r>
      <w:r w:rsidRPr="00733129">
        <w:tab/>
        <w:t>Associate General Counsel</w:t>
      </w:r>
    </w:p>
    <w:p w:rsidR="007D615C" w:rsidRPr="00733129" w:rsidRDefault="007D615C" w:rsidP="00861653">
      <w:pPr>
        <w:pStyle w:val="Default"/>
      </w:pPr>
    </w:p>
    <w:p w:rsidR="007D615C" w:rsidRPr="00733129" w:rsidRDefault="007D615C" w:rsidP="00861653">
      <w:pPr>
        <w:pStyle w:val="Default"/>
      </w:pPr>
    </w:p>
    <w:p w:rsidR="007D615C" w:rsidRPr="00733129" w:rsidRDefault="007D615C" w:rsidP="00861653">
      <w:pPr>
        <w:pStyle w:val="Default"/>
      </w:pPr>
    </w:p>
    <w:p w:rsidR="007D615C" w:rsidRPr="00733129" w:rsidRDefault="007D615C" w:rsidP="00861653">
      <w:pPr>
        <w:pStyle w:val="Default"/>
      </w:pPr>
    </w:p>
    <w:p w:rsidR="00C66BDA" w:rsidRPr="00733129" w:rsidRDefault="00C66BDA" w:rsidP="00861653">
      <w:pPr>
        <w:pStyle w:val="Default"/>
      </w:pPr>
    </w:p>
    <w:p w:rsidR="00733129" w:rsidRDefault="00733129" w:rsidP="007331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3129">
        <w:rPr>
          <w:rFonts w:ascii="Arial" w:hAnsi="Arial" w:cs="Arial"/>
          <w:sz w:val="24"/>
          <w:szCs w:val="24"/>
        </w:rPr>
        <w:t>OG</w:t>
      </w:r>
      <w:r>
        <w:rPr>
          <w:rFonts w:ascii="Arial" w:hAnsi="Arial" w:cs="Arial"/>
          <w:sz w:val="24"/>
          <w:szCs w:val="24"/>
        </w:rPr>
        <w:t>C/RPK</w:t>
      </w:r>
      <w:proofErr w:type="gramStart"/>
      <w:r>
        <w:rPr>
          <w:rFonts w:ascii="Arial" w:hAnsi="Arial" w:cs="Arial"/>
          <w:sz w:val="24"/>
          <w:szCs w:val="24"/>
        </w:rPr>
        <w:t>:bhs</w:t>
      </w:r>
      <w:proofErr w:type="gramEnd"/>
    </w:p>
    <w:p w:rsidR="003B51BD" w:rsidRPr="00733129" w:rsidRDefault="00733129" w:rsidP="0073312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08-1109</w:t>
      </w:r>
    </w:p>
    <w:sectPr w:rsidR="003B51BD" w:rsidRPr="00733129" w:rsidSect="001530CF"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FF1" w:rsidRDefault="00FD4FF1" w:rsidP="001530CF">
      <w:pPr>
        <w:spacing w:after="0" w:line="240" w:lineRule="auto"/>
      </w:pPr>
      <w:r>
        <w:separator/>
      </w:r>
    </w:p>
  </w:endnote>
  <w:endnote w:type="continuationSeparator" w:id="1">
    <w:p w:rsidR="00FD4FF1" w:rsidRDefault="00FD4FF1" w:rsidP="0015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FF1" w:rsidRDefault="00FD4FF1" w:rsidP="001530CF">
      <w:pPr>
        <w:spacing w:after="0" w:line="240" w:lineRule="auto"/>
      </w:pPr>
      <w:r>
        <w:separator/>
      </w:r>
    </w:p>
  </w:footnote>
  <w:footnote w:type="continuationSeparator" w:id="1">
    <w:p w:rsidR="00FD4FF1" w:rsidRDefault="00FD4FF1" w:rsidP="00153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653"/>
    <w:rsid w:val="00005FD2"/>
    <w:rsid w:val="00045FAE"/>
    <w:rsid w:val="00085B95"/>
    <w:rsid w:val="000A489F"/>
    <w:rsid w:val="000D690B"/>
    <w:rsid w:val="000F4EDE"/>
    <w:rsid w:val="001530CF"/>
    <w:rsid w:val="00232156"/>
    <w:rsid w:val="002374A5"/>
    <w:rsid w:val="002F1511"/>
    <w:rsid w:val="00322250"/>
    <w:rsid w:val="00380846"/>
    <w:rsid w:val="003B3439"/>
    <w:rsid w:val="003B51BD"/>
    <w:rsid w:val="003F77B3"/>
    <w:rsid w:val="00422D1C"/>
    <w:rsid w:val="0064568D"/>
    <w:rsid w:val="0068123A"/>
    <w:rsid w:val="007035AF"/>
    <w:rsid w:val="00733129"/>
    <w:rsid w:val="007752F3"/>
    <w:rsid w:val="00794803"/>
    <w:rsid w:val="007B7AE3"/>
    <w:rsid w:val="007D615C"/>
    <w:rsid w:val="007D7153"/>
    <w:rsid w:val="00861653"/>
    <w:rsid w:val="008655BE"/>
    <w:rsid w:val="0087669A"/>
    <w:rsid w:val="008930EC"/>
    <w:rsid w:val="008D1BD6"/>
    <w:rsid w:val="00951B64"/>
    <w:rsid w:val="00986FB0"/>
    <w:rsid w:val="00987179"/>
    <w:rsid w:val="00991151"/>
    <w:rsid w:val="009E1BEF"/>
    <w:rsid w:val="00A92A7E"/>
    <w:rsid w:val="00AD31D7"/>
    <w:rsid w:val="00B00B2A"/>
    <w:rsid w:val="00B47012"/>
    <w:rsid w:val="00BA1390"/>
    <w:rsid w:val="00BA2FFC"/>
    <w:rsid w:val="00BF205A"/>
    <w:rsid w:val="00C1182D"/>
    <w:rsid w:val="00C66BDA"/>
    <w:rsid w:val="00CF0B29"/>
    <w:rsid w:val="00D56E00"/>
    <w:rsid w:val="00D70A61"/>
    <w:rsid w:val="00E241F0"/>
    <w:rsid w:val="00E85CEE"/>
    <w:rsid w:val="00ED3107"/>
    <w:rsid w:val="00EE1466"/>
    <w:rsid w:val="00F04688"/>
    <w:rsid w:val="00F52EEB"/>
    <w:rsid w:val="00F96694"/>
    <w:rsid w:val="00FC4798"/>
    <w:rsid w:val="00F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16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uiPriority w:val="99"/>
    <w:rsid w:val="00AD31D7"/>
    <w:rPr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15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0CF"/>
  </w:style>
  <w:style w:type="paragraph" w:styleId="Footer">
    <w:name w:val="footer"/>
    <w:basedOn w:val="Normal"/>
    <w:link w:val="FooterChar"/>
    <w:uiPriority w:val="99"/>
    <w:semiHidden/>
    <w:unhideWhenUsed/>
    <w:rsid w:val="0015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0CF"/>
  </w:style>
  <w:style w:type="paragraph" w:styleId="EndnoteText">
    <w:name w:val="endnote text"/>
    <w:basedOn w:val="Normal"/>
    <w:link w:val="EndnoteTextChar"/>
    <w:uiPriority w:val="99"/>
    <w:semiHidden/>
    <w:unhideWhenUsed/>
    <w:rsid w:val="00422D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2D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2D1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D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D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3E4427B-5B03-4666-9F75-ADD3FD9A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NCUA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P Kendall</dc:creator>
  <cp:keywords/>
  <dc:description/>
  <cp:lastModifiedBy>Jacqueline R Minor</cp:lastModifiedBy>
  <cp:revision>20</cp:revision>
  <cp:lastPrinted>2009-01-05T20:28:00Z</cp:lastPrinted>
  <dcterms:created xsi:type="dcterms:W3CDTF">2008-11-10T19:12:00Z</dcterms:created>
  <dcterms:modified xsi:type="dcterms:W3CDTF">2009-01-13T17:36:00Z</dcterms:modified>
</cp:coreProperties>
</file>