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FC3" w:rsidRDefault="00C77FC3"/>
    <w:p w:rsidR="0080217D" w:rsidRPr="001371F9" w:rsidRDefault="00C95121" w:rsidP="0080217D">
      <w:pPr>
        <w:tabs>
          <w:tab w:val="left" w:pos="900"/>
          <w:tab w:val="left" w:pos="6660"/>
        </w:tabs>
        <w:jc w:val="center"/>
        <w:rPr>
          <w:rFonts w:ascii="Arial" w:hAnsi="Arial"/>
          <w:b/>
          <w:color w:val="1F497D" w:themeColor="text2"/>
          <w:sz w:val="24"/>
        </w:rPr>
      </w:pPr>
      <w:r w:rsidRPr="001371F9">
        <w:rPr>
          <w:rFonts w:ascii="Arial" w:hAnsi="Arial"/>
          <w:b/>
          <w:color w:val="1F497D" w:themeColor="text2"/>
          <w:sz w:val="24"/>
        </w:rPr>
        <w:t>FACT SHEET</w:t>
      </w:r>
    </w:p>
    <w:p w:rsidR="0080217D" w:rsidRDefault="0080217D" w:rsidP="0080217D">
      <w:pPr>
        <w:tabs>
          <w:tab w:val="left" w:pos="900"/>
          <w:tab w:val="left" w:pos="6660"/>
        </w:tabs>
        <w:rPr>
          <w:rFonts w:ascii="Arial" w:hAnsi="Arial"/>
          <w:sz w:val="24"/>
        </w:rPr>
      </w:pPr>
    </w:p>
    <w:p w:rsidR="0080217D" w:rsidRDefault="0080217D" w:rsidP="0080217D">
      <w:pPr>
        <w:tabs>
          <w:tab w:val="left" w:pos="900"/>
          <w:tab w:val="left" w:pos="6660"/>
        </w:tabs>
        <w:jc w:val="center"/>
        <w:rPr>
          <w:rFonts w:ascii="Arial" w:hAnsi="Arial"/>
          <w:b/>
          <w:sz w:val="24"/>
        </w:rPr>
      </w:pPr>
      <w:r w:rsidRPr="002B4C8F">
        <w:rPr>
          <w:rFonts w:ascii="Arial" w:hAnsi="Arial"/>
          <w:b/>
          <w:sz w:val="24"/>
        </w:rPr>
        <w:t>Temporary Corporate Credit Union Liquidity Guarantee Program</w:t>
      </w:r>
    </w:p>
    <w:p w:rsidR="00C95121" w:rsidRDefault="00C95121" w:rsidP="0080217D">
      <w:pPr>
        <w:tabs>
          <w:tab w:val="left" w:pos="900"/>
          <w:tab w:val="left" w:pos="6660"/>
        </w:tabs>
        <w:jc w:val="center"/>
        <w:rPr>
          <w:rFonts w:ascii="Arial" w:hAnsi="Arial"/>
          <w:b/>
          <w:sz w:val="24"/>
        </w:rPr>
      </w:pPr>
    </w:p>
    <w:p w:rsidR="0080217D" w:rsidRPr="002B4C8F" w:rsidRDefault="00C95121" w:rsidP="0080217D">
      <w:pPr>
        <w:tabs>
          <w:tab w:val="left" w:pos="900"/>
          <w:tab w:val="left" w:pos="6660"/>
        </w:tabs>
        <w:jc w:val="center"/>
        <w:rPr>
          <w:rFonts w:ascii="Arial" w:hAnsi="Arial"/>
          <w:b/>
          <w:sz w:val="24"/>
        </w:rPr>
      </w:pPr>
      <w:r>
        <w:rPr>
          <w:rFonts w:ascii="Arial" w:hAnsi="Arial"/>
          <w:b/>
          <w:sz w:val="24"/>
        </w:rPr>
        <w:t>(Revised May</w:t>
      </w:r>
      <w:r w:rsidR="0080217D">
        <w:rPr>
          <w:rFonts w:ascii="Arial" w:hAnsi="Arial"/>
          <w:b/>
          <w:sz w:val="24"/>
        </w:rPr>
        <w:t xml:space="preserve"> 21, 2009)</w:t>
      </w:r>
    </w:p>
    <w:p w:rsidR="0080217D" w:rsidRDefault="0080217D" w:rsidP="0080217D">
      <w:pPr>
        <w:tabs>
          <w:tab w:val="left" w:pos="900"/>
          <w:tab w:val="left" w:pos="6660"/>
        </w:tabs>
        <w:rPr>
          <w:rFonts w:ascii="Arial" w:hAnsi="Arial"/>
          <w:sz w:val="24"/>
        </w:rPr>
      </w:pPr>
    </w:p>
    <w:p w:rsidR="0080217D" w:rsidRDefault="00332BD9" w:rsidP="0080217D">
      <w:pPr>
        <w:tabs>
          <w:tab w:val="left" w:pos="900"/>
          <w:tab w:val="left" w:pos="6660"/>
        </w:tabs>
        <w:rPr>
          <w:rFonts w:ascii="Arial" w:hAnsi="Arial"/>
          <w:sz w:val="24"/>
        </w:rPr>
      </w:pPr>
      <w:r>
        <w:rPr>
          <w:rFonts w:ascii="Arial" w:hAnsi="Arial"/>
          <w:sz w:val="24"/>
        </w:rPr>
        <w:t>On</w:t>
      </w:r>
      <w:r w:rsidR="0080217D">
        <w:rPr>
          <w:rFonts w:ascii="Arial" w:hAnsi="Arial"/>
          <w:sz w:val="24"/>
        </w:rPr>
        <w:t xml:space="preserve"> October 16, 2008, the </w:t>
      </w:r>
      <w:r>
        <w:rPr>
          <w:rFonts w:ascii="Arial" w:hAnsi="Arial"/>
          <w:sz w:val="24"/>
        </w:rPr>
        <w:t>NCUA Board approved the</w:t>
      </w:r>
      <w:r w:rsidRPr="00332BD9">
        <w:rPr>
          <w:rFonts w:ascii="Arial" w:hAnsi="Arial"/>
          <w:sz w:val="24"/>
        </w:rPr>
        <w:t xml:space="preserve"> </w:t>
      </w:r>
      <w:r>
        <w:rPr>
          <w:rFonts w:ascii="Arial" w:hAnsi="Arial"/>
          <w:sz w:val="24"/>
        </w:rPr>
        <w:t>Temporary Corporate Credit Union Liquidity Guarantee Program (TCCULGP). On May 21, 2009</w:t>
      </w:r>
      <w:r w:rsidR="0089008C">
        <w:rPr>
          <w:rFonts w:ascii="Arial" w:hAnsi="Arial"/>
          <w:sz w:val="24"/>
        </w:rPr>
        <w:t>, the Board revised some of the</w:t>
      </w:r>
      <w:r>
        <w:rPr>
          <w:rFonts w:ascii="Arial" w:hAnsi="Arial"/>
          <w:sz w:val="24"/>
        </w:rPr>
        <w:t xml:space="preserve"> TCCULGP</w:t>
      </w:r>
      <w:r w:rsidR="0089008C">
        <w:rPr>
          <w:rFonts w:ascii="Arial" w:hAnsi="Arial"/>
          <w:sz w:val="24"/>
        </w:rPr>
        <w:t xml:space="preserve"> terms and conditions</w:t>
      </w:r>
      <w:r>
        <w:rPr>
          <w:rFonts w:ascii="Arial" w:hAnsi="Arial"/>
          <w:sz w:val="24"/>
        </w:rPr>
        <w:t>.  This document summarizes the TCCULGP and provides notice of the specific term</w:t>
      </w:r>
      <w:r w:rsidR="0089008C">
        <w:rPr>
          <w:rFonts w:ascii="Arial" w:hAnsi="Arial"/>
          <w:sz w:val="24"/>
        </w:rPr>
        <w:t>s</w:t>
      </w:r>
      <w:r>
        <w:rPr>
          <w:rFonts w:ascii="Arial" w:hAnsi="Arial"/>
          <w:sz w:val="24"/>
        </w:rPr>
        <w:t xml:space="preserve"> and condition applicable to the </w:t>
      </w:r>
      <w:r w:rsidR="0089008C">
        <w:rPr>
          <w:rFonts w:ascii="Arial" w:hAnsi="Arial"/>
          <w:sz w:val="24"/>
        </w:rPr>
        <w:t xml:space="preserve">revised </w:t>
      </w:r>
      <w:r>
        <w:rPr>
          <w:rFonts w:ascii="Arial" w:hAnsi="Arial"/>
          <w:sz w:val="24"/>
        </w:rPr>
        <w:t xml:space="preserve">TCCULGP. </w:t>
      </w:r>
    </w:p>
    <w:p w:rsidR="00332BD9" w:rsidRDefault="00332BD9" w:rsidP="00332BD9">
      <w:pPr>
        <w:pStyle w:val="ListParagraph"/>
        <w:tabs>
          <w:tab w:val="left" w:pos="360"/>
          <w:tab w:val="left" w:pos="6660"/>
        </w:tabs>
        <w:ind w:left="0"/>
        <w:jc w:val="both"/>
        <w:rPr>
          <w:rFonts w:ascii="Arial" w:hAnsi="Arial"/>
          <w:sz w:val="24"/>
        </w:rPr>
      </w:pPr>
    </w:p>
    <w:p w:rsidR="00332BD9" w:rsidRPr="00332BD9" w:rsidRDefault="00332BD9" w:rsidP="00332BD9">
      <w:pPr>
        <w:pStyle w:val="ListParagraph"/>
        <w:tabs>
          <w:tab w:val="left" w:pos="360"/>
          <w:tab w:val="left" w:pos="6660"/>
        </w:tabs>
        <w:ind w:left="0"/>
        <w:jc w:val="both"/>
        <w:rPr>
          <w:rFonts w:ascii="Arial" w:hAnsi="Arial"/>
          <w:sz w:val="24"/>
        </w:rPr>
      </w:pPr>
      <w:r w:rsidRPr="00332BD9">
        <w:rPr>
          <w:rFonts w:ascii="Arial" w:hAnsi="Arial"/>
          <w:b/>
          <w:sz w:val="24"/>
        </w:rPr>
        <w:t xml:space="preserve">A. </w:t>
      </w:r>
      <w:r w:rsidR="00BB2616">
        <w:rPr>
          <w:rFonts w:ascii="Arial" w:hAnsi="Arial"/>
          <w:b/>
          <w:sz w:val="24"/>
        </w:rPr>
        <w:t xml:space="preserve"> </w:t>
      </w:r>
      <w:r w:rsidRPr="00332BD9">
        <w:rPr>
          <w:rFonts w:ascii="Arial" w:hAnsi="Arial"/>
          <w:b/>
          <w:sz w:val="24"/>
        </w:rPr>
        <w:t>Summary</w:t>
      </w:r>
      <w:r>
        <w:rPr>
          <w:rFonts w:ascii="Arial" w:hAnsi="Arial"/>
          <w:sz w:val="24"/>
        </w:rPr>
        <w:t>.</w:t>
      </w:r>
    </w:p>
    <w:p w:rsidR="00332BD9" w:rsidRDefault="00332BD9" w:rsidP="0080217D">
      <w:pPr>
        <w:tabs>
          <w:tab w:val="left" w:pos="900"/>
          <w:tab w:val="left" w:pos="6660"/>
        </w:tabs>
        <w:rPr>
          <w:rFonts w:ascii="Arial" w:hAnsi="Arial"/>
          <w:sz w:val="24"/>
        </w:rPr>
      </w:pPr>
    </w:p>
    <w:p w:rsidR="00332BD9" w:rsidRDefault="00332BD9" w:rsidP="0080217D">
      <w:pPr>
        <w:tabs>
          <w:tab w:val="left" w:pos="900"/>
          <w:tab w:val="left" w:pos="6660"/>
        </w:tabs>
        <w:rPr>
          <w:rFonts w:ascii="Arial" w:hAnsi="Arial"/>
          <w:sz w:val="24"/>
        </w:rPr>
      </w:pPr>
      <w:r>
        <w:rPr>
          <w:rFonts w:ascii="Arial" w:hAnsi="Arial"/>
          <w:sz w:val="24"/>
        </w:rPr>
        <w:t>Under the term</w:t>
      </w:r>
      <w:r w:rsidR="0089008C">
        <w:rPr>
          <w:rFonts w:ascii="Arial" w:hAnsi="Arial"/>
          <w:sz w:val="24"/>
        </w:rPr>
        <w:t>s</w:t>
      </w:r>
      <w:r>
        <w:rPr>
          <w:rFonts w:ascii="Arial" w:hAnsi="Arial"/>
          <w:sz w:val="24"/>
        </w:rPr>
        <w:t xml:space="preserve"> of the TCCULGP, the National Credit Union Share Insurance Fund will guarantee</w:t>
      </w:r>
      <w:r w:rsidR="00C50B85">
        <w:rPr>
          <w:rFonts w:ascii="Arial" w:hAnsi="Arial"/>
          <w:sz w:val="24"/>
        </w:rPr>
        <w:t xml:space="preserve"> the timely payment of principal and interest on</w:t>
      </w:r>
      <w:r>
        <w:rPr>
          <w:rFonts w:ascii="Arial" w:hAnsi="Arial"/>
          <w:sz w:val="24"/>
        </w:rPr>
        <w:t xml:space="preserve"> certain unsecured debt of participating corporate credit union</w:t>
      </w:r>
      <w:r w:rsidR="001371F9">
        <w:rPr>
          <w:rFonts w:ascii="Arial" w:hAnsi="Arial"/>
          <w:sz w:val="24"/>
        </w:rPr>
        <w:t>s.</w:t>
      </w:r>
    </w:p>
    <w:p w:rsidR="00332BD9" w:rsidRDefault="00332BD9" w:rsidP="0080217D">
      <w:pPr>
        <w:tabs>
          <w:tab w:val="left" w:pos="900"/>
          <w:tab w:val="left" w:pos="6660"/>
        </w:tabs>
        <w:rPr>
          <w:rFonts w:ascii="Arial" w:hAnsi="Arial"/>
          <w:sz w:val="24"/>
        </w:rPr>
      </w:pPr>
    </w:p>
    <w:p w:rsidR="00332BD9" w:rsidRDefault="00332BD9" w:rsidP="0080217D">
      <w:pPr>
        <w:tabs>
          <w:tab w:val="left" w:pos="900"/>
          <w:tab w:val="left" w:pos="6660"/>
        </w:tabs>
        <w:rPr>
          <w:rFonts w:ascii="Arial" w:hAnsi="Arial"/>
          <w:sz w:val="24"/>
        </w:rPr>
      </w:pPr>
    </w:p>
    <w:p w:rsidR="00BB2616" w:rsidRPr="00BB2616" w:rsidRDefault="00BB2616" w:rsidP="0080217D">
      <w:pPr>
        <w:tabs>
          <w:tab w:val="left" w:pos="900"/>
          <w:tab w:val="left" w:pos="6660"/>
        </w:tabs>
        <w:rPr>
          <w:rFonts w:ascii="Arial" w:hAnsi="Arial"/>
          <w:b/>
          <w:sz w:val="24"/>
        </w:rPr>
      </w:pPr>
      <w:r w:rsidRPr="00BB2616">
        <w:rPr>
          <w:rFonts w:ascii="Arial" w:hAnsi="Arial"/>
          <w:b/>
          <w:sz w:val="24"/>
        </w:rPr>
        <w:t>B.  Terms and Conditions Applicable to the TCCULGP</w:t>
      </w:r>
    </w:p>
    <w:p w:rsidR="00BB2616" w:rsidRDefault="00BB2616" w:rsidP="0080217D">
      <w:pPr>
        <w:tabs>
          <w:tab w:val="left" w:pos="900"/>
          <w:tab w:val="left" w:pos="6660"/>
        </w:tabs>
        <w:rPr>
          <w:rFonts w:ascii="Arial" w:hAnsi="Arial"/>
          <w:sz w:val="24"/>
        </w:rPr>
      </w:pPr>
    </w:p>
    <w:p w:rsidR="003E3855" w:rsidRDefault="00BB2616" w:rsidP="00CF5235">
      <w:pPr>
        <w:tabs>
          <w:tab w:val="left" w:pos="900"/>
          <w:tab w:val="left" w:pos="6660"/>
        </w:tabs>
        <w:rPr>
          <w:rFonts w:ascii="Arial" w:hAnsi="Arial"/>
          <w:sz w:val="24"/>
        </w:rPr>
      </w:pPr>
      <w:r w:rsidRPr="00BB2616">
        <w:rPr>
          <w:rFonts w:ascii="Arial" w:hAnsi="Arial"/>
          <w:i/>
          <w:sz w:val="24"/>
        </w:rPr>
        <w:t>1. Scope of Eligible Corporate Credit Unions</w:t>
      </w:r>
      <w:r w:rsidR="003E3855" w:rsidRPr="003E3855">
        <w:rPr>
          <w:rFonts w:ascii="Arial" w:hAnsi="Arial"/>
          <w:sz w:val="24"/>
        </w:rPr>
        <w:t xml:space="preserve">.  </w:t>
      </w:r>
      <w:r w:rsidR="003E3855">
        <w:rPr>
          <w:rFonts w:ascii="Arial" w:hAnsi="Arial"/>
          <w:sz w:val="24"/>
        </w:rPr>
        <w:t>All corporate credit unions were automatically covered for debt obligations issued thorough November 17, 2008.</w:t>
      </w:r>
      <w:r w:rsidR="003E3855">
        <w:rPr>
          <w:rStyle w:val="FootnoteReference"/>
          <w:rFonts w:ascii="Arial" w:hAnsi="Arial"/>
          <w:sz w:val="24"/>
        </w:rPr>
        <w:footnoteReference w:id="2"/>
      </w:r>
      <w:r w:rsidR="003E3855">
        <w:rPr>
          <w:rFonts w:ascii="Arial" w:hAnsi="Arial"/>
          <w:sz w:val="24"/>
        </w:rPr>
        <w:t xml:space="preserve">  On November 18, 2008 NCUA pos</w:t>
      </w:r>
      <w:r w:rsidR="003200D3">
        <w:rPr>
          <w:rFonts w:ascii="Arial" w:hAnsi="Arial"/>
          <w:sz w:val="24"/>
        </w:rPr>
        <w:t>ted the listing of the</w:t>
      </w:r>
      <w:r w:rsidR="003E3855">
        <w:rPr>
          <w:rFonts w:ascii="Arial" w:hAnsi="Arial"/>
          <w:sz w:val="24"/>
        </w:rPr>
        <w:t xml:space="preserve"> </w:t>
      </w:r>
      <w:hyperlink r:id="rId8" w:history="1">
        <w:r w:rsidR="003E3855" w:rsidRPr="00CF5235">
          <w:rPr>
            <w:rStyle w:val="Hyperlink"/>
            <w:rFonts w:ascii="Arial" w:hAnsi="Arial"/>
            <w:sz w:val="24"/>
          </w:rPr>
          <w:t>twenty-six corporate cr</w:t>
        </w:r>
        <w:r w:rsidR="003200D3" w:rsidRPr="00CF5235">
          <w:rPr>
            <w:rStyle w:val="Hyperlink"/>
            <w:rFonts w:ascii="Arial" w:hAnsi="Arial"/>
            <w:sz w:val="24"/>
          </w:rPr>
          <w:t>edit unions</w:t>
        </w:r>
      </w:hyperlink>
      <w:r w:rsidR="003200D3">
        <w:rPr>
          <w:rFonts w:ascii="Arial" w:hAnsi="Arial"/>
          <w:sz w:val="24"/>
        </w:rPr>
        <w:t xml:space="preserve"> </w:t>
      </w:r>
      <w:r w:rsidR="0089008C">
        <w:rPr>
          <w:rFonts w:ascii="Arial" w:hAnsi="Arial"/>
          <w:sz w:val="24"/>
        </w:rPr>
        <w:t>voluntarily continuing their participation</w:t>
      </w:r>
      <w:r w:rsidR="003200D3">
        <w:rPr>
          <w:rFonts w:ascii="Arial" w:hAnsi="Arial"/>
          <w:sz w:val="24"/>
        </w:rPr>
        <w:t xml:space="preserve"> in</w:t>
      </w:r>
      <w:r w:rsidR="003E3855">
        <w:rPr>
          <w:rFonts w:ascii="Arial" w:hAnsi="Arial"/>
          <w:sz w:val="24"/>
        </w:rPr>
        <w:t xml:space="preserve"> the TCCULGP</w:t>
      </w:r>
      <w:r w:rsidR="003200D3">
        <w:rPr>
          <w:rFonts w:ascii="Arial" w:hAnsi="Arial"/>
          <w:sz w:val="24"/>
        </w:rPr>
        <w:t xml:space="preserve">.  </w:t>
      </w:r>
      <w:r w:rsidR="00CF5235">
        <w:rPr>
          <w:rFonts w:ascii="Arial" w:hAnsi="Arial"/>
          <w:sz w:val="24"/>
        </w:rPr>
        <w:t>All corporate credit unions may voluntarily continue their participation in the revised TCCULGP and NCUA will post notice of the participants on June 30, 2009.</w:t>
      </w:r>
    </w:p>
    <w:p w:rsidR="00BB2616" w:rsidRDefault="00BB2616" w:rsidP="00BB2616">
      <w:pPr>
        <w:tabs>
          <w:tab w:val="left" w:pos="900"/>
          <w:tab w:val="left" w:pos="6660"/>
        </w:tabs>
        <w:rPr>
          <w:rFonts w:ascii="Arial" w:hAnsi="Arial"/>
          <w:sz w:val="24"/>
        </w:rPr>
      </w:pPr>
    </w:p>
    <w:p w:rsidR="003E3855" w:rsidRDefault="003E3855" w:rsidP="00BB2616">
      <w:pPr>
        <w:tabs>
          <w:tab w:val="left" w:pos="900"/>
          <w:tab w:val="left" w:pos="6660"/>
        </w:tabs>
        <w:rPr>
          <w:rFonts w:ascii="Arial" w:hAnsi="Arial"/>
          <w:sz w:val="24"/>
        </w:rPr>
      </w:pPr>
      <w:r w:rsidRPr="003E3855">
        <w:rPr>
          <w:rFonts w:ascii="Arial" w:hAnsi="Arial"/>
          <w:i/>
          <w:sz w:val="24"/>
        </w:rPr>
        <w:t xml:space="preserve">2.  </w:t>
      </w:r>
      <w:r w:rsidR="00BB2616" w:rsidRPr="003E3855">
        <w:rPr>
          <w:rFonts w:ascii="Arial" w:hAnsi="Arial"/>
          <w:i/>
          <w:sz w:val="24"/>
        </w:rPr>
        <w:t>Scope of Liabilities</w:t>
      </w:r>
      <w:r>
        <w:rPr>
          <w:rFonts w:ascii="Arial" w:hAnsi="Arial"/>
          <w:sz w:val="24"/>
        </w:rPr>
        <w:t>.  Prior to the May</w:t>
      </w:r>
      <w:r w:rsidR="00537563">
        <w:rPr>
          <w:rFonts w:ascii="Arial" w:hAnsi="Arial"/>
          <w:sz w:val="24"/>
        </w:rPr>
        <w:t xml:space="preserve"> 21,</w:t>
      </w:r>
      <w:r>
        <w:rPr>
          <w:rFonts w:ascii="Arial" w:hAnsi="Arial"/>
          <w:sz w:val="24"/>
        </w:rPr>
        <w:t xml:space="preserve"> 2009 revisions, the NCUSIF guarantee applied</w:t>
      </w:r>
      <w:r w:rsidR="00BB2616">
        <w:rPr>
          <w:rFonts w:ascii="Arial" w:hAnsi="Arial"/>
          <w:sz w:val="24"/>
        </w:rPr>
        <w:t xml:space="preserve"> only to newly issued unsecured debt obligations issue</w:t>
      </w:r>
      <w:r w:rsidR="00C50B85">
        <w:rPr>
          <w:rFonts w:ascii="Arial" w:hAnsi="Arial"/>
          <w:sz w:val="24"/>
        </w:rPr>
        <w:t>d</w:t>
      </w:r>
      <w:r w:rsidR="00BB2616">
        <w:rPr>
          <w:rFonts w:ascii="Arial" w:hAnsi="Arial"/>
          <w:sz w:val="24"/>
        </w:rPr>
        <w:t xml:space="preserve"> on or before June 30, 2009, maturing on or before</w:t>
      </w:r>
      <w:r w:rsidR="00C50B85">
        <w:rPr>
          <w:rFonts w:ascii="Arial" w:hAnsi="Arial"/>
          <w:sz w:val="24"/>
        </w:rPr>
        <w:t xml:space="preserve"> </w:t>
      </w:r>
      <w:r w:rsidR="00BB2616">
        <w:rPr>
          <w:rFonts w:ascii="Arial" w:hAnsi="Arial"/>
          <w:sz w:val="24"/>
        </w:rPr>
        <w:t>June 30, 2012</w:t>
      </w:r>
      <w:r>
        <w:rPr>
          <w:rFonts w:ascii="Arial" w:hAnsi="Arial"/>
          <w:sz w:val="24"/>
        </w:rPr>
        <w:t xml:space="preserve">.  </w:t>
      </w:r>
      <w:r w:rsidR="00537563">
        <w:rPr>
          <w:rFonts w:ascii="Arial" w:hAnsi="Arial"/>
          <w:sz w:val="24"/>
        </w:rPr>
        <w:t>On</w:t>
      </w:r>
      <w:r w:rsidR="00C50B85">
        <w:rPr>
          <w:rFonts w:ascii="Arial" w:hAnsi="Arial"/>
          <w:sz w:val="24"/>
        </w:rPr>
        <w:t xml:space="preserve"> May</w:t>
      </w:r>
      <w:r w:rsidR="00537563">
        <w:rPr>
          <w:rFonts w:ascii="Arial" w:hAnsi="Arial"/>
          <w:sz w:val="24"/>
        </w:rPr>
        <w:t xml:space="preserve"> 21, </w:t>
      </w:r>
      <w:r w:rsidR="00C50B85">
        <w:rPr>
          <w:rFonts w:ascii="Arial" w:hAnsi="Arial"/>
          <w:sz w:val="24"/>
        </w:rPr>
        <w:t xml:space="preserve">2009 the </w:t>
      </w:r>
      <w:r w:rsidR="0089008C">
        <w:rPr>
          <w:rFonts w:ascii="Arial" w:hAnsi="Arial"/>
          <w:sz w:val="24"/>
        </w:rPr>
        <w:t xml:space="preserve">NCUA Board authorized the extension of the TCCULGP to cover </w:t>
      </w:r>
      <w:r w:rsidR="00C50B85">
        <w:rPr>
          <w:rFonts w:ascii="Arial" w:hAnsi="Arial"/>
          <w:sz w:val="24"/>
        </w:rPr>
        <w:t>newly issued unsecured debt obligations issued on or before June 30, 2010 an</w:t>
      </w:r>
      <w:r w:rsidR="008F7C5C">
        <w:rPr>
          <w:rFonts w:ascii="Arial" w:hAnsi="Arial"/>
          <w:sz w:val="24"/>
        </w:rPr>
        <w:t>d maturing on or before June</w:t>
      </w:r>
      <w:r w:rsidR="00C50B85">
        <w:rPr>
          <w:rFonts w:ascii="Arial" w:hAnsi="Arial"/>
          <w:sz w:val="24"/>
        </w:rPr>
        <w:t xml:space="preserve"> </w:t>
      </w:r>
      <w:r w:rsidR="008F7C5C">
        <w:rPr>
          <w:rFonts w:ascii="Arial" w:hAnsi="Arial"/>
          <w:sz w:val="24"/>
        </w:rPr>
        <w:t>30</w:t>
      </w:r>
      <w:r w:rsidR="00C50B85">
        <w:rPr>
          <w:rFonts w:ascii="Arial" w:hAnsi="Arial"/>
          <w:sz w:val="24"/>
        </w:rPr>
        <w:t>, 2017.</w:t>
      </w:r>
    </w:p>
    <w:p w:rsidR="003E3855" w:rsidRDefault="003E3855" w:rsidP="00BB2616">
      <w:pPr>
        <w:tabs>
          <w:tab w:val="left" w:pos="900"/>
          <w:tab w:val="left" w:pos="6660"/>
        </w:tabs>
        <w:rPr>
          <w:rFonts w:ascii="Arial" w:hAnsi="Arial"/>
          <w:sz w:val="24"/>
        </w:rPr>
      </w:pPr>
    </w:p>
    <w:p w:rsidR="00C50B85" w:rsidRDefault="00C50B85" w:rsidP="00BB2616">
      <w:pPr>
        <w:tabs>
          <w:tab w:val="left" w:pos="900"/>
          <w:tab w:val="left" w:pos="6660"/>
        </w:tabs>
        <w:rPr>
          <w:rFonts w:ascii="Arial" w:hAnsi="Arial"/>
          <w:sz w:val="24"/>
        </w:rPr>
      </w:pPr>
      <w:r>
        <w:rPr>
          <w:rFonts w:ascii="Arial" w:hAnsi="Arial"/>
          <w:sz w:val="24"/>
        </w:rPr>
        <w:t>Types of qualifying unsecured debt obligations include</w:t>
      </w:r>
      <w:r w:rsidR="00BB2616">
        <w:rPr>
          <w:rFonts w:ascii="Arial" w:hAnsi="Arial"/>
          <w:sz w:val="24"/>
        </w:rPr>
        <w:t xml:space="preserve"> promissory notes, commercial paper, inter-bank funding, and any unsecured portion of secured debt. </w:t>
      </w:r>
      <w:r>
        <w:rPr>
          <w:rFonts w:ascii="Arial" w:hAnsi="Arial"/>
          <w:sz w:val="24"/>
        </w:rPr>
        <w:t xml:space="preserve"> The TCCULGP does not apply to shares, certificates of deposit, member capital shares, and paid-in-capital accounts.  Shares and certificat</w:t>
      </w:r>
      <w:r w:rsidR="00A50285">
        <w:rPr>
          <w:rFonts w:ascii="Arial" w:hAnsi="Arial"/>
          <w:sz w:val="24"/>
        </w:rPr>
        <w:t>es</w:t>
      </w:r>
      <w:r>
        <w:rPr>
          <w:rFonts w:ascii="Arial" w:hAnsi="Arial"/>
          <w:sz w:val="24"/>
        </w:rPr>
        <w:t xml:space="preserve"> of deposit may be covered under the </w:t>
      </w:r>
      <w:hyperlink r:id="rId9" w:history="1">
        <w:r w:rsidRPr="00CF5235">
          <w:rPr>
            <w:rStyle w:val="Hyperlink"/>
            <w:rFonts w:ascii="Arial" w:hAnsi="Arial"/>
            <w:sz w:val="24"/>
          </w:rPr>
          <w:t>Tempo</w:t>
        </w:r>
        <w:r w:rsidR="007645AC" w:rsidRPr="00CF5235">
          <w:rPr>
            <w:rStyle w:val="Hyperlink"/>
            <w:rFonts w:ascii="Arial" w:hAnsi="Arial"/>
            <w:sz w:val="24"/>
          </w:rPr>
          <w:t>r</w:t>
        </w:r>
        <w:r w:rsidR="00DA13BA" w:rsidRPr="00CF5235">
          <w:rPr>
            <w:rStyle w:val="Hyperlink"/>
            <w:rFonts w:ascii="Arial" w:hAnsi="Arial"/>
            <w:sz w:val="24"/>
          </w:rPr>
          <w:t>ary Corp</w:t>
        </w:r>
        <w:r w:rsidRPr="00CF5235">
          <w:rPr>
            <w:rStyle w:val="Hyperlink"/>
            <w:rFonts w:ascii="Arial" w:hAnsi="Arial"/>
            <w:sz w:val="24"/>
          </w:rPr>
          <w:t>o</w:t>
        </w:r>
        <w:r w:rsidR="00DA13BA" w:rsidRPr="00CF5235">
          <w:rPr>
            <w:rStyle w:val="Hyperlink"/>
            <w:rFonts w:ascii="Arial" w:hAnsi="Arial"/>
            <w:sz w:val="24"/>
          </w:rPr>
          <w:t>r</w:t>
        </w:r>
        <w:r w:rsidRPr="00CF5235">
          <w:rPr>
            <w:rStyle w:val="Hyperlink"/>
            <w:rFonts w:ascii="Arial" w:hAnsi="Arial"/>
            <w:sz w:val="24"/>
          </w:rPr>
          <w:t>ate Credit Union Share Guarantee Program</w:t>
        </w:r>
      </w:hyperlink>
      <w:r>
        <w:rPr>
          <w:rFonts w:ascii="Arial" w:hAnsi="Arial"/>
          <w:sz w:val="24"/>
        </w:rPr>
        <w:t>.</w:t>
      </w:r>
    </w:p>
    <w:p w:rsidR="00C50B85" w:rsidRDefault="00C50B85" w:rsidP="00BB2616">
      <w:pPr>
        <w:tabs>
          <w:tab w:val="left" w:pos="900"/>
          <w:tab w:val="left" w:pos="6660"/>
        </w:tabs>
        <w:rPr>
          <w:rFonts w:ascii="Arial" w:hAnsi="Arial"/>
          <w:sz w:val="24"/>
        </w:rPr>
      </w:pPr>
    </w:p>
    <w:p w:rsidR="00BB2616" w:rsidRDefault="00BB2616" w:rsidP="00BB2616">
      <w:pPr>
        <w:tabs>
          <w:tab w:val="left" w:pos="900"/>
          <w:tab w:val="left" w:pos="6660"/>
        </w:tabs>
        <w:rPr>
          <w:rFonts w:ascii="Arial" w:hAnsi="Arial"/>
          <w:sz w:val="24"/>
        </w:rPr>
      </w:pPr>
      <w:r>
        <w:rPr>
          <w:rFonts w:ascii="Arial" w:hAnsi="Arial"/>
          <w:sz w:val="24"/>
        </w:rPr>
        <w:t xml:space="preserve">The amount of debt obligations covered by the </w:t>
      </w:r>
      <w:r w:rsidR="0089008C">
        <w:rPr>
          <w:rFonts w:ascii="Arial" w:hAnsi="Arial"/>
          <w:sz w:val="24"/>
        </w:rPr>
        <w:t xml:space="preserve">revised TCCULGP </w:t>
      </w:r>
      <w:r>
        <w:rPr>
          <w:rFonts w:ascii="Arial" w:hAnsi="Arial"/>
          <w:sz w:val="24"/>
        </w:rPr>
        <w:t>guarantee per eligible corporate credit union may not exceed the greater of:  (a) 100 percent of the eligible corporate credit union’s maximum unsecured debt obligations outstanding during the period September 30, 2007 through September 30, 2008</w:t>
      </w:r>
      <w:r w:rsidR="007645AC">
        <w:rPr>
          <w:rFonts w:ascii="Arial" w:hAnsi="Arial"/>
          <w:sz w:val="24"/>
        </w:rPr>
        <w:t xml:space="preserve">, subject to an </w:t>
      </w:r>
      <w:r w:rsidR="007645AC">
        <w:rPr>
          <w:rFonts w:ascii="Arial" w:hAnsi="Arial"/>
          <w:sz w:val="24"/>
        </w:rPr>
        <w:lastRenderedPageBreak/>
        <w:t>amount not to exceed $10 billion</w:t>
      </w:r>
      <w:r>
        <w:rPr>
          <w:rFonts w:ascii="Arial" w:hAnsi="Arial"/>
          <w:sz w:val="24"/>
        </w:rPr>
        <w:t>; (b)</w:t>
      </w:r>
      <w:r w:rsidR="00975B0F">
        <w:rPr>
          <w:rFonts w:ascii="Arial" w:hAnsi="Arial" w:cs="Arial"/>
          <w:sz w:val="24"/>
        </w:rPr>
        <w:t xml:space="preserve"> </w:t>
      </w:r>
      <w:r>
        <w:rPr>
          <w:rFonts w:ascii="Arial" w:hAnsi="Arial"/>
          <w:sz w:val="24"/>
        </w:rPr>
        <w:t>such other amount determined by written approval of the Director, Office of Corporate Credit Unions, with the prior concurrence of the Director, Office of Examination and Insurance, not to exceed</w:t>
      </w:r>
      <w:r w:rsidR="007645AC">
        <w:rPr>
          <w:rFonts w:ascii="Arial" w:hAnsi="Arial"/>
          <w:sz w:val="24"/>
        </w:rPr>
        <w:t xml:space="preserve"> the greater of</w:t>
      </w:r>
      <w:r>
        <w:rPr>
          <w:rFonts w:ascii="Arial" w:hAnsi="Arial"/>
          <w:sz w:val="24"/>
        </w:rPr>
        <w:t xml:space="preserve"> $100 million</w:t>
      </w:r>
      <w:r w:rsidR="007645AC">
        <w:rPr>
          <w:rFonts w:ascii="Arial" w:hAnsi="Arial"/>
          <w:sz w:val="24"/>
        </w:rPr>
        <w:t xml:space="preserve"> or 5% of shares and liabilities as of September 30, 2008</w:t>
      </w:r>
      <w:r>
        <w:rPr>
          <w:rFonts w:ascii="Arial" w:hAnsi="Arial"/>
          <w:sz w:val="24"/>
        </w:rPr>
        <w:t>; or (c) such other amount determined by the NCUA Board.</w:t>
      </w:r>
    </w:p>
    <w:p w:rsidR="00BB2616" w:rsidRDefault="00BB2616" w:rsidP="00BB2616">
      <w:pPr>
        <w:tabs>
          <w:tab w:val="left" w:pos="900"/>
          <w:tab w:val="left" w:pos="6660"/>
        </w:tabs>
        <w:rPr>
          <w:rFonts w:ascii="Arial" w:hAnsi="Arial"/>
          <w:sz w:val="24"/>
        </w:rPr>
      </w:pPr>
    </w:p>
    <w:p w:rsidR="00BB2616" w:rsidRPr="001371F9" w:rsidRDefault="001371F9" w:rsidP="00BB2616">
      <w:pPr>
        <w:tabs>
          <w:tab w:val="left" w:pos="900"/>
          <w:tab w:val="left" w:pos="6660"/>
        </w:tabs>
        <w:rPr>
          <w:rFonts w:ascii="Arial" w:hAnsi="Arial"/>
          <w:sz w:val="24"/>
        </w:rPr>
      </w:pPr>
      <w:r>
        <w:rPr>
          <w:rFonts w:ascii="Arial" w:hAnsi="Arial"/>
          <w:sz w:val="24"/>
        </w:rPr>
        <w:t xml:space="preserve">3.  </w:t>
      </w:r>
      <w:r w:rsidRPr="001371F9">
        <w:rPr>
          <w:rFonts w:ascii="Arial" w:hAnsi="Arial"/>
          <w:i/>
          <w:sz w:val="24"/>
        </w:rPr>
        <w:t>Fees charged on TCCULGP debt</w:t>
      </w:r>
      <w:r>
        <w:rPr>
          <w:rFonts w:ascii="Arial" w:hAnsi="Arial"/>
          <w:sz w:val="24"/>
        </w:rPr>
        <w:t xml:space="preserve">.  </w:t>
      </w:r>
      <w:r w:rsidR="00BB2616">
        <w:rPr>
          <w:rFonts w:ascii="Arial" w:hAnsi="Arial"/>
          <w:sz w:val="24"/>
        </w:rPr>
        <w:t>The NCUSIF charge</w:t>
      </w:r>
      <w:r w:rsidR="0089008C">
        <w:rPr>
          <w:rFonts w:ascii="Arial" w:hAnsi="Arial"/>
          <w:sz w:val="24"/>
        </w:rPr>
        <w:t>s</w:t>
      </w:r>
      <w:r w:rsidR="00BB2616">
        <w:rPr>
          <w:rFonts w:ascii="Arial" w:hAnsi="Arial"/>
          <w:sz w:val="24"/>
        </w:rPr>
        <w:t xml:space="preserve"> fees for </w:t>
      </w:r>
      <w:r w:rsidR="0089008C">
        <w:rPr>
          <w:rFonts w:ascii="Arial" w:hAnsi="Arial"/>
          <w:sz w:val="24"/>
        </w:rPr>
        <w:t xml:space="preserve">TCCULGP </w:t>
      </w:r>
      <w:r w:rsidR="00BB2616">
        <w:rPr>
          <w:rFonts w:ascii="Arial" w:hAnsi="Arial"/>
          <w:sz w:val="24"/>
        </w:rPr>
        <w:t>cov</w:t>
      </w:r>
      <w:r w:rsidR="00537563">
        <w:rPr>
          <w:rFonts w:ascii="Arial" w:hAnsi="Arial"/>
          <w:sz w:val="24"/>
        </w:rPr>
        <w:t>erage</w:t>
      </w:r>
      <w:r w:rsidR="00BB2616">
        <w:rPr>
          <w:rFonts w:ascii="Arial" w:hAnsi="Arial"/>
          <w:sz w:val="24"/>
        </w:rPr>
        <w:t xml:space="preserve">.  </w:t>
      </w:r>
      <w:r w:rsidR="00537563">
        <w:rPr>
          <w:rFonts w:ascii="Arial" w:hAnsi="Arial"/>
          <w:sz w:val="24"/>
          <w:szCs w:val="24"/>
        </w:rPr>
        <w:t>Fee</w:t>
      </w:r>
      <w:r w:rsidR="00BB2616">
        <w:rPr>
          <w:rFonts w:ascii="Arial" w:hAnsi="Arial"/>
          <w:sz w:val="24"/>
          <w:szCs w:val="24"/>
        </w:rPr>
        <w:t xml:space="preserve">s for participation in the </w:t>
      </w:r>
      <w:r w:rsidR="0089008C">
        <w:rPr>
          <w:rFonts w:ascii="Arial" w:hAnsi="Arial"/>
          <w:sz w:val="24"/>
          <w:szCs w:val="24"/>
        </w:rPr>
        <w:t xml:space="preserve">revised TCCULGP </w:t>
      </w:r>
      <w:r w:rsidR="00BB2616">
        <w:rPr>
          <w:rFonts w:ascii="Arial" w:hAnsi="Arial"/>
          <w:sz w:val="24"/>
          <w:szCs w:val="24"/>
        </w:rPr>
        <w:t xml:space="preserve">depend on the maturity of debt </w:t>
      </w:r>
      <w:r w:rsidR="0089008C">
        <w:rPr>
          <w:rFonts w:ascii="Arial" w:hAnsi="Arial"/>
          <w:sz w:val="24"/>
          <w:szCs w:val="24"/>
        </w:rPr>
        <w:t xml:space="preserve">guaranteed </w:t>
      </w:r>
      <w:r w:rsidR="00BB2616">
        <w:rPr>
          <w:rFonts w:ascii="Arial" w:hAnsi="Arial"/>
          <w:sz w:val="24"/>
          <w:szCs w:val="24"/>
        </w:rPr>
        <w:t>(revised from the flat fee of 0.75 percent per annum</w:t>
      </w:r>
      <w:r w:rsidR="00C72D08">
        <w:rPr>
          <w:rFonts w:ascii="Arial" w:hAnsi="Arial"/>
          <w:sz w:val="24"/>
          <w:szCs w:val="24"/>
        </w:rPr>
        <w:t xml:space="preserve"> under the original TCCULGP</w:t>
      </w:r>
      <w:r w:rsidR="00BB2616">
        <w:rPr>
          <w:rFonts w:ascii="Arial" w:hAnsi="Arial"/>
          <w:sz w:val="24"/>
          <w:szCs w:val="24"/>
        </w:rPr>
        <w:t>).</w:t>
      </w:r>
      <w:r w:rsidR="00537563">
        <w:rPr>
          <w:rFonts w:ascii="Arial" w:hAnsi="Arial"/>
          <w:sz w:val="24"/>
          <w:szCs w:val="24"/>
        </w:rPr>
        <w:t xml:space="preserve">  The revised fee schedule is as follows:</w:t>
      </w:r>
    </w:p>
    <w:p w:rsidR="00537563" w:rsidRDefault="00537563" w:rsidP="00BB2616">
      <w:pPr>
        <w:tabs>
          <w:tab w:val="left" w:pos="900"/>
          <w:tab w:val="left" w:pos="6660"/>
        </w:tabs>
        <w:rPr>
          <w:rFonts w:ascii="Arial" w:hAnsi="Arial"/>
          <w:sz w:val="24"/>
          <w:szCs w:val="24"/>
        </w:rPr>
      </w:pPr>
    </w:p>
    <w:tbl>
      <w:tblPr>
        <w:tblStyle w:val="TableGrid"/>
        <w:tblW w:w="0" w:type="auto"/>
        <w:tblInd w:w="288" w:type="dxa"/>
        <w:tblLook w:val="04A0"/>
      </w:tblPr>
      <w:tblGrid>
        <w:gridCol w:w="4500"/>
        <w:gridCol w:w="4140"/>
      </w:tblGrid>
      <w:tr w:rsidR="00537563" w:rsidTr="00537563">
        <w:tc>
          <w:tcPr>
            <w:tcW w:w="4500" w:type="dxa"/>
          </w:tcPr>
          <w:p w:rsidR="00537563" w:rsidRPr="001371F9" w:rsidRDefault="00537563" w:rsidP="001371F9">
            <w:pPr>
              <w:tabs>
                <w:tab w:val="left" w:pos="900"/>
                <w:tab w:val="left" w:pos="6660"/>
              </w:tabs>
              <w:jc w:val="center"/>
              <w:rPr>
                <w:rFonts w:ascii="Arial" w:hAnsi="Arial"/>
                <w:b/>
                <w:sz w:val="24"/>
                <w:szCs w:val="24"/>
              </w:rPr>
            </w:pPr>
            <w:r w:rsidRPr="001371F9">
              <w:rPr>
                <w:rFonts w:ascii="Arial" w:hAnsi="Arial"/>
                <w:b/>
                <w:sz w:val="24"/>
                <w:szCs w:val="24"/>
              </w:rPr>
              <w:t>For TCCULGP debt with a maturity of</w:t>
            </w:r>
          </w:p>
        </w:tc>
        <w:tc>
          <w:tcPr>
            <w:tcW w:w="4140" w:type="dxa"/>
          </w:tcPr>
          <w:p w:rsidR="00537563" w:rsidRPr="001371F9" w:rsidRDefault="00537563" w:rsidP="001371F9">
            <w:pPr>
              <w:tabs>
                <w:tab w:val="left" w:pos="900"/>
                <w:tab w:val="left" w:pos="6660"/>
              </w:tabs>
              <w:jc w:val="center"/>
              <w:rPr>
                <w:rFonts w:ascii="Arial" w:hAnsi="Arial"/>
                <w:b/>
                <w:sz w:val="24"/>
                <w:szCs w:val="24"/>
              </w:rPr>
            </w:pPr>
            <w:r w:rsidRPr="001371F9">
              <w:rPr>
                <w:rFonts w:ascii="Arial" w:hAnsi="Arial"/>
                <w:b/>
                <w:sz w:val="24"/>
                <w:szCs w:val="24"/>
              </w:rPr>
              <w:t>The assessment rate (in basis points) per an</w:t>
            </w:r>
            <w:r w:rsidR="001371F9" w:rsidRPr="001371F9">
              <w:rPr>
                <w:rFonts w:ascii="Arial" w:hAnsi="Arial"/>
                <w:b/>
                <w:sz w:val="24"/>
                <w:szCs w:val="24"/>
              </w:rPr>
              <w:t>n</w:t>
            </w:r>
            <w:r w:rsidRPr="001371F9">
              <w:rPr>
                <w:rFonts w:ascii="Arial" w:hAnsi="Arial"/>
                <w:b/>
                <w:sz w:val="24"/>
                <w:szCs w:val="24"/>
              </w:rPr>
              <w:t>um</w:t>
            </w:r>
          </w:p>
        </w:tc>
      </w:tr>
      <w:tr w:rsidR="00537563" w:rsidTr="00537563">
        <w:tc>
          <w:tcPr>
            <w:tcW w:w="4500" w:type="dxa"/>
          </w:tcPr>
          <w:p w:rsidR="00537563" w:rsidRDefault="00537563" w:rsidP="001371F9">
            <w:pPr>
              <w:tabs>
                <w:tab w:val="left" w:pos="900"/>
                <w:tab w:val="left" w:pos="6660"/>
              </w:tabs>
              <w:jc w:val="center"/>
              <w:rPr>
                <w:rFonts w:ascii="Arial" w:hAnsi="Arial"/>
                <w:sz w:val="24"/>
                <w:szCs w:val="24"/>
              </w:rPr>
            </w:pPr>
            <w:r>
              <w:rPr>
                <w:rFonts w:ascii="Arial" w:hAnsi="Arial"/>
                <w:sz w:val="24"/>
                <w:szCs w:val="24"/>
              </w:rPr>
              <w:t>2 year or less</w:t>
            </w:r>
          </w:p>
        </w:tc>
        <w:tc>
          <w:tcPr>
            <w:tcW w:w="4140" w:type="dxa"/>
          </w:tcPr>
          <w:p w:rsidR="00537563" w:rsidRDefault="00537563" w:rsidP="001371F9">
            <w:pPr>
              <w:tabs>
                <w:tab w:val="left" w:pos="900"/>
                <w:tab w:val="left" w:pos="6660"/>
              </w:tabs>
              <w:jc w:val="center"/>
              <w:rPr>
                <w:rFonts w:ascii="Arial" w:hAnsi="Arial"/>
                <w:sz w:val="24"/>
                <w:szCs w:val="24"/>
              </w:rPr>
            </w:pPr>
            <w:r>
              <w:rPr>
                <w:rFonts w:ascii="Arial" w:hAnsi="Arial"/>
                <w:sz w:val="24"/>
                <w:szCs w:val="24"/>
              </w:rPr>
              <w:t>10</w:t>
            </w:r>
          </w:p>
        </w:tc>
      </w:tr>
      <w:tr w:rsidR="00537563" w:rsidTr="00537563">
        <w:tc>
          <w:tcPr>
            <w:tcW w:w="4500" w:type="dxa"/>
          </w:tcPr>
          <w:p w:rsidR="00537563" w:rsidRDefault="00537563" w:rsidP="001371F9">
            <w:pPr>
              <w:tabs>
                <w:tab w:val="left" w:pos="900"/>
                <w:tab w:val="left" w:pos="6660"/>
              </w:tabs>
              <w:jc w:val="center"/>
              <w:rPr>
                <w:rFonts w:ascii="Arial" w:hAnsi="Arial"/>
                <w:sz w:val="24"/>
                <w:szCs w:val="24"/>
              </w:rPr>
            </w:pPr>
            <w:r>
              <w:rPr>
                <w:rFonts w:ascii="Arial" w:hAnsi="Arial"/>
                <w:sz w:val="24"/>
                <w:szCs w:val="24"/>
              </w:rPr>
              <w:t>Over 2 year to 3 years</w:t>
            </w:r>
          </w:p>
        </w:tc>
        <w:tc>
          <w:tcPr>
            <w:tcW w:w="4140" w:type="dxa"/>
          </w:tcPr>
          <w:p w:rsidR="00537563" w:rsidRDefault="00537563" w:rsidP="001371F9">
            <w:pPr>
              <w:tabs>
                <w:tab w:val="left" w:pos="900"/>
                <w:tab w:val="left" w:pos="6660"/>
              </w:tabs>
              <w:jc w:val="center"/>
              <w:rPr>
                <w:rFonts w:ascii="Arial" w:hAnsi="Arial"/>
                <w:sz w:val="24"/>
                <w:szCs w:val="24"/>
              </w:rPr>
            </w:pPr>
            <w:r>
              <w:rPr>
                <w:rFonts w:ascii="Arial" w:hAnsi="Arial"/>
                <w:sz w:val="24"/>
                <w:szCs w:val="24"/>
              </w:rPr>
              <w:t>15</w:t>
            </w:r>
          </w:p>
        </w:tc>
      </w:tr>
      <w:tr w:rsidR="00537563" w:rsidTr="00537563">
        <w:tc>
          <w:tcPr>
            <w:tcW w:w="4500" w:type="dxa"/>
          </w:tcPr>
          <w:p w:rsidR="00537563" w:rsidRDefault="00537563" w:rsidP="001371F9">
            <w:pPr>
              <w:tabs>
                <w:tab w:val="left" w:pos="900"/>
                <w:tab w:val="left" w:pos="6660"/>
              </w:tabs>
              <w:jc w:val="center"/>
              <w:rPr>
                <w:rFonts w:ascii="Arial" w:hAnsi="Arial"/>
                <w:sz w:val="24"/>
                <w:szCs w:val="24"/>
              </w:rPr>
            </w:pPr>
            <w:r>
              <w:rPr>
                <w:rFonts w:ascii="Arial" w:hAnsi="Arial"/>
                <w:sz w:val="24"/>
                <w:szCs w:val="24"/>
              </w:rPr>
              <w:t>Over 3 year to 4 years</w:t>
            </w:r>
          </w:p>
        </w:tc>
        <w:tc>
          <w:tcPr>
            <w:tcW w:w="4140" w:type="dxa"/>
          </w:tcPr>
          <w:p w:rsidR="00537563" w:rsidRDefault="001371F9" w:rsidP="001371F9">
            <w:pPr>
              <w:tabs>
                <w:tab w:val="left" w:pos="900"/>
                <w:tab w:val="left" w:pos="6660"/>
              </w:tabs>
              <w:jc w:val="center"/>
              <w:rPr>
                <w:rFonts w:ascii="Arial" w:hAnsi="Arial"/>
                <w:sz w:val="24"/>
                <w:szCs w:val="24"/>
              </w:rPr>
            </w:pPr>
            <w:r>
              <w:rPr>
                <w:rFonts w:ascii="Arial" w:hAnsi="Arial"/>
                <w:sz w:val="24"/>
                <w:szCs w:val="24"/>
              </w:rPr>
              <w:t>20</w:t>
            </w:r>
          </w:p>
        </w:tc>
      </w:tr>
      <w:tr w:rsidR="00537563" w:rsidTr="00537563">
        <w:tc>
          <w:tcPr>
            <w:tcW w:w="4500" w:type="dxa"/>
          </w:tcPr>
          <w:p w:rsidR="00537563" w:rsidRDefault="001371F9" w:rsidP="001371F9">
            <w:pPr>
              <w:tabs>
                <w:tab w:val="left" w:pos="900"/>
                <w:tab w:val="left" w:pos="6660"/>
              </w:tabs>
              <w:jc w:val="center"/>
              <w:rPr>
                <w:rFonts w:ascii="Arial" w:hAnsi="Arial"/>
                <w:sz w:val="24"/>
                <w:szCs w:val="24"/>
              </w:rPr>
            </w:pPr>
            <w:r>
              <w:rPr>
                <w:rFonts w:ascii="Arial" w:hAnsi="Arial"/>
                <w:sz w:val="24"/>
                <w:szCs w:val="24"/>
              </w:rPr>
              <w:t>Over 4 years to 5 years</w:t>
            </w:r>
          </w:p>
        </w:tc>
        <w:tc>
          <w:tcPr>
            <w:tcW w:w="4140" w:type="dxa"/>
          </w:tcPr>
          <w:p w:rsidR="00537563" w:rsidRDefault="001371F9" w:rsidP="001371F9">
            <w:pPr>
              <w:tabs>
                <w:tab w:val="left" w:pos="900"/>
                <w:tab w:val="left" w:pos="6660"/>
              </w:tabs>
              <w:jc w:val="center"/>
              <w:rPr>
                <w:rFonts w:ascii="Arial" w:hAnsi="Arial"/>
                <w:sz w:val="24"/>
                <w:szCs w:val="24"/>
              </w:rPr>
            </w:pPr>
            <w:r>
              <w:rPr>
                <w:rFonts w:ascii="Arial" w:hAnsi="Arial"/>
                <w:sz w:val="24"/>
                <w:szCs w:val="24"/>
              </w:rPr>
              <w:t>25</w:t>
            </w:r>
          </w:p>
        </w:tc>
      </w:tr>
      <w:tr w:rsidR="001371F9" w:rsidTr="00537563">
        <w:tc>
          <w:tcPr>
            <w:tcW w:w="4500" w:type="dxa"/>
          </w:tcPr>
          <w:p w:rsidR="001371F9" w:rsidRDefault="001371F9" w:rsidP="001371F9">
            <w:pPr>
              <w:tabs>
                <w:tab w:val="left" w:pos="900"/>
                <w:tab w:val="left" w:pos="6660"/>
              </w:tabs>
              <w:jc w:val="center"/>
              <w:rPr>
                <w:rFonts w:ascii="Arial" w:hAnsi="Arial"/>
                <w:sz w:val="24"/>
                <w:szCs w:val="24"/>
              </w:rPr>
            </w:pPr>
            <w:r>
              <w:rPr>
                <w:rFonts w:ascii="Arial" w:hAnsi="Arial"/>
                <w:sz w:val="24"/>
                <w:szCs w:val="24"/>
              </w:rPr>
              <w:t>Over 5 year to 6 years</w:t>
            </w:r>
          </w:p>
        </w:tc>
        <w:tc>
          <w:tcPr>
            <w:tcW w:w="4140" w:type="dxa"/>
          </w:tcPr>
          <w:p w:rsidR="001371F9" w:rsidRDefault="001371F9" w:rsidP="001371F9">
            <w:pPr>
              <w:tabs>
                <w:tab w:val="left" w:pos="900"/>
                <w:tab w:val="left" w:pos="6660"/>
              </w:tabs>
              <w:jc w:val="center"/>
              <w:rPr>
                <w:rFonts w:ascii="Arial" w:hAnsi="Arial"/>
                <w:sz w:val="24"/>
                <w:szCs w:val="24"/>
              </w:rPr>
            </w:pPr>
            <w:r>
              <w:rPr>
                <w:rFonts w:ascii="Arial" w:hAnsi="Arial"/>
                <w:sz w:val="24"/>
                <w:szCs w:val="24"/>
              </w:rPr>
              <w:t>30</w:t>
            </w:r>
          </w:p>
        </w:tc>
      </w:tr>
      <w:tr w:rsidR="001371F9" w:rsidTr="00537563">
        <w:tc>
          <w:tcPr>
            <w:tcW w:w="4500" w:type="dxa"/>
          </w:tcPr>
          <w:p w:rsidR="001371F9" w:rsidRDefault="001371F9" w:rsidP="001371F9">
            <w:pPr>
              <w:tabs>
                <w:tab w:val="left" w:pos="900"/>
                <w:tab w:val="left" w:pos="6660"/>
              </w:tabs>
              <w:jc w:val="center"/>
              <w:rPr>
                <w:rFonts w:ascii="Arial" w:hAnsi="Arial"/>
                <w:sz w:val="24"/>
                <w:szCs w:val="24"/>
              </w:rPr>
            </w:pPr>
            <w:r>
              <w:rPr>
                <w:rFonts w:ascii="Arial" w:hAnsi="Arial"/>
                <w:sz w:val="24"/>
                <w:szCs w:val="24"/>
              </w:rPr>
              <w:t>Over 6 years to 7 years</w:t>
            </w:r>
          </w:p>
        </w:tc>
        <w:tc>
          <w:tcPr>
            <w:tcW w:w="4140" w:type="dxa"/>
          </w:tcPr>
          <w:p w:rsidR="001371F9" w:rsidRDefault="001371F9" w:rsidP="001371F9">
            <w:pPr>
              <w:tabs>
                <w:tab w:val="left" w:pos="900"/>
                <w:tab w:val="left" w:pos="6660"/>
              </w:tabs>
              <w:jc w:val="center"/>
              <w:rPr>
                <w:rFonts w:ascii="Arial" w:hAnsi="Arial"/>
                <w:sz w:val="24"/>
                <w:szCs w:val="24"/>
              </w:rPr>
            </w:pPr>
            <w:r>
              <w:rPr>
                <w:rFonts w:ascii="Arial" w:hAnsi="Arial"/>
                <w:sz w:val="24"/>
                <w:szCs w:val="24"/>
              </w:rPr>
              <w:t>35</w:t>
            </w:r>
          </w:p>
        </w:tc>
      </w:tr>
    </w:tbl>
    <w:p w:rsidR="00BB2616" w:rsidRDefault="00BB2616" w:rsidP="00BB2616">
      <w:pPr>
        <w:tabs>
          <w:tab w:val="left" w:pos="900"/>
          <w:tab w:val="left" w:pos="6660"/>
        </w:tabs>
        <w:rPr>
          <w:rFonts w:ascii="Arial" w:hAnsi="Arial" w:cs="Arial"/>
          <w:color w:val="000000"/>
          <w:sz w:val="24"/>
          <w:szCs w:val="24"/>
          <w:u w:val="single"/>
        </w:rPr>
      </w:pPr>
    </w:p>
    <w:p w:rsidR="00537563" w:rsidRPr="00537563" w:rsidRDefault="00537563" w:rsidP="00BB2616">
      <w:pPr>
        <w:tabs>
          <w:tab w:val="left" w:pos="900"/>
          <w:tab w:val="left" w:pos="6660"/>
        </w:tabs>
        <w:rPr>
          <w:rFonts w:ascii="Arial" w:hAnsi="Arial" w:cs="Arial"/>
          <w:color w:val="000000"/>
          <w:sz w:val="24"/>
          <w:szCs w:val="24"/>
        </w:rPr>
      </w:pPr>
      <w:r>
        <w:rPr>
          <w:rFonts w:ascii="Arial" w:hAnsi="Arial" w:cs="Arial"/>
          <w:color w:val="000000"/>
          <w:sz w:val="24"/>
          <w:szCs w:val="24"/>
        </w:rPr>
        <w:t>The revised fee schedule will go into effect on July 1, 2009 on all outstanding TCCULGP.</w:t>
      </w:r>
      <w:r w:rsidR="00827F2E">
        <w:rPr>
          <w:rFonts w:ascii="Arial" w:hAnsi="Arial" w:cs="Arial"/>
          <w:color w:val="000000"/>
          <w:sz w:val="24"/>
          <w:szCs w:val="24"/>
        </w:rPr>
        <w:t xml:space="preserve">  The assessment rate is determined at date of debt issuance and </w:t>
      </w:r>
      <w:r w:rsidR="002967D9">
        <w:rPr>
          <w:rFonts w:ascii="Arial" w:hAnsi="Arial" w:cs="Arial"/>
          <w:color w:val="000000"/>
          <w:sz w:val="24"/>
          <w:szCs w:val="24"/>
        </w:rPr>
        <w:t>remains constant</w:t>
      </w:r>
      <w:r w:rsidR="00827F2E">
        <w:rPr>
          <w:rFonts w:ascii="Arial" w:hAnsi="Arial" w:cs="Arial"/>
          <w:color w:val="000000"/>
          <w:sz w:val="24"/>
          <w:szCs w:val="24"/>
        </w:rPr>
        <w:t xml:space="preserve"> throughout the life of the obli</w:t>
      </w:r>
      <w:r w:rsidR="00A50285">
        <w:rPr>
          <w:rFonts w:ascii="Arial" w:hAnsi="Arial" w:cs="Arial"/>
          <w:color w:val="000000"/>
          <w:sz w:val="24"/>
          <w:szCs w:val="24"/>
        </w:rPr>
        <w:t>gation. The NCUSIF assesses TCC</w:t>
      </w:r>
      <w:r w:rsidR="00827F2E">
        <w:rPr>
          <w:rFonts w:ascii="Arial" w:hAnsi="Arial" w:cs="Arial"/>
          <w:color w:val="000000"/>
          <w:sz w:val="24"/>
          <w:szCs w:val="24"/>
        </w:rPr>
        <w:t xml:space="preserve">ULGP fees on a monthly basis.  </w:t>
      </w:r>
    </w:p>
    <w:p w:rsidR="00537563" w:rsidRDefault="00537563" w:rsidP="00BB2616">
      <w:pPr>
        <w:tabs>
          <w:tab w:val="left" w:pos="900"/>
          <w:tab w:val="left" w:pos="6660"/>
        </w:tabs>
        <w:rPr>
          <w:rFonts w:ascii="Arial" w:hAnsi="Arial" w:cs="Arial"/>
          <w:color w:val="000000"/>
          <w:sz w:val="24"/>
          <w:szCs w:val="24"/>
          <w:u w:val="single"/>
        </w:rPr>
      </w:pPr>
    </w:p>
    <w:p w:rsidR="006C30F8" w:rsidRPr="006C30F8" w:rsidRDefault="006C30F8" w:rsidP="00BB2616">
      <w:pPr>
        <w:tabs>
          <w:tab w:val="left" w:pos="900"/>
          <w:tab w:val="left" w:pos="6660"/>
        </w:tabs>
        <w:rPr>
          <w:rFonts w:ascii="Arial" w:hAnsi="Arial" w:cs="Arial"/>
          <w:color w:val="000000"/>
          <w:sz w:val="24"/>
          <w:szCs w:val="24"/>
        </w:rPr>
      </w:pPr>
      <w:r w:rsidRPr="006C30F8">
        <w:rPr>
          <w:rFonts w:ascii="Arial" w:hAnsi="Arial" w:cs="Arial"/>
          <w:color w:val="000000"/>
          <w:sz w:val="24"/>
          <w:szCs w:val="24"/>
        </w:rPr>
        <w:t>4.</w:t>
      </w:r>
      <w:r>
        <w:rPr>
          <w:rFonts w:ascii="Arial" w:hAnsi="Arial" w:cs="Arial"/>
          <w:color w:val="000000"/>
          <w:sz w:val="24"/>
          <w:szCs w:val="24"/>
        </w:rPr>
        <w:t xml:space="preserve">  </w:t>
      </w:r>
      <w:r w:rsidRPr="006C30F8">
        <w:rPr>
          <w:rFonts w:ascii="Arial" w:hAnsi="Arial" w:cs="Arial"/>
          <w:i/>
          <w:color w:val="000000"/>
          <w:sz w:val="24"/>
          <w:szCs w:val="24"/>
        </w:rPr>
        <w:t>Payments by NCUSIF on TCCULGP debt</w:t>
      </w:r>
      <w:r>
        <w:rPr>
          <w:rFonts w:ascii="Arial" w:hAnsi="Arial" w:cs="Arial"/>
          <w:color w:val="000000"/>
          <w:sz w:val="24"/>
          <w:szCs w:val="24"/>
        </w:rPr>
        <w:t xml:space="preserve">.  The NCUSIF’s obligation to pay holders of NCUSIF-guaranteed debt under the TCCULGP will arise upon the uncured failure of a timely payment of principal or interest as required under the debt instrument (a “payment default”).  </w:t>
      </w:r>
    </w:p>
    <w:p w:rsidR="006C30F8" w:rsidRDefault="006C30F8" w:rsidP="00BB2616">
      <w:pPr>
        <w:tabs>
          <w:tab w:val="left" w:pos="900"/>
          <w:tab w:val="left" w:pos="6660"/>
        </w:tabs>
        <w:rPr>
          <w:rFonts w:ascii="Arial" w:hAnsi="Arial" w:cs="Arial"/>
          <w:color w:val="000000"/>
          <w:sz w:val="24"/>
          <w:szCs w:val="24"/>
          <w:u w:val="single"/>
        </w:rPr>
      </w:pPr>
    </w:p>
    <w:p w:rsidR="006C30F8" w:rsidRDefault="006C30F8" w:rsidP="006C30F8">
      <w:pPr>
        <w:rPr>
          <w:rFonts w:ascii="Arial" w:hAnsi="Arial" w:cs="Arial"/>
          <w:sz w:val="24"/>
          <w:szCs w:val="24"/>
        </w:rPr>
      </w:pPr>
      <w:r w:rsidRPr="006C30F8">
        <w:rPr>
          <w:rFonts w:ascii="Arial" w:hAnsi="Arial" w:cs="Arial"/>
          <w:sz w:val="24"/>
          <w:szCs w:val="24"/>
        </w:rPr>
        <w:t xml:space="preserve">Upon the occurrence of a payment default, the NCUSIF will satisfy its guarantee obligation by making scheduled payments of principal and interest pursuant to the terms of the debt instrument through maturity (without regard to default or penalty provisions). </w:t>
      </w:r>
    </w:p>
    <w:p w:rsidR="006C30F8" w:rsidRPr="006C30F8" w:rsidRDefault="006C30F8" w:rsidP="006C30F8">
      <w:pPr>
        <w:rPr>
          <w:rFonts w:ascii="Arial" w:hAnsi="Arial" w:cs="Arial"/>
          <w:sz w:val="24"/>
          <w:szCs w:val="24"/>
        </w:rPr>
      </w:pPr>
    </w:p>
    <w:p w:rsidR="006C30F8" w:rsidRDefault="006C30F8" w:rsidP="006C30F8">
      <w:pPr>
        <w:rPr>
          <w:rFonts w:ascii="Arial" w:hAnsi="Arial" w:cs="Arial"/>
          <w:sz w:val="24"/>
          <w:szCs w:val="24"/>
        </w:rPr>
      </w:pPr>
      <w:r w:rsidRPr="006C30F8">
        <w:rPr>
          <w:rFonts w:ascii="Arial" w:hAnsi="Arial" w:cs="Arial"/>
          <w:sz w:val="24"/>
          <w:szCs w:val="24"/>
        </w:rPr>
        <w:t>Individual debt-holders, or their authorized representatives, may make demand for payment of the guaranteed amount upon the NCUSIF.  To be considered for payment, such demand must be accompanied by a proof of claim, which must include evidence in form and content satisfactory to the NCUSIF of</w:t>
      </w:r>
      <w:r w:rsidR="0089008C">
        <w:rPr>
          <w:rFonts w:ascii="Arial" w:hAnsi="Arial" w:cs="Arial"/>
          <w:sz w:val="24"/>
          <w:szCs w:val="24"/>
        </w:rPr>
        <w:t xml:space="preserve"> </w:t>
      </w:r>
      <w:r w:rsidRPr="006C30F8">
        <w:rPr>
          <w:rFonts w:ascii="Arial" w:hAnsi="Arial" w:cs="Arial"/>
          <w:sz w:val="24"/>
          <w:szCs w:val="24"/>
        </w:rPr>
        <w:t xml:space="preserve">the occurrence of a payment default and the claimant’s ownership of the NCUSIF-guaranteed debt obligation.  The demand must also be accompanied by an assignment to the NCUSIF, in form and content satisfactory to the NCUSIF, of the debt-holder’s rights, title, and interest in the NCUSIF-guaranteed debt and the transfer to the NCUSIF of the debt-holder’s claim in any insolvency proceeding. This assignment must include the right of the NCUSIF to receive any and all distributions on the debt </w:t>
      </w:r>
      <w:r w:rsidR="00C83A16">
        <w:rPr>
          <w:rFonts w:ascii="Arial" w:hAnsi="Arial" w:cs="Arial"/>
          <w:sz w:val="24"/>
          <w:szCs w:val="24"/>
        </w:rPr>
        <w:t>from the proceeds of the corporate credit union’s</w:t>
      </w:r>
      <w:r w:rsidRPr="006C30F8">
        <w:rPr>
          <w:rFonts w:ascii="Arial" w:hAnsi="Arial" w:cs="Arial"/>
          <w:sz w:val="24"/>
          <w:szCs w:val="24"/>
        </w:rPr>
        <w:t xml:space="preserve"> liquidation estate.  If any holder of the NCUSIF-guaranteed debt has received any distribution from the estate prior to the NCUSIF’s payment under the guarantee, the guaranteed amount paid by the NCUSIF will be reduced by the amount the holder has received in the </w:t>
      </w:r>
      <w:r w:rsidRPr="006C30F8">
        <w:rPr>
          <w:rFonts w:ascii="Arial" w:hAnsi="Arial" w:cs="Arial"/>
          <w:sz w:val="24"/>
          <w:szCs w:val="24"/>
        </w:rPr>
        <w:lastRenderedPageBreak/>
        <w:t>distribution. All such demands must be made within 90 days of the occurrence of the payment default upon which the demand is based.  Upon receipt of a conforming proof of claim, if timely filed, the NCUSIF will make a payment of the amount guaranteed.</w:t>
      </w:r>
    </w:p>
    <w:p w:rsidR="006C30F8" w:rsidRPr="006C30F8" w:rsidRDefault="006C30F8" w:rsidP="006C30F8">
      <w:pPr>
        <w:rPr>
          <w:rFonts w:ascii="Arial" w:hAnsi="Arial" w:cs="Arial"/>
          <w:sz w:val="24"/>
          <w:szCs w:val="24"/>
        </w:rPr>
      </w:pPr>
    </w:p>
    <w:p w:rsidR="006C30F8" w:rsidRDefault="006C30F8" w:rsidP="006C30F8">
      <w:pPr>
        <w:tabs>
          <w:tab w:val="left" w:pos="1080"/>
        </w:tabs>
        <w:rPr>
          <w:rFonts w:ascii="Arial" w:hAnsi="Arial" w:cs="Arial"/>
          <w:sz w:val="24"/>
          <w:szCs w:val="24"/>
        </w:rPr>
      </w:pPr>
      <w:r w:rsidRPr="006C30F8">
        <w:rPr>
          <w:rFonts w:ascii="Arial" w:hAnsi="Arial" w:cs="Arial"/>
          <w:sz w:val="24"/>
          <w:szCs w:val="24"/>
        </w:rPr>
        <w:t>Any demand under this subsection must be made in writing and directed to the Executive Director, National Credit Union Administration, Alexandria, Virginia.  The demand must include all supporting evidence as set forth in the previous subsections and must certify to the accuracy of the claim.</w:t>
      </w:r>
      <w:r>
        <w:rPr>
          <w:rFonts w:ascii="Arial" w:hAnsi="Arial" w:cs="Arial"/>
          <w:sz w:val="24"/>
          <w:szCs w:val="24"/>
        </w:rPr>
        <w:t xml:space="preserve"> </w:t>
      </w:r>
      <w:r w:rsidRPr="006C30F8">
        <w:rPr>
          <w:rFonts w:ascii="Arial" w:hAnsi="Arial" w:cs="Arial"/>
          <w:sz w:val="24"/>
          <w:szCs w:val="24"/>
        </w:rPr>
        <w:t xml:space="preserve"> Failure of the holder of the NCUSIF-guaranteed debt to make demand for payment within ninety (90) days of the occurrence of payment default will deprive the holder of the NCUSIF-guaranteed debt of all further rights and remedies with respect to the guarantee claim.</w:t>
      </w:r>
    </w:p>
    <w:p w:rsidR="006C30F8" w:rsidRPr="006C30F8" w:rsidRDefault="006C30F8" w:rsidP="006C30F8">
      <w:pPr>
        <w:tabs>
          <w:tab w:val="left" w:pos="1080"/>
        </w:tabs>
        <w:rPr>
          <w:rFonts w:ascii="Arial" w:hAnsi="Arial" w:cs="Arial"/>
          <w:sz w:val="24"/>
          <w:szCs w:val="24"/>
        </w:rPr>
      </w:pPr>
    </w:p>
    <w:p w:rsidR="006C30F8" w:rsidRDefault="006C30F8" w:rsidP="00C83A16">
      <w:pPr>
        <w:rPr>
          <w:rFonts w:ascii="Arial" w:hAnsi="Arial" w:cs="Arial"/>
          <w:sz w:val="24"/>
          <w:szCs w:val="24"/>
        </w:rPr>
      </w:pPr>
      <w:r w:rsidRPr="006C30F8">
        <w:rPr>
          <w:rFonts w:ascii="Arial" w:hAnsi="Arial" w:cs="Arial"/>
          <w:sz w:val="24"/>
          <w:szCs w:val="24"/>
        </w:rPr>
        <w:t xml:space="preserve">Upon any NCUSIF payment made under this section, the NCUSIF will be subrogated to the rights of any debt-holder against the </w:t>
      </w:r>
      <w:r w:rsidR="00C83A16">
        <w:rPr>
          <w:rFonts w:ascii="Arial" w:hAnsi="Arial" w:cs="Arial"/>
          <w:sz w:val="24"/>
          <w:szCs w:val="24"/>
        </w:rPr>
        <w:t>corporate credit union</w:t>
      </w:r>
      <w:r w:rsidRPr="006C30F8">
        <w:rPr>
          <w:rFonts w:ascii="Arial" w:hAnsi="Arial" w:cs="Arial"/>
          <w:sz w:val="24"/>
          <w:szCs w:val="24"/>
        </w:rPr>
        <w:t>, including in respect of any insolvency proceeding, to the extent of the payments made.</w:t>
      </w:r>
      <w:r w:rsidR="003E5905">
        <w:rPr>
          <w:rFonts w:ascii="Arial" w:hAnsi="Arial" w:cs="Arial"/>
          <w:sz w:val="24"/>
          <w:szCs w:val="24"/>
        </w:rPr>
        <w:t xml:space="preserve">  The payout priority for the NCUSIF will be as described in 12 C.F.R. §709.5(b)(4).</w:t>
      </w:r>
    </w:p>
    <w:p w:rsidR="00C83A16" w:rsidRPr="006C30F8" w:rsidRDefault="00C83A16" w:rsidP="00C83A16">
      <w:pPr>
        <w:rPr>
          <w:rFonts w:ascii="Arial" w:hAnsi="Arial" w:cs="Arial"/>
          <w:sz w:val="24"/>
          <w:szCs w:val="24"/>
        </w:rPr>
      </w:pPr>
    </w:p>
    <w:p w:rsidR="006C30F8" w:rsidRDefault="006C30F8" w:rsidP="00C83A16">
      <w:pPr>
        <w:rPr>
          <w:rFonts w:ascii="Arial" w:hAnsi="Arial" w:cs="Arial"/>
          <w:sz w:val="24"/>
          <w:szCs w:val="24"/>
        </w:rPr>
      </w:pPr>
      <w:r w:rsidRPr="006C30F8">
        <w:rPr>
          <w:rFonts w:ascii="Arial" w:hAnsi="Arial" w:cs="Arial"/>
          <w:sz w:val="24"/>
          <w:szCs w:val="24"/>
        </w:rPr>
        <w:t xml:space="preserve">Payment by NCUSIF under this section will constitute, to the extent of payments made, satisfaction of all NCUSIF obligations under the debt guarantee program with respect to that debt-holder or holders. Acceptance of any such payments will constitute a release of any liability of the NCUSIF under the debt guarantee program with respect to those payments. </w:t>
      </w:r>
      <w:r w:rsidR="00C83A16">
        <w:rPr>
          <w:rFonts w:ascii="Arial" w:hAnsi="Arial" w:cs="Arial"/>
          <w:sz w:val="24"/>
          <w:szCs w:val="24"/>
        </w:rPr>
        <w:t xml:space="preserve"> The corporate credit union</w:t>
      </w:r>
      <w:r w:rsidRPr="006C30F8">
        <w:rPr>
          <w:rFonts w:ascii="Arial" w:hAnsi="Arial" w:cs="Arial"/>
          <w:sz w:val="24"/>
          <w:szCs w:val="24"/>
        </w:rPr>
        <w:t xml:space="preserve"> agrees and acknowledges that it will be indebted to the NCUSIF for any payments made under these provisions (including amounts paid to another party in return for its assumption of a guaranteed debt issuance) and </w:t>
      </w:r>
      <w:r w:rsidR="00C83A16">
        <w:rPr>
          <w:rFonts w:ascii="Arial" w:hAnsi="Arial" w:cs="Arial"/>
          <w:sz w:val="24"/>
          <w:szCs w:val="24"/>
        </w:rPr>
        <w:t>the corporate credit union</w:t>
      </w:r>
      <w:r w:rsidRPr="006C30F8">
        <w:rPr>
          <w:rFonts w:ascii="Arial" w:hAnsi="Arial" w:cs="Arial"/>
          <w:sz w:val="24"/>
          <w:szCs w:val="24"/>
        </w:rPr>
        <w:t xml:space="preserve"> will honor immediately a demand by the NCUSIF for reimbursement therefore. </w:t>
      </w:r>
    </w:p>
    <w:p w:rsidR="00C83A16" w:rsidRPr="006C30F8" w:rsidRDefault="00C83A16" w:rsidP="00C83A16">
      <w:pPr>
        <w:rPr>
          <w:rFonts w:ascii="Arial" w:hAnsi="Arial" w:cs="Arial"/>
          <w:sz w:val="24"/>
          <w:szCs w:val="24"/>
        </w:rPr>
      </w:pPr>
    </w:p>
    <w:p w:rsidR="006C30F8" w:rsidRPr="006C30F8" w:rsidRDefault="006C30F8" w:rsidP="00C83A16">
      <w:pPr>
        <w:rPr>
          <w:rFonts w:ascii="Arial" w:hAnsi="Arial" w:cs="Arial"/>
        </w:rPr>
      </w:pPr>
      <w:r w:rsidRPr="006C30F8">
        <w:rPr>
          <w:rFonts w:ascii="Arial" w:hAnsi="Arial" w:cs="Arial"/>
          <w:sz w:val="24"/>
          <w:szCs w:val="24"/>
        </w:rPr>
        <w:t xml:space="preserve">The NCUSIF’s determination under this paragraph will be a final administrative determination subject only to judicial review. The holder of  NCUSIF-guaranteed debt will have the right to seek judicial review of the NCUSIF’s final determination in the district court of the United States </w:t>
      </w:r>
      <w:r w:rsidR="00C83A16">
        <w:rPr>
          <w:rFonts w:ascii="Arial" w:hAnsi="Arial" w:cs="Arial"/>
          <w:sz w:val="24"/>
          <w:szCs w:val="24"/>
        </w:rPr>
        <w:t>where the corporate credit union’s</w:t>
      </w:r>
      <w:r w:rsidRPr="006C30F8">
        <w:rPr>
          <w:rFonts w:ascii="Arial" w:hAnsi="Arial" w:cs="Arial"/>
          <w:sz w:val="24"/>
          <w:szCs w:val="24"/>
        </w:rPr>
        <w:t xml:space="preserve"> principal place of business is located or in the United States District Court for the District of Columbia. Failure of the holder of the NCUSIF-guaranteed debt to seek such judicial review within sixty (60) days of the date of the rendering of the final determination will deprive the holder of the NCUSIF-guaranteed debt of all further rights and remedies with respect to the guarantee claim.</w:t>
      </w:r>
      <w:r w:rsidRPr="006C30F8">
        <w:rPr>
          <w:rFonts w:ascii="Arial" w:hAnsi="Arial" w:cs="Arial"/>
        </w:rPr>
        <w:t xml:space="preserve"> </w:t>
      </w:r>
    </w:p>
    <w:p w:rsidR="006C30F8" w:rsidRPr="00A50285" w:rsidRDefault="006C30F8" w:rsidP="00BB2616">
      <w:pPr>
        <w:tabs>
          <w:tab w:val="left" w:pos="900"/>
          <w:tab w:val="left" w:pos="6660"/>
        </w:tabs>
        <w:rPr>
          <w:rFonts w:ascii="Arial" w:hAnsi="Arial" w:cs="Arial"/>
          <w:color w:val="000000"/>
          <w:sz w:val="24"/>
          <w:szCs w:val="24"/>
          <w:u w:val="single"/>
        </w:rPr>
      </w:pPr>
    </w:p>
    <w:p w:rsidR="00C83A16" w:rsidRPr="00A50285" w:rsidRDefault="00C83A16" w:rsidP="006D77F9">
      <w:pPr>
        <w:widowControl w:val="0"/>
        <w:tabs>
          <w:tab w:val="left" w:pos="0"/>
          <w:tab w:val="left" w:pos="90"/>
          <w:tab w:val="left" w:pos="1080"/>
          <w:tab w:val="left" w:pos="1800"/>
          <w:tab w:val="left" w:pos="2160"/>
        </w:tabs>
        <w:rPr>
          <w:rFonts w:ascii="Arial" w:hAnsi="Arial" w:cs="Arial"/>
          <w:sz w:val="24"/>
          <w:szCs w:val="24"/>
        </w:rPr>
      </w:pPr>
      <w:r w:rsidRPr="00A50285">
        <w:rPr>
          <w:rFonts w:ascii="Arial" w:hAnsi="Arial" w:cs="Arial"/>
          <w:sz w:val="24"/>
          <w:szCs w:val="24"/>
        </w:rPr>
        <w:t>The NCUA Board may terminate a corporate credit union’s participation in the TCCU</w:t>
      </w:r>
      <w:r w:rsidR="00A50285" w:rsidRPr="00A50285">
        <w:rPr>
          <w:rFonts w:ascii="Arial" w:hAnsi="Arial" w:cs="Arial"/>
          <w:sz w:val="24"/>
          <w:szCs w:val="24"/>
        </w:rPr>
        <w:t>L</w:t>
      </w:r>
      <w:r w:rsidRPr="00A50285">
        <w:rPr>
          <w:rFonts w:ascii="Arial" w:hAnsi="Arial" w:cs="Arial"/>
          <w:sz w:val="24"/>
          <w:szCs w:val="24"/>
        </w:rPr>
        <w:t>GP at any time and at the Board’s discretion. Termination will be by written notice issued to the corporate credit union and published on NCUA’s website</w:t>
      </w:r>
      <w:r w:rsidR="00A50285" w:rsidRPr="00A50285">
        <w:rPr>
          <w:rFonts w:ascii="Arial" w:hAnsi="Arial" w:cs="Arial"/>
          <w:sz w:val="24"/>
          <w:szCs w:val="24"/>
        </w:rPr>
        <w:t xml:space="preserve">.  The NCUSIF guarantee will continue, until the debt is fully repaid, on any of </w:t>
      </w:r>
      <w:r w:rsidR="00A50285">
        <w:rPr>
          <w:rFonts w:ascii="Arial" w:hAnsi="Arial" w:cs="Arial"/>
          <w:sz w:val="24"/>
          <w:szCs w:val="24"/>
        </w:rPr>
        <w:t xml:space="preserve">the </w:t>
      </w:r>
      <w:r w:rsidR="00A50285" w:rsidRPr="00A50285">
        <w:rPr>
          <w:rFonts w:ascii="Arial" w:hAnsi="Arial" w:cs="Arial"/>
          <w:sz w:val="24"/>
          <w:szCs w:val="24"/>
        </w:rPr>
        <w:t xml:space="preserve">corporate credit union’s debt issued </w:t>
      </w:r>
      <w:r w:rsidR="006541E0">
        <w:rPr>
          <w:rFonts w:ascii="Arial" w:hAnsi="Arial" w:cs="Arial"/>
          <w:sz w:val="24"/>
          <w:szCs w:val="24"/>
        </w:rPr>
        <w:t>and</w:t>
      </w:r>
      <w:r w:rsidR="00A50285">
        <w:rPr>
          <w:rFonts w:ascii="Arial" w:hAnsi="Arial" w:cs="Arial"/>
          <w:sz w:val="24"/>
          <w:szCs w:val="24"/>
        </w:rPr>
        <w:t xml:space="preserve"> </w:t>
      </w:r>
      <w:r w:rsidR="00A50285" w:rsidRPr="00A50285">
        <w:rPr>
          <w:rFonts w:ascii="Arial" w:hAnsi="Arial" w:cs="Arial"/>
          <w:sz w:val="24"/>
          <w:szCs w:val="24"/>
        </w:rPr>
        <w:t xml:space="preserve">guaranteed </w:t>
      </w:r>
      <w:r w:rsidR="006541E0">
        <w:rPr>
          <w:rFonts w:ascii="Arial" w:hAnsi="Arial" w:cs="Arial"/>
          <w:sz w:val="24"/>
          <w:szCs w:val="24"/>
        </w:rPr>
        <w:t>under the TCCULGP</w:t>
      </w:r>
      <w:r w:rsidR="00A50285" w:rsidRPr="00A50285">
        <w:rPr>
          <w:rFonts w:ascii="Arial" w:hAnsi="Arial" w:cs="Arial"/>
          <w:sz w:val="24"/>
          <w:szCs w:val="24"/>
        </w:rPr>
        <w:t xml:space="preserve"> before </w:t>
      </w:r>
      <w:r w:rsidR="00A50285">
        <w:rPr>
          <w:rFonts w:ascii="Arial" w:hAnsi="Arial" w:cs="Arial"/>
          <w:sz w:val="24"/>
          <w:szCs w:val="24"/>
        </w:rPr>
        <w:t>publication of</w:t>
      </w:r>
      <w:r w:rsidR="00A50285" w:rsidRPr="00A50285">
        <w:rPr>
          <w:rFonts w:ascii="Arial" w:hAnsi="Arial" w:cs="Arial"/>
          <w:sz w:val="24"/>
          <w:szCs w:val="24"/>
        </w:rPr>
        <w:t xml:space="preserve"> the notice of termination on NCUA’s website.</w:t>
      </w:r>
      <w:r w:rsidR="00E50476">
        <w:rPr>
          <w:rFonts w:ascii="Arial" w:hAnsi="Arial" w:cs="Arial"/>
          <w:sz w:val="24"/>
          <w:szCs w:val="24"/>
        </w:rPr>
        <w:t xml:space="preserve">  </w:t>
      </w:r>
      <w:r w:rsidRPr="00A50285">
        <w:rPr>
          <w:rFonts w:ascii="Arial" w:hAnsi="Arial" w:cs="Arial"/>
          <w:sz w:val="24"/>
          <w:szCs w:val="24"/>
        </w:rPr>
        <w:t>A participating corporate credit union may not terminate its par</w:t>
      </w:r>
      <w:r w:rsidR="006D77F9" w:rsidRPr="00A50285">
        <w:rPr>
          <w:rFonts w:ascii="Arial" w:hAnsi="Arial" w:cs="Arial"/>
          <w:sz w:val="24"/>
          <w:szCs w:val="24"/>
        </w:rPr>
        <w:t>ticipation in the TCCU</w:t>
      </w:r>
      <w:r w:rsidR="00A50285" w:rsidRPr="00A50285">
        <w:rPr>
          <w:rFonts w:ascii="Arial" w:hAnsi="Arial" w:cs="Arial"/>
          <w:sz w:val="24"/>
          <w:szCs w:val="24"/>
        </w:rPr>
        <w:t>L</w:t>
      </w:r>
      <w:r w:rsidR="006D77F9" w:rsidRPr="00A50285">
        <w:rPr>
          <w:rFonts w:ascii="Arial" w:hAnsi="Arial" w:cs="Arial"/>
          <w:sz w:val="24"/>
          <w:szCs w:val="24"/>
        </w:rPr>
        <w:t>GP.</w:t>
      </w:r>
    </w:p>
    <w:p w:rsidR="006D77F9" w:rsidRDefault="006D77F9" w:rsidP="0080217D">
      <w:pPr>
        <w:tabs>
          <w:tab w:val="left" w:pos="900"/>
          <w:tab w:val="left" w:pos="6660"/>
        </w:tabs>
        <w:rPr>
          <w:rFonts w:ascii="Arial" w:hAnsi="Arial"/>
          <w:sz w:val="24"/>
        </w:rPr>
      </w:pPr>
    </w:p>
    <w:p w:rsidR="004E0772" w:rsidRDefault="004E0772" w:rsidP="0080217D">
      <w:pPr>
        <w:tabs>
          <w:tab w:val="left" w:pos="900"/>
          <w:tab w:val="left" w:pos="6660"/>
        </w:tabs>
        <w:rPr>
          <w:rFonts w:ascii="Arial" w:hAnsi="Arial"/>
          <w:sz w:val="24"/>
        </w:rPr>
      </w:pPr>
    </w:p>
    <w:p w:rsidR="00CF5235" w:rsidRDefault="00CF5235" w:rsidP="0080217D">
      <w:pPr>
        <w:tabs>
          <w:tab w:val="left" w:pos="900"/>
          <w:tab w:val="left" w:pos="6660"/>
        </w:tabs>
        <w:rPr>
          <w:rFonts w:ascii="Arial" w:hAnsi="Arial"/>
          <w:sz w:val="24"/>
        </w:rPr>
      </w:pPr>
    </w:p>
    <w:p w:rsidR="0080217D" w:rsidRPr="00BB2616" w:rsidRDefault="00BB2616" w:rsidP="0080217D">
      <w:pPr>
        <w:tabs>
          <w:tab w:val="left" w:pos="900"/>
          <w:tab w:val="left" w:pos="6660"/>
        </w:tabs>
        <w:rPr>
          <w:rFonts w:ascii="Arial" w:hAnsi="Arial"/>
          <w:b/>
          <w:sz w:val="24"/>
        </w:rPr>
      </w:pPr>
      <w:r w:rsidRPr="00BB2616">
        <w:rPr>
          <w:rFonts w:ascii="Arial" w:hAnsi="Arial"/>
          <w:b/>
          <w:sz w:val="24"/>
        </w:rPr>
        <w:lastRenderedPageBreak/>
        <w:t xml:space="preserve">C.  </w:t>
      </w:r>
      <w:r w:rsidR="0080217D" w:rsidRPr="00BB2616">
        <w:rPr>
          <w:rFonts w:ascii="Arial" w:hAnsi="Arial"/>
          <w:b/>
          <w:sz w:val="24"/>
        </w:rPr>
        <w:t>Authority</w:t>
      </w:r>
    </w:p>
    <w:p w:rsidR="0080217D" w:rsidRPr="00795EDF" w:rsidRDefault="0080217D" w:rsidP="00795EDF">
      <w:pPr>
        <w:tabs>
          <w:tab w:val="left" w:pos="900"/>
          <w:tab w:val="left" w:pos="6660"/>
        </w:tabs>
        <w:rPr>
          <w:rFonts w:ascii="Arial" w:hAnsi="Arial"/>
          <w:sz w:val="24"/>
          <w:szCs w:val="24"/>
        </w:rPr>
      </w:pPr>
    </w:p>
    <w:p w:rsidR="00795EDF" w:rsidRPr="00795EDF" w:rsidRDefault="00795EDF" w:rsidP="00795EDF">
      <w:pPr>
        <w:rPr>
          <w:rFonts w:ascii="Arial" w:hAnsi="Arial" w:cs="Arial"/>
          <w:sz w:val="24"/>
          <w:szCs w:val="24"/>
        </w:rPr>
      </w:pPr>
      <w:r w:rsidRPr="00795EDF">
        <w:rPr>
          <w:rFonts w:ascii="Arial" w:hAnsi="Arial" w:cs="Arial"/>
          <w:sz w:val="24"/>
          <w:szCs w:val="24"/>
        </w:rPr>
        <w:t xml:space="preserve">The legal authority for the TCCULGP is located at 12 U.S.C. 1766(a), 1766(i)(2), 1783(a), 1788(a)(1), and 1789(a)(7).  The NCUA, which administers the NCUSIF, is an independent agency in the executive branch of the United States Government, and the NCUA has authorized the NCUSIF to issue the guarantees described in the TCCULGP.   Accordingly, these TCCULGP guarantees represent obligations of the United States government and are backed by its full faith and credit.   For a legal analysis by the U.S. Department of Justice demonstrating this full faith and credit, see </w:t>
      </w:r>
      <w:r w:rsidRPr="00795EDF">
        <w:rPr>
          <w:rFonts w:ascii="Arial" w:hAnsi="Arial" w:cs="Arial"/>
          <w:i/>
          <w:iCs/>
          <w:sz w:val="24"/>
          <w:szCs w:val="24"/>
        </w:rPr>
        <w:t>Debt Obligations of the National Credit Union Administration</w:t>
      </w:r>
      <w:r w:rsidRPr="00795EDF">
        <w:rPr>
          <w:rFonts w:ascii="Arial" w:hAnsi="Arial" w:cs="Arial"/>
          <w:sz w:val="24"/>
          <w:szCs w:val="24"/>
        </w:rPr>
        <w:t xml:space="preserve">,  6 Op. Off. Legal Counsel 262 (1982). </w:t>
      </w:r>
    </w:p>
    <w:p w:rsidR="00C83A16" w:rsidRDefault="00C83A16" w:rsidP="0080217D">
      <w:pPr>
        <w:tabs>
          <w:tab w:val="left" w:pos="900"/>
          <w:tab w:val="left" w:pos="6660"/>
        </w:tabs>
        <w:rPr>
          <w:rFonts w:ascii="Arial" w:hAnsi="Arial" w:cs="Arial"/>
          <w:iCs/>
          <w:sz w:val="24"/>
          <w:szCs w:val="24"/>
        </w:rPr>
      </w:pPr>
    </w:p>
    <w:p w:rsidR="00C83A16" w:rsidRPr="005C000A" w:rsidRDefault="00C83A16" w:rsidP="0080217D">
      <w:pPr>
        <w:tabs>
          <w:tab w:val="left" w:pos="900"/>
          <w:tab w:val="left" w:pos="6660"/>
        </w:tabs>
        <w:rPr>
          <w:rFonts w:ascii="Arial" w:hAnsi="Arial" w:cs="Arial"/>
          <w:iCs/>
          <w:sz w:val="24"/>
          <w:szCs w:val="24"/>
        </w:rPr>
      </w:pPr>
    </w:p>
    <w:p w:rsidR="00C83A16" w:rsidRDefault="00C83A16" w:rsidP="00C83A16">
      <w:pPr>
        <w:widowControl w:val="0"/>
        <w:tabs>
          <w:tab w:val="left" w:pos="0"/>
          <w:tab w:val="left" w:pos="990"/>
          <w:tab w:val="left" w:pos="1800"/>
          <w:tab w:val="left" w:pos="2160"/>
        </w:tabs>
        <w:spacing w:after="240"/>
        <w:rPr>
          <w:rFonts w:ascii="Arial" w:hAnsi="Arial" w:cs="Arial"/>
          <w:sz w:val="24"/>
          <w:szCs w:val="24"/>
        </w:rPr>
      </w:pPr>
      <w:r>
        <w:rPr>
          <w:rFonts w:ascii="Arial" w:hAnsi="Arial" w:cs="Arial"/>
          <w:b/>
          <w:sz w:val="24"/>
          <w:szCs w:val="24"/>
        </w:rPr>
        <w:t xml:space="preserve">D.  </w:t>
      </w:r>
      <w:r w:rsidRPr="002F3AB1">
        <w:rPr>
          <w:rFonts w:ascii="Arial" w:hAnsi="Arial" w:cs="Arial"/>
          <w:b/>
          <w:sz w:val="24"/>
          <w:szCs w:val="24"/>
        </w:rPr>
        <w:t>Additional Information</w:t>
      </w:r>
      <w:r>
        <w:rPr>
          <w:rFonts w:ascii="Arial" w:hAnsi="Arial" w:cs="Arial"/>
          <w:sz w:val="24"/>
          <w:szCs w:val="24"/>
        </w:rPr>
        <w:t xml:space="preserve">.   </w:t>
      </w:r>
    </w:p>
    <w:p w:rsidR="00C83A16" w:rsidRDefault="00C83A16" w:rsidP="00C83A16">
      <w:pPr>
        <w:widowControl w:val="0"/>
        <w:tabs>
          <w:tab w:val="left" w:pos="0"/>
          <w:tab w:val="left" w:pos="990"/>
          <w:tab w:val="left" w:pos="1800"/>
          <w:tab w:val="left" w:pos="2160"/>
        </w:tabs>
        <w:spacing w:after="240"/>
        <w:rPr>
          <w:rFonts w:ascii="Arial" w:hAnsi="Arial" w:cs="Arial"/>
          <w:sz w:val="24"/>
          <w:szCs w:val="24"/>
        </w:rPr>
      </w:pPr>
      <w:r>
        <w:rPr>
          <w:rFonts w:ascii="Arial" w:hAnsi="Arial" w:cs="Arial"/>
          <w:sz w:val="24"/>
          <w:szCs w:val="24"/>
        </w:rPr>
        <w:t>For fur</w:t>
      </w:r>
      <w:r w:rsidR="001A31C1">
        <w:rPr>
          <w:rFonts w:ascii="Arial" w:hAnsi="Arial" w:cs="Arial"/>
          <w:sz w:val="24"/>
          <w:szCs w:val="24"/>
        </w:rPr>
        <w:t>ther information about the TCCUL</w:t>
      </w:r>
      <w:r>
        <w:rPr>
          <w:rFonts w:ascii="Arial" w:hAnsi="Arial" w:cs="Arial"/>
          <w:sz w:val="24"/>
          <w:szCs w:val="24"/>
        </w:rPr>
        <w:t xml:space="preserve">GP, please contact the NCUA Regional Office for the area in which you are located.  See </w:t>
      </w:r>
      <w:hyperlink r:id="rId10" w:history="1">
        <w:r w:rsidRPr="00D547B5">
          <w:rPr>
            <w:rStyle w:val="Hyperlink"/>
            <w:rFonts w:ascii="Arial" w:hAnsi="Arial" w:cs="Arial"/>
            <w:sz w:val="24"/>
            <w:szCs w:val="24"/>
          </w:rPr>
          <w:t>http://www.ncua.gov/Aboutncua/ncua_directory.html</w:t>
        </w:r>
      </w:hyperlink>
      <w:r>
        <w:rPr>
          <w:rFonts w:ascii="Arial" w:hAnsi="Arial" w:cs="Arial"/>
          <w:sz w:val="24"/>
          <w:szCs w:val="24"/>
        </w:rPr>
        <w:t>.</w:t>
      </w:r>
    </w:p>
    <w:sectPr w:rsidR="00C83A16" w:rsidSect="002967D9">
      <w:footerReference w:type="default" r:id="rId11"/>
      <w:pgSz w:w="12240" w:h="15840"/>
      <w:pgMar w:top="144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6551" w:rsidRDefault="009F6551" w:rsidP="003E3855">
      <w:r>
        <w:separator/>
      </w:r>
    </w:p>
  </w:endnote>
  <w:endnote w:type="continuationSeparator" w:id="1">
    <w:p w:rsidR="009F6551" w:rsidRDefault="009F6551" w:rsidP="003E38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1111569634"/>
      <w:docPartObj>
        <w:docPartGallery w:val="Page Numbers (Bottom of Page)"/>
        <w:docPartUnique/>
      </w:docPartObj>
    </w:sdtPr>
    <w:sdtContent>
      <w:p w:rsidR="001371F9" w:rsidRPr="001371F9" w:rsidRDefault="001371F9">
        <w:pPr>
          <w:pStyle w:val="Footer"/>
          <w:jc w:val="center"/>
          <w:rPr>
            <w:rFonts w:ascii="Arial" w:hAnsi="Arial" w:cs="Arial"/>
          </w:rPr>
        </w:pPr>
        <w:r w:rsidRPr="001371F9">
          <w:rPr>
            <w:rFonts w:ascii="Arial" w:hAnsi="Arial" w:cs="Arial"/>
          </w:rPr>
          <w:t xml:space="preserve">Page </w:t>
        </w:r>
        <w:r w:rsidR="003832BC" w:rsidRPr="001371F9">
          <w:rPr>
            <w:rFonts w:ascii="Arial" w:hAnsi="Arial" w:cs="Arial"/>
          </w:rPr>
          <w:fldChar w:fldCharType="begin"/>
        </w:r>
        <w:r w:rsidRPr="001371F9">
          <w:rPr>
            <w:rFonts w:ascii="Arial" w:hAnsi="Arial" w:cs="Arial"/>
          </w:rPr>
          <w:instrText xml:space="preserve"> PAGE   \* MERGEFORMAT </w:instrText>
        </w:r>
        <w:r w:rsidR="003832BC" w:rsidRPr="001371F9">
          <w:rPr>
            <w:rFonts w:ascii="Arial" w:hAnsi="Arial" w:cs="Arial"/>
          </w:rPr>
          <w:fldChar w:fldCharType="separate"/>
        </w:r>
        <w:r w:rsidR="001146A4">
          <w:rPr>
            <w:rFonts w:ascii="Arial" w:hAnsi="Arial" w:cs="Arial"/>
            <w:noProof/>
          </w:rPr>
          <w:t>4</w:t>
        </w:r>
        <w:r w:rsidR="003832BC" w:rsidRPr="001371F9">
          <w:rPr>
            <w:rFonts w:ascii="Arial" w:hAnsi="Arial" w:cs="Arial"/>
          </w:rPr>
          <w:fldChar w:fldCharType="end"/>
        </w:r>
      </w:p>
    </w:sdtContent>
  </w:sdt>
  <w:p w:rsidR="001371F9" w:rsidRDefault="001371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6551" w:rsidRDefault="009F6551" w:rsidP="003E3855">
      <w:r>
        <w:separator/>
      </w:r>
    </w:p>
  </w:footnote>
  <w:footnote w:type="continuationSeparator" w:id="1">
    <w:p w:rsidR="009F6551" w:rsidRDefault="009F6551" w:rsidP="003E3855">
      <w:r>
        <w:continuationSeparator/>
      </w:r>
    </w:p>
  </w:footnote>
  <w:footnote w:id="2">
    <w:p w:rsidR="003E3855" w:rsidRPr="00537563" w:rsidRDefault="003E3855">
      <w:pPr>
        <w:pStyle w:val="FootnoteText"/>
      </w:pPr>
      <w:r>
        <w:rPr>
          <w:rStyle w:val="FootnoteReference"/>
        </w:rPr>
        <w:footnoteRef/>
      </w:r>
      <w:r>
        <w:t xml:space="preserve"> </w:t>
      </w:r>
      <w:r w:rsidRPr="00537563">
        <w:rPr>
          <w:rFonts w:ascii="Arial" w:hAnsi="Arial"/>
        </w:rPr>
        <w:t xml:space="preserve">Eligible corporate credit unions are federally-insured corporate credit unions.  Corporate credit union has the meaning as defined in NCUA Rules and Regulations </w:t>
      </w:r>
      <w:r w:rsidRPr="00537563">
        <w:rPr>
          <w:rFonts w:ascii="Arial" w:hAnsi="Arial" w:cs="Arial"/>
        </w:rPr>
        <w:t xml:space="preserve">§704.2.  </w:t>
      </w:r>
      <w:r w:rsidRPr="00537563">
        <w:rPr>
          <w:rFonts w:ascii="Arial" w:hAnsi="Arial"/>
        </w:rPr>
        <w:t xml:space="preserve">12 CFR </w:t>
      </w:r>
      <w:bookmarkStart w:id="0" w:name="OLE_LINK1"/>
      <w:bookmarkStart w:id="1" w:name="OLE_LINK2"/>
      <w:r w:rsidRPr="00537563">
        <w:rPr>
          <w:rFonts w:ascii="Arial" w:hAnsi="Arial" w:cs="Arial"/>
        </w:rPr>
        <w:t>§</w:t>
      </w:r>
      <w:bookmarkEnd w:id="0"/>
      <w:bookmarkEnd w:id="1"/>
      <w:r w:rsidRPr="00537563">
        <w:rPr>
          <w:rFonts w:ascii="Arial" w:hAnsi="Arial"/>
        </w:rPr>
        <w:t>704.2.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F43C6E"/>
    <w:multiLevelType w:val="hybridMultilevel"/>
    <w:tmpl w:val="D22ED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20"/>
  <w:characterSpacingControl w:val="doNotCompress"/>
  <w:hdrShapeDefaults>
    <o:shapedefaults v:ext="edit" spidmax="39937"/>
  </w:hdrShapeDefaults>
  <w:footnotePr>
    <w:footnote w:id="0"/>
    <w:footnote w:id="1"/>
  </w:footnotePr>
  <w:endnotePr>
    <w:endnote w:id="0"/>
    <w:endnote w:id="1"/>
  </w:endnotePr>
  <w:compat/>
  <w:rsids>
    <w:rsidRoot w:val="0080217D"/>
    <w:rsid w:val="000A4DCC"/>
    <w:rsid w:val="001146A4"/>
    <w:rsid w:val="001371F9"/>
    <w:rsid w:val="00140F93"/>
    <w:rsid w:val="00180010"/>
    <w:rsid w:val="001A31C1"/>
    <w:rsid w:val="001C7D77"/>
    <w:rsid w:val="001D061F"/>
    <w:rsid w:val="001D581B"/>
    <w:rsid w:val="001F3C40"/>
    <w:rsid w:val="002967D9"/>
    <w:rsid w:val="003200D3"/>
    <w:rsid w:val="00332BD9"/>
    <w:rsid w:val="00335ABB"/>
    <w:rsid w:val="003832BC"/>
    <w:rsid w:val="003E3855"/>
    <w:rsid w:val="003E5905"/>
    <w:rsid w:val="004357A3"/>
    <w:rsid w:val="004C6215"/>
    <w:rsid w:val="004E0772"/>
    <w:rsid w:val="00537563"/>
    <w:rsid w:val="006541E0"/>
    <w:rsid w:val="006C30F8"/>
    <w:rsid w:val="006D77F9"/>
    <w:rsid w:val="00701A84"/>
    <w:rsid w:val="00704F6E"/>
    <w:rsid w:val="007645AC"/>
    <w:rsid w:val="007771C1"/>
    <w:rsid w:val="00795EDF"/>
    <w:rsid w:val="0080217D"/>
    <w:rsid w:val="00827F2E"/>
    <w:rsid w:val="008707E7"/>
    <w:rsid w:val="0089008C"/>
    <w:rsid w:val="008A0E65"/>
    <w:rsid w:val="008B695C"/>
    <w:rsid w:val="008E0184"/>
    <w:rsid w:val="008F7C5C"/>
    <w:rsid w:val="009604D8"/>
    <w:rsid w:val="00975B0F"/>
    <w:rsid w:val="009F6551"/>
    <w:rsid w:val="00A45CC7"/>
    <w:rsid w:val="00A50285"/>
    <w:rsid w:val="00BA0855"/>
    <w:rsid w:val="00BA1FEF"/>
    <w:rsid w:val="00BB2616"/>
    <w:rsid w:val="00BF79CA"/>
    <w:rsid w:val="00C15D45"/>
    <w:rsid w:val="00C50B85"/>
    <w:rsid w:val="00C540C3"/>
    <w:rsid w:val="00C64BC7"/>
    <w:rsid w:val="00C72D08"/>
    <w:rsid w:val="00C77FC3"/>
    <w:rsid w:val="00C83A16"/>
    <w:rsid w:val="00C95121"/>
    <w:rsid w:val="00CA0E86"/>
    <w:rsid w:val="00CF5235"/>
    <w:rsid w:val="00D32252"/>
    <w:rsid w:val="00D46452"/>
    <w:rsid w:val="00DA0ACC"/>
    <w:rsid w:val="00DA13BA"/>
    <w:rsid w:val="00E06242"/>
    <w:rsid w:val="00E50476"/>
    <w:rsid w:val="00F333E1"/>
    <w:rsid w:val="00F52292"/>
    <w:rsid w:val="00F90799"/>
    <w:rsid w:val="00FF71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17D"/>
    <w:pPr>
      <w:overflowPunct w:val="0"/>
      <w:autoSpaceDE w:val="0"/>
      <w:autoSpaceDN w:val="0"/>
      <w:adjustRightInd w:val="0"/>
      <w:spacing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BD9"/>
    <w:pPr>
      <w:ind w:left="720"/>
      <w:contextualSpacing/>
    </w:pPr>
  </w:style>
  <w:style w:type="paragraph" w:styleId="FootnoteText">
    <w:name w:val="footnote text"/>
    <w:basedOn w:val="Normal"/>
    <w:link w:val="FootnoteTextChar"/>
    <w:uiPriority w:val="99"/>
    <w:semiHidden/>
    <w:unhideWhenUsed/>
    <w:rsid w:val="003E3855"/>
  </w:style>
  <w:style w:type="character" w:customStyle="1" w:styleId="FootnoteTextChar">
    <w:name w:val="Footnote Text Char"/>
    <w:basedOn w:val="DefaultParagraphFont"/>
    <w:link w:val="FootnoteText"/>
    <w:uiPriority w:val="99"/>
    <w:semiHidden/>
    <w:rsid w:val="003E385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E3855"/>
    <w:rPr>
      <w:vertAlign w:val="superscript"/>
    </w:rPr>
  </w:style>
  <w:style w:type="table" w:styleId="TableGrid">
    <w:name w:val="Table Grid"/>
    <w:basedOn w:val="TableNormal"/>
    <w:uiPriority w:val="59"/>
    <w:rsid w:val="0053756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371F9"/>
    <w:pPr>
      <w:tabs>
        <w:tab w:val="center" w:pos="4680"/>
        <w:tab w:val="right" w:pos="9360"/>
      </w:tabs>
    </w:pPr>
  </w:style>
  <w:style w:type="character" w:customStyle="1" w:styleId="HeaderChar">
    <w:name w:val="Header Char"/>
    <w:basedOn w:val="DefaultParagraphFont"/>
    <w:link w:val="Header"/>
    <w:uiPriority w:val="99"/>
    <w:semiHidden/>
    <w:rsid w:val="001371F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371F9"/>
    <w:pPr>
      <w:tabs>
        <w:tab w:val="center" w:pos="4680"/>
        <w:tab w:val="right" w:pos="9360"/>
      </w:tabs>
    </w:pPr>
  </w:style>
  <w:style w:type="character" w:customStyle="1" w:styleId="FooterChar">
    <w:name w:val="Footer Char"/>
    <w:basedOn w:val="DefaultParagraphFont"/>
    <w:link w:val="Footer"/>
    <w:uiPriority w:val="99"/>
    <w:rsid w:val="001371F9"/>
    <w:rPr>
      <w:rFonts w:ascii="Times New Roman" w:eastAsia="Times New Roman" w:hAnsi="Times New Roman" w:cs="Times New Roman"/>
      <w:sz w:val="20"/>
      <w:szCs w:val="20"/>
    </w:rPr>
  </w:style>
  <w:style w:type="character" w:styleId="Hyperlink">
    <w:name w:val="Hyperlink"/>
    <w:basedOn w:val="DefaultParagraphFont"/>
    <w:rsid w:val="00C83A16"/>
    <w:rPr>
      <w:rFonts w:cs="Times New Roman"/>
      <w:color w:val="0000FF"/>
      <w:u w:val="single"/>
    </w:rPr>
  </w:style>
  <w:style w:type="paragraph" w:styleId="BalloonText">
    <w:name w:val="Balloon Text"/>
    <w:basedOn w:val="Normal"/>
    <w:link w:val="BalloonTextChar"/>
    <w:uiPriority w:val="99"/>
    <w:semiHidden/>
    <w:unhideWhenUsed/>
    <w:rsid w:val="00C83A16"/>
    <w:rPr>
      <w:rFonts w:ascii="Tahoma" w:hAnsi="Tahoma" w:cs="Tahoma"/>
      <w:sz w:val="16"/>
      <w:szCs w:val="16"/>
    </w:rPr>
  </w:style>
  <w:style w:type="character" w:customStyle="1" w:styleId="BalloonTextChar">
    <w:name w:val="Balloon Text Char"/>
    <w:basedOn w:val="DefaultParagraphFont"/>
    <w:link w:val="BalloonText"/>
    <w:uiPriority w:val="99"/>
    <w:semiHidden/>
    <w:rsid w:val="00C83A16"/>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1A31C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ua.gov/CorporateCU/08-1118%20List%20of%20TCCULGP%20Participant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cua.gov/Aboutncua/ncua_directory.html" TargetMode="External"/><Relationship Id="rId4" Type="http://schemas.openxmlformats.org/officeDocument/2006/relationships/settings" Target="settings.xml"/><Relationship Id="rId9" Type="http://schemas.openxmlformats.org/officeDocument/2006/relationships/hyperlink" Target="http://www.ncua.gov/CoporateStabilizationProgram/RevisedFactSheet-4-15-09finalforShareGuarante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0881B-1DF4-44F9-93EE-D08008743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1400</Words>
  <Characters>7981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NCUA</Company>
  <LinksUpToDate>false</LinksUpToDate>
  <CharactersWithSpaces>9363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A FARRAR</dc:creator>
  <cp:lastModifiedBy>CHERIE A UMBEL</cp:lastModifiedBy>
  <cp:revision>2</cp:revision>
  <cp:lastPrinted>2009-05-12T12:39:00Z</cp:lastPrinted>
  <dcterms:created xsi:type="dcterms:W3CDTF">2009-05-21T18:25:00Z</dcterms:created>
  <dcterms:modified xsi:type="dcterms:W3CDTF">2009-05-21T18:25:00Z</dcterms:modified>
</cp:coreProperties>
</file>