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BE" w:rsidRPr="00634165" w:rsidRDefault="009A6C0F" w:rsidP="00634165">
      <w:pPr>
        <w:jc w:val="center"/>
        <w:rPr>
          <w:rFonts w:ascii="Arial" w:hAnsi="Arial" w:cs="Arial"/>
          <w:u w:val="single"/>
        </w:rPr>
      </w:pPr>
      <w:r>
        <w:rPr>
          <w:rFonts w:ascii="Arial" w:hAnsi="Arial" w:cs="Arial"/>
          <w:u w:val="single"/>
        </w:rPr>
        <w:t>Comparison of</w:t>
      </w:r>
      <w:r w:rsidR="001D519C" w:rsidRPr="00634165">
        <w:rPr>
          <w:rFonts w:ascii="Arial" w:hAnsi="Arial" w:cs="Arial"/>
          <w:u w:val="single"/>
        </w:rPr>
        <w:t xml:space="preserve"> </w:t>
      </w:r>
      <w:r>
        <w:rPr>
          <w:rFonts w:ascii="Arial" w:hAnsi="Arial" w:cs="Arial"/>
          <w:u w:val="single"/>
        </w:rPr>
        <w:t xml:space="preserve">Average </w:t>
      </w:r>
      <w:r w:rsidR="00F033D0">
        <w:rPr>
          <w:rFonts w:ascii="Arial" w:hAnsi="Arial" w:cs="Arial"/>
          <w:u w:val="single"/>
        </w:rPr>
        <w:t>Savings and Loan Rate</w:t>
      </w:r>
      <w:r>
        <w:rPr>
          <w:rFonts w:ascii="Arial" w:hAnsi="Arial" w:cs="Arial"/>
          <w:u w:val="single"/>
        </w:rPr>
        <w:t>s at Credit Unions (CUs) and Banks</w:t>
      </w:r>
    </w:p>
    <w:p w:rsidR="00634165" w:rsidRDefault="00634165" w:rsidP="008A62AF">
      <w:pPr>
        <w:jc w:val="center"/>
        <w:rPr>
          <w:rFonts w:ascii="Arial" w:hAnsi="Arial" w:cs="Arial"/>
        </w:rPr>
      </w:pPr>
    </w:p>
    <w:p w:rsidR="008A62AF" w:rsidRPr="00634165" w:rsidRDefault="00DD2EB1" w:rsidP="008A62AF">
      <w:pPr>
        <w:jc w:val="center"/>
        <w:rPr>
          <w:rFonts w:ascii="Arial" w:hAnsi="Arial" w:cs="Arial"/>
        </w:rPr>
      </w:pPr>
      <w:r>
        <w:rPr>
          <w:rFonts w:ascii="Arial" w:hAnsi="Arial" w:cs="Arial"/>
        </w:rPr>
        <w:t>June</w:t>
      </w:r>
      <w:r w:rsidR="00DE6AD3">
        <w:rPr>
          <w:rFonts w:ascii="Arial" w:hAnsi="Arial" w:cs="Arial"/>
        </w:rPr>
        <w:t xml:space="preserve"> </w:t>
      </w:r>
      <w:r w:rsidR="009A4F0A">
        <w:rPr>
          <w:rFonts w:ascii="Arial" w:hAnsi="Arial" w:cs="Arial"/>
        </w:rPr>
        <w:t xml:space="preserve">26, </w:t>
      </w:r>
      <w:r>
        <w:rPr>
          <w:rFonts w:ascii="Arial" w:hAnsi="Arial" w:cs="Arial"/>
        </w:rPr>
        <w:t>2009</w:t>
      </w:r>
    </w:p>
    <w:p w:rsidR="00634165" w:rsidRDefault="00634165" w:rsidP="001D519C">
      <w:pPr>
        <w:jc w:val="center"/>
        <w:rPr>
          <w:rFonts w:ascii="Arial" w:hAnsi="Arial" w:cs="Arial"/>
        </w:rPr>
      </w:pPr>
    </w:p>
    <w:p w:rsidR="001D519C" w:rsidRPr="00634165" w:rsidRDefault="001D519C" w:rsidP="001D519C">
      <w:pPr>
        <w:jc w:val="center"/>
        <w:rPr>
          <w:rFonts w:ascii="Arial" w:hAnsi="Arial" w:cs="Arial"/>
        </w:rPr>
      </w:pPr>
      <w:r w:rsidRPr="00634165">
        <w:rPr>
          <w:rFonts w:ascii="Arial" w:hAnsi="Arial" w:cs="Arial"/>
        </w:rPr>
        <w:t>Data Provided to NCUA By DATATRAC, Inc.</w:t>
      </w:r>
    </w:p>
    <w:p w:rsidR="00B65C05" w:rsidRPr="00634165" w:rsidRDefault="00B65C05">
      <w:pPr>
        <w:rPr>
          <w:rFonts w:ascii="Arial" w:hAnsi="Arial" w:cs="Arial"/>
        </w:rPr>
      </w:pPr>
    </w:p>
    <w:tbl>
      <w:tblPr>
        <w:tblStyle w:val="TableGrid"/>
        <w:tblW w:w="0" w:type="auto"/>
        <w:tblInd w:w="-72" w:type="dxa"/>
        <w:tblLook w:val="01E0"/>
      </w:tblPr>
      <w:tblGrid>
        <w:gridCol w:w="2340"/>
        <w:gridCol w:w="2430"/>
        <w:gridCol w:w="2430"/>
        <w:gridCol w:w="2520"/>
      </w:tblGrid>
      <w:tr w:rsidR="00D555C2" w:rsidRPr="00634165" w:rsidTr="00D3215E">
        <w:tc>
          <w:tcPr>
            <w:tcW w:w="2340" w:type="dxa"/>
          </w:tcPr>
          <w:p w:rsidR="00D3215E" w:rsidRDefault="00D3215E" w:rsidP="00111838">
            <w:pPr>
              <w:jc w:val="center"/>
              <w:rPr>
                <w:rFonts w:ascii="Arial" w:hAnsi="Arial" w:cs="Arial"/>
                <w:b/>
                <w:sz w:val="20"/>
                <w:szCs w:val="20"/>
              </w:rPr>
            </w:pPr>
            <w:bookmarkStart w:id="0" w:name="OLE_LINK1"/>
            <w:bookmarkStart w:id="1" w:name="OLE_LINK2"/>
          </w:p>
          <w:p w:rsidR="00D555C2" w:rsidRPr="00634165" w:rsidRDefault="00D555C2" w:rsidP="00111838">
            <w:pPr>
              <w:jc w:val="center"/>
              <w:rPr>
                <w:rFonts w:ascii="Arial" w:hAnsi="Arial" w:cs="Arial"/>
                <w:b/>
                <w:sz w:val="20"/>
                <w:szCs w:val="20"/>
              </w:rPr>
            </w:pPr>
            <w:r w:rsidRPr="00634165">
              <w:rPr>
                <w:rFonts w:ascii="Arial" w:hAnsi="Arial" w:cs="Arial"/>
                <w:b/>
                <w:sz w:val="20"/>
                <w:szCs w:val="20"/>
              </w:rPr>
              <w:t>Product</w:t>
            </w:r>
          </w:p>
        </w:tc>
        <w:tc>
          <w:tcPr>
            <w:tcW w:w="2430" w:type="dxa"/>
          </w:tcPr>
          <w:p w:rsidR="00D555C2" w:rsidRPr="00634165" w:rsidRDefault="00D555C2" w:rsidP="00D555C2">
            <w:pPr>
              <w:jc w:val="center"/>
              <w:rPr>
                <w:rFonts w:ascii="Arial" w:hAnsi="Arial" w:cs="Arial"/>
                <w:b/>
                <w:sz w:val="20"/>
                <w:szCs w:val="20"/>
              </w:rPr>
            </w:pPr>
            <w:r w:rsidRPr="00634165">
              <w:rPr>
                <w:rFonts w:ascii="Arial" w:hAnsi="Arial" w:cs="Arial"/>
                <w:b/>
                <w:sz w:val="20"/>
                <w:szCs w:val="20"/>
              </w:rPr>
              <w:t>All CUs</w:t>
            </w:r>
          </w:p>
          <w:p w:rsidR="00D555C2" w:rsidRPr="00634165" w:rsidRDefault="00D555C2" w:rsidP="00D3215E">
            <w:pPr>
              <w:jc w:val="center"/>
              <w:rPr>
                <w:rFonts w:ascii="Arial" w:hAnsi="Arial" w:cs="Arial"/>
                <w:b/>
                <w:sz w:val="20"/>
                <w:szCs w:val="20"/>
              </w:rPr>
            </w:pPr>
            <w:r w:rsidRPr="00634165">
              <w:rPr>
                <w:rFonts w:ascii="Arial" w:hAnsi="Arial" w:cs="Arial"/>
                <w:sz w:val="20"/>
                <w:szCs w:val="20"/>
              </w:rPr>
              <w:t xml:space="preserve">(National Average </w:t>
            </w:r>
            <w:r w:rsidR="00D3215E">
              <w:rPr>
                <w:rFonts w:ascii="Arial" w:hAnsi="Arial" w:cs="Arial"/>
                <w:sz w:val="20"/>
                <w:szCs w:val="20"/>
              </w:rPr>
              <w:t>R</w:t>
            </w:r>
            <w:r w:rsidRPr="00634165">
              <w:rPr>
                <w:rFonts w:ascii="Arial" w:hAnsi="Arial" w:cs="Arial"/>
                <w:sz w:val="20"/>
                <w:szCs w:val="20"/>
              </w:rPr>
              <w:t>ate)</w:t>
            </w:r>
          </w:p>
        </w:tc>
        <w:tc>
          <w:tcPr>
            <w:tcW w:w="2430" w:type="dxa"/>
          </w:tcPr>
          <w:p w:rsidR="00111838" w:rsidRDefault="00D555C2" w:rsidP="00D555C2">
            <w:pPr>
              <w:jc w:val="center"/>
              <w:rPr>
                <w:rFonts w:ascii="Arial" w:hAnsi="Arial" w:cs="Arial"/>
                <w:sz w:val="20"/>
                <w:szCs w:val="20"/>
              </w:rPr>
            </w:pPr>
            <w:r w:rsidRPr="00634165">
              <w:rPr>
                <w:rFonts w:ascii="Arial" w:hAnsi="Arial" w:cs="Arial"/>
                <w:b/>
                <w:sz w:val="20"/>
                <w:szCs w:val="20"/>
              </w:rPr>
              <w:t>All Banks</w:t>
            </w:r>
          </w:p>
          <w:p w:rsidR="00D555C2" w:rsidRPr="00634165" w:rsidRDefault="00D555C2" w:rsidP="00D555C2">
            <w:pPr>
              <w:jc w:val="center"/>
              <w:rPr>
                <w:rFonts w:ascii="Arial" w:hAnsi="Arial" w:cs="Arial"/>
                <w:b/>
                <w:sz w:val="20"/>
                <w:szCs w:val="20"/>
              </w:rPr>
            </w:pPr>
            <w:r w:rsidRPr="00634165">
              <w:rPr>
                <w:rFonts w:ascii="Arial" w:hAnsi="Arial" w:cs="Arial"/>
                <w:sz w:val="20"/>
                <w:szCs w:val="20"/>
              </w:rPr>
              <w:t>(National Average Rate)</w:t>
            </w:r>
          </w:p>
        </w:tc>
        <w:tc>
          <w:tcPr>
            <w:tcW w:w="2520" w:type="dxa"/>
          </w:tcPr>
          <w:p w:rsidR="00D555C2" w:rsidRPr="00634165" w:rsidRDefault="0079230D" w:rsidP="00D555C2">
            <w:pPr>
              <w:jc w:val="center"/>
              <w:rPr>
                <w:rFonts w:ascii="Arial" w:hAnsi="Arial" w:cs="Arial"/>
                <w:b/>
                <w:sz w:val="20"/>
                <w:szCs w:val="20"/>
              </w:rPr>
            </w:pPr>
            <w:r>
              <w:rPr>
                <w:rFonts w:ascii="Arial" w:hAnsi="Arial" w:cs="Arial"/>
                <w:b/>
                <w:sz w:val="20"/>
                <w:szCs w:val="20"/>
              </w:rPr>
              <w:t>27</w:t>
            </w:r>
            <w:r w:rsidR="00D555C2" w:rsidRPr="00634165">
              <w:rPr>
                <w:rFonts w:ascii="Arial" w:hAnsi="Arial" w:cs="Arial"/>
                <w:b/>
                <w:sz w:val="20"/>
                <w:szCs w:val="20"/>
              </w:rPr>
              <w:t xml:space="preserve"> Banks Converted from CUs</w:t>
            </w:r>
            <w:r w:rsidR="00D555C2" w:rsidRPr="00634165">
              <w:rPr>
                <w:rStyle w:val="FootnoteReference"/>
                <w:rFonts w:ascii="Arial" w:hAnsi="Arial" w:cs="Arial"/>
                <w:sz w:val="20"/>
                <w:szCs w:val="20"/>
              </w:rPr>
              <w:footnoteReference w:id="2"/>
            </w:r>
          </w:p>
          <w:p w:rsidR="00D555C2" w:rsidRPr="00634165" w:rsidRDefault="00D555C2" w:rsidP="00D555C2">
            <w:pPr>
              <w:jc w:val="center"/>
              <w:rPr>
                <w:rFonts w:ascii="Arial" w:hAnsi="Arial" w:cs="Arial"/>
                <w:b/>
                <w:sz w:val="20"/>
                <w:szCs w:val="20"/>
              </w:rPr>
            </w:pPr>
            <w:r w:rsidRPr="00634165">
              <w:rPr>
                <w:rFonts w:ascii="Arial" w:hAnsi="Arial" w:cs="Arial"/>
                <w:sz w:val="20"/>
                <w:szCs w:val="20"/>
              </w:rPr>
              <w:t>(Average Rate)</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5 YR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2.86</w:t>
            </w:r>
          </w:p>
        </w:tc>
        <w:tc>
          <w:tcPr>
            <w:tcW w:w="2430" w:type="dxa"/>
          </w:tcPr>
          <w:p w:rsidR="00D555C2" w:rsidRPr="005009FA" w:rsidRDefault="00E46189" w:rsidP="00EB4CCB">
            <w:pPr>
              <w:jc w:val="center"/>
              <w:rPr>
                <w:rFonts w:ascii="Arial" w:hAnsi="Arial" w:cs="Arial"/>
                <w:sz w:val="20"/>
                <w:szCs w:val="20"/>
              </w:rPr>
            </w:pPr>
            <w:r>
              <w:rPr>
                <w:rFonts w:ascii="Arial" w:hAnsi="Arial" w:cs="Arial"/>
                <w:sz w:val="20"/>
                <w:szCs w:val="20"/>
              </w:rPr>
              <w:t>2.50</w:t>
            </w:r>
          </w:p>
        </w:tc>
        <w:tc>
          <w:tcPr>
            <w:tcW w:w="2520" w:type="dxa"/>
          </w:tcPr>
          <w:p w:rsidR="00D555C2" w:rsidRPr="005009FA" w:rsidRDefault="00774D3E" w:rsidP="00EB4CCB">
            <w:pPr>
              <w:jc w:val="center"/>
              <w:rPr>
                <w:rFonts w:ascii="Arial" w:hAnsi="Arial" w:cs="Arial"/>
                <w:sz w:val="20"/>
                <w:szCs w:val="20"/>
              </w:rPr>
            </w:pPr>
            <w:r>
              <w:rPr>
                <w:rFonts w:ascii="Arial" w:hAnsi="Arial" w:cs="Arial"/>
                <w:sz w:val="20"/>
                <w:szCs w:val="20"/>
              </w:rPr>
              <w:t>2.78</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4 YR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2.61</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2.27</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2.56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3 YR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2.37</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2.04</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2.36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2 YR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2.08</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1.80</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2.07</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1 YR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1.74</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1.43</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1.65</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6 MO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1.41</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1.09</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1.23</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3 MO CD-10K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1.04</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.78</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.98</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MONEY MARKET</w:t>
            </w:r>
            <w:r w:rsidR="00DE6AD3">
              <w:rPr>
                <w:rFonts w:ascii="Arial" w:hAnsi="Arial" w:cs="Arial"/>
                <w:sz w:val="20"/>
                <w:szCs w:val="20"/>
              </w:rPr>
              <w:t>-2.5K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.74</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.42</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.67</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INT CHKING-5K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.34</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.25</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.35</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REG SAVINGS-1K</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.47</w:t>
            </w:r>
          </w:p>
        </w:tc>
        <w:tc>
          <w:tcPr>
            <w:tcW w:w="2430" w:type="dxa"/>
          </w:tcPr>
          <w:p w:rsidR="00D555C2" w:rsidRPr="00634165" w:rsidRDefault="00E46189" w:rsidP="00EB4CCB">
            <w:pPr>
              <w:jc w:val="center"/>
              <w:rPr>
                <w:rFonts w:ascii="Arial" w:hAnsi="Arial" w:cs="Arial"/>
                <w:sz w:val="20"/>
                <w:szCs w:val="20"/>
              </w:rPr>
            </w:pPr>
            <w:r>
              <w:rPr>
                <w:rFonts w:ascii="Arial" w:hAnsi="Arial" w:cs="Arial"/>
                <w:sz w:val="20"/>
                <w:szCs w:val="20"/>
              </w:rPr>
              <w:t>.3</w:t>
            </w:r>
            <w:r w:rsidR="0079230D">
              <w:rPr>
                <w:rFonts w:ascii="Arial" w:hAnsi="Arial" w:cs="Arial"/>
                <w:sz w:val="20"/>
                <w:szCs w:val="20"/>
              </w:rPr>
              <w:t>2</w:t>
            </w:r>
          </w:p>
        </w:tc>
        <w:tc>
          <w:tcPr>
            <w:tcW w:w="2520" w:type="dxa"/>
          </w:tcPr>
          <w:p w:rsidR="00D555C2" w:rsidRPr="00634165" w:rsidRDefault="00774D3E" w:rsidP="00EB4CCB">
            <w:pPr>
              <w:jc w:val="center"/>
              <w:rPr>
                <w:rFonts w:ascii="Arial" w:hAnsi="Arial" w:cs="Arial"/>
                <w:sz w:val="20"/>
                <w:szCs w:val="20"/>
              </w:rPr>
            </w:pPr>
            <w:r>
              <w:rPr>
                <w:rFonts w:ascii="Arial" w:hAnsi="Arial" w:cs="Arial"/>
                <w:sz w:val="20"/>
                <w:szCs w:val="20"/>
              </w:rPr>
              <w:t>.44</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CREDITCRD CLASC</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11.6</w:t>
            </w:r>
            <w:r w:rsidR="0079230D">
              <w:rPr>
                <w:rFonts w:ascii="Arial" w:hAnsi="Arial" w:cs="Arial"/>
                <w:sz w:val="20"/>
                <w:szCs w:val="20"/>
              </w:rPr>
              <w:t>6</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12.50</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10.54</w:t>
            </w:r>
            <w:r w:rsidR="009F2550">
              <w:rPr>
                <w:rStyle w:val="FootnoteReference"/>
                <w:rFonts w:ascii="Arial" w:hAnsi="Arial" w:cs="Arial"/>
                <w:sz w:val="20"/>
                <w:szCs w:val="20"/>
              </w:rPr>
              <w:footnoteReference w:id="3"/>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30YR FIX</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5.66</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5.65</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5.6</w:t>
            </w:r>
            <w:r w:rsidR="00815424">
              <w:rPr>
                <w:rFonts w:ascii="Arial" w:hAnsi="Arial" w:cs="Arial"/>
                <w:sz w:val="20"/>
                <w:szCs w:val="20"/>
              </w:rPr>
              <w:t>0</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15YR FIX</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5.13</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5.13</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5.06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5/1YR ARM</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5.37</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5.30</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5.48</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3/1YR ARM</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5.10</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5.14</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5.23</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1YR ARM</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4.77</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4.76</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5.26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UNSECRD FIX36</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10.60</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12.50</w:t>
            </w:r>
          </w:p>
        </w:tc>
        <w:tc>
          <w:tcPr>
            <w:tcW w:w="2520" w:type="dxa"/>
          </w:tcPr>
          <w:p w:rsidR="00677E57" w:rsidRPr="00634165" w:rsidRDefault="00677E57" w:rsidP="00677E57">
            <w:pPr>
              <w:jc w:val="center"/>
              <w:rPr>
                <w:rFonts w:ascii="Arial" w:hAnsi="Arial" w:cs="Arial"/>
                <w:sz w:val="20"/>
                <w:szCs w:val="20"/>
              </w:rPr>
            </w:pPr>
            <w:r>
              <w:rPr>
                <w:rFonts w:ascii="Arial" w:hAnsi="Arial" w:cs="Arial"/>
                <w:sz w:val="20"/>
                <w:szCs w:val="20"/>
              </w:rPr>
              <w:t>1</w:t>
            </w:r>
            <w:r w:rsidR="00A17005">
              <w:rPr>
                <w:rFonts w:ascii="Arial" w:hAnsi="Arial" w:cs="Arial"/>
                <w:sz w:val="20"/>
                <w:szCs w:val="20"/>
              </w:rPr>
              <w:t>1.90</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HM EQ 5 80%</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6.03</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7.33</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6.66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HOME EQ LOC 80%</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4.42</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4.93</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4.96</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48M CAR 2YR OLD</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5.52</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7.14</w:t>
            </w:r>
          </w:p>
        </w:tc>
        <w:tc>
          <w:tcPr>
            <w:tcW w:w="2520" w:type="dxa"/>
          </w:tcPr>
          <w:p w:rsidR="00D47071" w:rsidRPr="00634165" w:rsidRDefault="003E50AD" w:rsidP="00EB4CCB">
            <w:pPr>
              <w:jc w:val="center"/>
              <w:rPr>
                <w:rFonts w:ascii="Arial" w:hAnsi="Arial" w:cs="Arial"/>
                <w:sz w:val="20"/>
                <w:szCs w:val="20"/>
              </w:rPr>
            </w:pPr>
            <w:r>
              <w:rPr>
                <w:rFonts w:ascii="Arial" w:hAnsi="Arial" w:cs="Arial"/>
                <w:sz w:val="20"/>
                <w:szCs w:val="20"/>
              </w:rPr>
              <w:t>7.11</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36M CAR 2YR OLD</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5.41</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7.10</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7.02</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NEW CAR 60MO</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5.38</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6.72</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6.93</w:t>
            </w:r>
          </w:p>
        </w:tc>
      </w:tr>
      <w:tr w:rsidR="00D555C2" w:rsidRPr="00634165" w:rsidTr="00D3215E">
        <w:tc>
          <w:tcPr>
            <w:tcW w:w="2340" w:type="dxa"/>
          </w:tcPr>
          <w:p w:rsidR="00D555C2" w:rsidRPr="00634165" w:rsidRDefault="00D555C2">
            <w:pPr>
              <w:rPr>
                <w:rFonts w:ascii="Arial" w:hAnsi="Arial" w:cs="Arial"/>
                <w:sz w:val="20"/>
                <w:szCs w:val="20"/>
              </w:rPr>
            </w:pPr>
            <w:r w:rsidRPr="00634165">
              <w:rPr>
                <w:rFonts w:ascii="Arial" w:hAnsi="Arial" w:cs="Arial"/>
                <w:sz w:val="20"/>
                <w:szCs w:val="20"/>
              </w:rPr>
              <w:t>NEW CAR 48MO</w:t>
            </w:r>
          </w:p>
        </w:tc>
        <w:tc>
          <w:tcPr>
            <w:tcW w:w="2430" w:type="dxa"/>
            <w:vAlign w:val="bottom"/>
          </w:tcPr>
          <w:p w:rsidR="00D555C2" w:rsidRPr="00634165" w:rsidRDefault="00AD3268" w:rsidP="00EB4CCB">
            <w:pPr>
              <w:jc w:val="center"/>
              <w:rPr>
                <w:rFonts w:ascii="Arial" w:hAnsi="Arial" w:cs="Arial"/>
                <w:sz w:val="20"/>
                <w:szCs w:val="20"/>
              </w:rPr>
            </w:pPr>
            <w:r>
              <w:rPr>
                <w:rFonts w:ascii="Arial" w:hAnsi="Arial" w:cs="Arial"/>
                <w:sz w:val="20"/>
                <w:szCs w:val="20"/>
              </w:rPr>
              <w:t>5.25</w:t>
            </w:r>
          </w:p>
        </w:tc>
        <w:tc>
          <w:tcPr>
            <w:tcW w:w="2430" w:type="dxa"/>
            <w:vAlign w:val="bottom"/>
          </w:tcPr>
          <w:p w:rsidR="00D555C2" w:rsidRPr="00634165" w:rsidRDefault="00E46189" w:rsidP="00EB4CCB">
            <w:pPr>
              <w:jc w:val="center"/>
              <w:rPr>
                <w:rFonts w:ascii="Arial" w:hAnsi="Arial" w:cs="Arial"/>
                <w:sz w:val="20"/>
                <w:szCs w:val="20"/>
              </w:rPr>
            </w:pPr>
            <w:r>
              <w:rPr>
                <w:rFonts w:ascii="Arial" w:hAnsi="Arial" w:cs="Arial"/>
                <w:sz w:val="20"/>
                <w:szCs w:val="20"/>
              </w:rPr>
              <w:t>6.62</w:t>
            </w:r>
          </w:p>
        </w:tc>
        <w:tc>
          <w:tcPr>
            <w:tcW w:w="2520" w:type="dxa"/>
          </w:tcPr>
          <w:p w:rsidR="00D555C2" w:rsidRPr="00634165" w:rsidRDefault="003E50AD" w:rsidP="00EB4CCB">
            <w:pPr>
              <w:jc w:val="center"/>
              <w:rPr>
                <w:rFonts w:ascii="Arial" w:hAnsi="Arial" w:cs="Arial"/>
                <w:sz w:val="20"/>
                <w:szCs w:val="20"/>
              </w:rPr>
            </w:pPr>
            <w:r>
              <w:rPr>
                <w:rFonts w:ascii="Arial" w:hAnsi="Arial" w:cs="Arial"/>
                <w:sz w:val="20"/>
                <w:szCs w:val="20"/>
              </w:rPr>
              <w:t>6.73</w:t>
            </w:r>
          </w:p>
        </w:tc>
      </w:tr>
      <w:bookmarkEnd w:id="0"/>
      <w:bookmarkEnd w:id="1"/>
    </w:tbl>
    <w:p w:rsidR="008914BE" w:rsidRPr="00634165" w:rsidRDefault="008914BE">
      <w:pPr>
        <w:rPr>
          <w:rFonts w:ascii="Arial" w:hAnsi="Arial" w:cs="Arial"/>
          <w:sz w:val="20"/>
          <w:szCs w:val="20"/>
        </w:rPr>
      </w:pPr>
    </w:p>
    <w:sectPr w:rsidR="008914BE" w:rsidRPr="00634165" w:rsidSect="006D5120">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50" w:rsidRDefault="009F2550">
      <w:r>
        <w:separator/>
      </w:r>
    </w:p>
  </w:endnote>
  <w:endnote w:type="continuationSeparator" w:id="1">
    <w:p w:rsidR="009F2550" w:rsidRDefault="009F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50" w:rsidRDefault="009F2550">
      <w:r>
        <w:separator/>
      </w:r>
    </w:p>
  </w:footnote>
  <w:footnote w:type="continuationSeparator" w:id="1">
    <w:p w:rsidR="009F2550" w:rsidRDefault="009F2550">
      <w:r>
        <w:continuationSeparator/>
      </w:r>
    </w:p>
  </w:footnote>
  <w:footnote w:id="2">
    <w:p w:rsidR="009F2550" w:rsidRPr="00FC6890" w:rsidRDefault="009F2550" w:rsidP="00C754F7">
      <w:pPr>
        <w:pStyle w:val="Default"/>
        <w:rPr>
          <w:sz w:val="18"/>
          <w:szCs w:val="18"/>
        </w:rPr>
      </w:pPr>
      <w:r w:rsidRPr="00111838">
        <w:rPr>
          <w:rStyle w:val="FootnoteReference"/>
          <w:sz w:val="20"/>
          <w:szCs w:val="20"/>
        </w:rPr>
        <w:footnoteRef/>
      </w:r>
      <w:r w:rsidRPr="00111838">
        <w:t xml:space="preserve">  </w:t>
      </w:r>
      <w:r w:rsidRPr="00FC6890">
        <w:rPr>
          <w:sz w:val="18"/>
          <w:szCs w:val="18"/>
        </w:rPr>
        <w:t>There are 27 banks that have converted from a credit union, had a credit union merge into them, or acquired a bank that had converted from or merged with a credit union. The names of those banks, with the original credit union name in parenthesis, are: 1st Security Bank (Washington CU), Affiliated Bank (Affiliated FCU), Allied First Bank (Allied Pilots Association FCU), Atlantic Coast Bank (Atlantic Coast FCU), Bank @</w:t>
      </w:r>
      <w:proofErr w:type="spellStart"/>
      <w:r w:rsidRPr="00FC6890">
        <w:rPr>
          <w:sz w:val="18"/>
          <w:szCs w:val="18"/>
        </w:rPr>
        <w:t>tlantec</w:t>
      </w:r>
      <w:proofErr w:type="spellEnd"/>
      <w:r w:rsidRPr="00FC6890">
        <w:rPr>
          <w:sz w:val="18"/>
          <w:szCs w:val="18"/>
        </w:rPr>
        <w:t xml:space="preserve"> (@</w:t>
      </w:r>
      <w:proofErr w:type="spellStart"/>
      <w:r w:rsidRPr="00FC6890">
        <w:rPr>
          <w:sz w:val="18"/>
          <w:szCs w:val="18"/>
        </w:rPr>
        <w:t>tlantic</w:t>
      </w:r>
      <w:proofErr w:type="spellEnd"/>
      <w:r w:rsidRPr="00FC6890">
        <w:rPr>
          <w:sz w:val="18"/>
          <w:szCs w:val="18"/>
        </w:rPr>
        <w:t xml:space="preserve"> Financial FCU), Beacon Federal (Beacon FCU and other CUs), Carolina Federal Savings Bank (Sacred Heart of Charleston CU and Roper Employees FCU), Conestoga Bank (IGA FCU), Citizens Community Federal (Community Schools CU), </w:t>
      </w:r>
      <w:r w:rsidR="00E84CC0">
        <w:rPr>
          <w:sz w:val="18"/>
          <w:szCs w:val="18"/>
        </w:rPr>
        <w:t xml:space="preserve">Haverhill Bank (Northeast </w:t>
      </w:r>
      <w:r>
        <w:rPr>
          <w:sz w:val="18"/>
          <w:szCs w:val="18"/>
        </w:rPr>
        <w:t xml:space="preserve"> Community CU), </w:t>
      </w:r>
      <w:r w:rsidRPr="00FC6890">
        <w:rPr>
          <w:sz w:val="18"/>
          <w:szCs w:val="18"/>
        </w:rPr>
        <w:t xml:space="preserve">Heritage Bank of the South (AGE FCU), Kaiser Federal Bank (Kaiser Permanente FCU), Lusitania Savings Bank (Lusitania FCU), </w:t>
      </w:r>
      <w:proofErr w:type="spellStart"/>
      <w:r w:rsidRPr="00FC6890">
        <w:rPr>
          <w:sz w:val="18"/>
          <w:szCs w:val="18"/>
        </w:rPr>
        <w:t>Monadnock</w:t>
      </w:r>
      <w:proofErr w:type="spellEnd"/>
      <w:r w:rsidRPr="00FC6890">
        <w:rPr>
          <w:sz w:val="18"/>
          <w:szCs w:val="18"/>
        </w:rPr>
        <w:t xml:space="preserve"> Community (AWANE CU), Nationwide Bank (Nationwide FCU), New York Community Bank (Sy</w:t>
      </w:r>
      <w:r>
        <w:rPr>
          <w:sz w:val="18"/>
          <w:szCs w:val="18"/>
        </w:rPr>
        <w:t>nergy FCU), First Place</w:t>
      </w:r>
      <w:r w:rsidRPr="00FC6890">
        <w:rPr>
          <w:sz w:val="18"/>
          <w:szCs w:val="18"/>
        </w:rPr>
        <w:t xml:space="preserve"> Bank (Ohio Central FCU), </w:t>
      </w:r>
      <w:proofErr w:type="spellStart"/>
      <w:r w:rsidRPr="00FC6890">
        <w:rPr>
          <w:sz w:val="18"/>
          <w:szCs w:val="18"/>
        </w:rPr>
        <w:t>OmniAmerican</w:t>
      </w:r>
      <w:proofErr w:type="spellEnd"/>
      <w:r w:rsidRPr="00FC6890">
        <w:rPr>
          <w:sz w:val="18"/>
          <w:szCs w:val="18"/>
        </w:rPr>
        <w:t xml:space="preserve"> Bank (Omni American CU), Pacific Trust Bank (Pacific Trust FCU), Rainier Pacific Bank (Rainier Pacific FCU), Share Plus Federal Bank (Share Plus FCU), Sound Community Bank (CU of the Pacific), Sunshine Savings Bank (Sunshine State CU), Susquehanna Bank (BUCS FCU), Think Mutual (Think FCU),Thrivent Financial Bank (AAL and AAL</w:t>
      </w:r>
      <w:r w:rsidR="00E84CC0">
        <w:rPr>
          <w:sz w:val="18"/>
          <w:szCs w:val="18"/>
        </w:rPr>
        <w:t xml:space="preserve"> Members CUs)</w:t>
      </w:r>
      <w:r w:rsidRPr="00FC6890">
        <w:rPr>
          <w:sz w:val="18"/>
          <w:szCs w:val="18"/>
        </w:rPr>
        <w:t xml:space="preserve">, and Viewpoint Bank (Community CU). </w:t>
      </w:r>
      <w:r>
        <w:rPr>
          <w:sz w:val="18"/>
          <w:szCs w:val="18"/>
        </w:rPr>
        <w:t xml:space="preserve"> </w:t>
      </w:r>
    </w:p>
    <w:p w:rsidR="009F2550" w:rsidRPr="00904E81" w:rsidRDefault="009F2550" w:rsidP="00111838">
      <w:pPr>
        <w:rPr>
          <w:rFonts w:ascii="Arial" w:hAnsi="Arial" w:cs="Arial"/>
          <w:sz w:val="20"/>
          <w:szCs w:val="20"/>
        </w:rPr>
      </w:pPr>
    </w:p>
  </w:footnote>
  <w:footnote w:id="3">
    <w:p w:rsidR="009F2550" w:rsidRPr="009F2550" w:rsidRDefault="009F2550">
      <w:pPr>
        <w:pStyle w:val="FootnoteText"/>
        <w:rPr>
          <w:rFonts w:ascii="Arial" w:hAnsi="Arial" w:cs="Arial"/>
          <w:sz w:val="18"/>
          <w:szCs w:val="18"/>
        </w:rPr>
      </w:pPr>
      <w:r w:rsidRPr="009F2550">
        <w:rPr>
          <w:rStyle w:val="FootnoteReference"/>
          <w:rFonts w:ascii="Arial" w:hAnsi="Arial" w:cs="Arial"/>
          <w:sz w:val="18"/>
          <w:szCs w:val="18"/>
        </w:rPr>
        <w:footnoteRef/>
      </w:r>
      <w:r w:rsidRPr="009F2550">
        <w:rPr>
          <w:rFonts w:ascii="Arial" w:hAnsi="Arial" w:cs="Arial"/>
          <w:sz w:val="18"/>
          <w:szCs w:val="18"/>
        </w:rPr>
        <w:t xml:space="preserve">  Only five of the 27 converted credit union</w:t>
      </w:r>
      <w:r w:rsidR="00E84CC0">
        <w:rPr>
          <w:rFonts w:ascii="Arial" w:hAnsi="Arial" w:cs="Arial"/>
          <w:sz w:val="18"/>
          <w:szCs w:val="18"/>
        </w:rPr>
        <w:t>s</w:t>
      </w:r>
      <w:r w:rsidRPr="009F2550">
        <w:rPr>
          <w:rFonts w:ascii="Arial" w:hAnsi="Arial" w:cs="Arial"/>
          <w:sz w:val="18"/>
          <w:szCs w:val="18"/>
        </w:rPr>
        <w:t xml:space="preserve"> reported rates for this product.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8914BE"/>
    <w:rsid w:val="0001395D"/>
    <w:rsid w:val="00111838"/>
    <w:rsid w:val="00164483"/>
    <w:rsid w:val="001C3CFD"/>
    <w:rsid w:val="001D519C"/>
    <w:rsid w:val="00256D32"/>
    <w:rsid w:val="002A1126"/>
    <w:rsid w:val="002B4333"/>
    <w:rsid w:val="002D2D55"/>
    <w:rsid w:val="003349F6"/>
    <w:rsid w:val="00357832"/>
    <w:rsid w:val="00385CE8"/>
    <w:rsid w:val="003B6B73"/>
    <w:rsid w:val="003E50AD"/>
    <w:rsid w:val="003E63DD"/>
    <w:rsid w:val="003E7A77"/>
    <w:rsid w:val="004066DC"/>
    <w:rsid w:val="00415ED0"/>
    <w:rsid w:val="00435522"/>
    <w:rsid w:val="0047172C"/>
    <w:rsid w:val="00486920"/>
    <w:rsid w:val="00492AEE"/>
    <w:rsid w:val="00493EB6"/>
    <w:rsid w:val="004A5644"/>
    <w:rsid w:val="004F2C6B"/>
    <w:rsid w:val="005009FA"/>
    <w:rsid w:val="00592462"/>
    <w:rsid w:val="005D4CBE"/>
    <w:rsid w:val="005F77CB"/>
    <w:rsid w:val="00627927"/>
    <w:rsid w:val="006322E3"/>
    <w:rsid w:val="00634165"/>
    <w:rsid w:val="00637990"/>
    <w:rsid w:val="006506EA"/>
    <w:rsid w:val="006661EE"/>
    <w:rsid w:val="00677E57"/>
    <w:rsid w:val="006A4F6A"/>
    <w:rsid w:val="006B1698"/>
    <w:rsid w:val="006C438A"/>
    <w:rsid w:val="006C7653"/>
    <w:rsid w:val="006D5120"/>
    <w:rsid w:val="00701CDF"/>
    <w:rsid w:val="007430C3"/>
    <w:rsid w:val="00744A78"/>
    <w:rsid w:val="00757B66"/>
    <w:rsid w:val="00774D3E"/>
    <w:rsid w:val="00776485"/>
    <w:rsid w:val="0079230D"/>
    <w:rsid w:val="007A0D10"/>
    <w:rsid w:val="007C4A86"/>
    <w:rsid w:val="007C637E"/>
    <w:rsid w:val="007E4877"/>
    <w:rsid w:val="007E6601"/>
    <w:rsid w:val="007F2062"/>
    <w:rsid w:val="00815424"/>
    <w:rsid w:val="00822F8F"/>
    <w:rsid w:val="0088683B"/>
    <w:rsid w:val="008914BE"/>
    <w:rsid w:val="00891FA2"/>
    <w:rsid w:val="008A1B87"/>
    <w:rsid w:val="008A357B"/>
    <w:rsid w:val="008A62AF"/>
    <w:rsid w:val="008D6175"/>
    <w:rsid w:val="00904E81"/>
    <w:rsid w:val="009467C0"/>
    <w:rsid w:val="00957D72"/>
    <w:rsid w:val="00961B13"/>
    <w:rsid w:val="00963EEB"/>
    <w:rsid w:val="00971500"/>
    <w:rsid w:val="009856D9"/>
    <w:rsid w:val="009A4F0A"/>
    <w:rsid w:val="009A6C0F"/>
    <w:rsid w:val="009B27DE"/>
    <w:rsid w:val="009D406E"/>
    <w:rsid w:val="009F2550"/>
    <w:rsid w:val="00A17005"/>
    <w:rsid w:val="00AA373E"/>
    <w:rsid w:val="00AB0660"/>
    <w:rsid w:val="00AB2026"/>
    <w:rsid w:val="00AB48C6"/>
    <w:rsid w:val="00AC43E2"/>
    <w:rsid w:val="00AD3268"/>
    <w:rsid w:val="00AD6612"/>
    <w:rsid w:val="00AE4778"/>
    <w:rsid w:val="00AF1887"/>
    <w:rsid w:val="00B07992"/>
    <w:rsid w:val="00B37039"/>
    <w:rsid w:val="00B65C05"/>
    <w:rsid w:val="00BB7B53"/>
    <w:rsid w:val="00BD2B67"/>
    <w:rsid w:val="00C2230C"/>
    <w:rsid w:val="00C23E38"/>
    <w:rsid w:val="00C754F7"/>
    <w:rsid w:val="00C75F95"/>
    <w:rsid w:val="00C806A6"/>
    <w:rsid w:val="00CB2617"/>
    <w:rsid w:val="00CC1060"/>
    <w:rsid w:val="00CE0EC8"/>
    <w:rsid w:val="00CF4E1C"/>
    <w:rsid w:val="00D00B4F"/>
    <w:rsid w:val="00D3215E"/>
    <w:rsid w:val="00D358DA"/>
    <w:rsid w:val="00D44707"/>
    <w:rsid w:val="00D47071"/>
    <w:rsid w:val="00D52C3A"/>
    <w:rsid w:val="00D555C2"/>
    <w:rsid w:val="00DD2EB1"/>
    <w:rsid w:val="00DE5B19"/>
    <w:rsid w:val="00DE6AD3"/>
    <w:rsid w:val="00E118D9"/>
    <w:rsid w:val="00E402F3"/>
    <w:rsid w:val="00E46189"/>
    <w:rsid w:val="00E84CC0"/>
    <w:rsid w:val="00E95734"/>
    <w:rsid w:val="00EB4CCB"/>
    <w:rsid w:val="00EC1D1A"/>
    <w:rsid w:val="00F033D0"/>
    <w:rsid w:val="00F378A6"/>
    <w:rsid w:val="00F60651"/>
    <w:rsid w:val="00F633CB"/>
    <w:rsid w:val="00F8340D"/>
    <w:rsid w:val="00FA7A16"/>
    <w:rsid w:val="00FD1A4C"/>
    <w:rsid w:val="00FF1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7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914BE"/>
    <w:rPr>
      <w:sz w:val="20"/>
      <w:szCs w:val="20"/>
    </w:rPr>
  </w:style>
  <w:style w:type="character" w:styleId="FootnoteReference">
    <w:name w:val="footnote reference"/>
    <w:basedOn w:val="DefaultParagraphFont"/>
    <w:semiHidden/>
    <w:rsid w:val="008914BE"/>
    <w:rPr>
      <w:vertAlign w:val="superscript"/>
    </w:rPr>
  </w:style>
  <w:style w:type="character" w:styleId="Hyperlink">
    <w:name w:val="Hyperlink"/>
    <w:basedOn w:val="DefaultParagraphFont"/>
    <w:rsid w:val="00AB48C6"/>
    <w:rPr>
      <w:color w:val="0000FF"/>
      <w:u w:val="single"/>
    </w:rPr>
  </w:style>
  <w:style w:type="paragraph" w:customStyle="1" w:styleId="Default">
    <w:name w:val="Default"/>
    <w:rsid w:val="00C754F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0073622">
      <w:bodyDiv w:val="1"/>
      <w:marLeft w:val="0"/>
      <w:marRight w:val="0"/>
      <w:marTop w:val="0"/>
      <w:marBottom w:val="0"/>
      <w:divBdr>
        <w:top w:val="none" w:sz="0" w:space="0" w:color="auto"/>
        <w:left w:val="none" w:sz="0" w:space="0" w:color="auto"/>
        <w:bottom w:val="none" w:sz="0" w:space="0" w:color="auto"/>
        <w:right w:val="none" w:sz="0" w:space="0" w:color="auto"/>
      </w:divBdr>
    </w:div>
    <w:div w:id="106504826">
      <w:bodyDiv w:val="1"/>
      <w:marLeft w:val="0"/>
      <w:marRight w:val="0"/>
      <w:marTop w:val="0"/>
      <w:marBottom w:val="0"/>
      <w:divBdr>
        <w:top w:val="none" w:sz="0" w:space="0" w:color="auto"/>
        <w:left w:val="none" w:sz="0" w:space="0" w:color="auto"/>
        <w:bottom w:val="none" w:sz="0" w:space="0" w:color="auto"/>
        <w:right w:val="none" w:sz="0" w:space="0" w:color="auto"/>
      </w:divBdr>
    </w:div>
    <w:div w:id="180514634">
      <w:bodyDiv w:val="1"/>
      <w:marLeft w:val="0"/>
      <w:marRight w:val="0"/>
      <w:marTop w:val="0"/>
      <w:marBottom w:val="0"/>
      <w:divBdr>
        <w:top w:val="none" w:sz="0" w:space="0" w:color="auto"/>
        <w:left w:val="none" w:sz="0" w:space="0" w:color="auto"/>
        <w:bottom w:val="none" w:sz="0" w:space="0" w:color="auto"/>
        <w:right w:val="none" w:sz="0" w:space="0" w:color="auto"/>
      </w:divBdr>
    </w:div>
    <w:div w:id="266738198">
      <w:bodyDiv w:val="1"/>
      <w:marLeft w:val="0"/>
      <w:marRight w:val="0"/>
      <w:marTop w:val="0"/>
      <w:marBottom w:val="0"/>
      <w:divBdr>
        <w:top w:val="none" w:sz="0" w:space="0" w:color="auto"/>
        <w:left w:val="none" w:sz="0" w:space="0" w:color="auto"/>
        <w:bottom w:val="none" w:sz="0" w:space="0" w:color="auto"/>
        <w:right w:val="none" w:sz="0" w:space="0" w:color="auto"/>
      </w:divBdr>
    </w:div>
    <w:div w:id="326441655">
      <w:bodyDiv w:val="1"/>
      <w:marLeft w:val="0"/>
      <w:marRight w:val="0"/>
      <w:marTop w:val="0"/>
      <w:marBottom w:val="0"/>
      <w:divBdr>
        <w:top w:val="none" w:sz="0" w:space="0" w:color="auto"/>
        <w:left w:val="none" w:sz="0" w:space="0" w:color="auto"/>
        <w:bottom w:val="none" w:sz="0" w:space="0" w:color="auto"/>
        <w:right w:val="none" w:sz="0" w:space="0" w:color="auto"/>
      </w:divBdr>
    </w:div>
    <w:div w:id="383918024">
      <w:bodyDiv w:val="1"/>
      <w:marLeft w:val="0"/>
      <w:marRight w:val="0"/>
      <w:marTop w:val="0"/>
      <w:marBottom w:val="0"/>
      <w:divBdr>
        <w:top w:val="none" w:sz="0" w:space="0" w:color="auto"/>
        <w:left w:val="none" w:sz="0" w:space="0" w:color="auto"/>
        <w:bottom w:val="none" w:sz="0" w:space="0" w:color="auto"/>
        <w:right w:val="none" w:sz="0" w:space="0" w:color="auto"/>
      </w:divBdr>
    </w:div>
    <w:div w:id="390690072">
      <w:bodyDiv w:val="1"/>
      <w:marLeft w:val="0"/>
      <w:marRight w:val="0"/>
      <w:marTop w:val="0"/>
      <w:marBottom w:val="0"/>
      <w:divBdr>
        <w:top w:val="none" w:sz="0" w:space="0" w:color="auto"/>
        <w:left w:val="none" w:sz="0" w:space="0" w:color="auto"/>
        <w:bottom w:val="none" w:sz="0" w:space="0" w:color="auto"/>
        <w:right w:val="none" w:sz="0" w:space="0" w:color="auto"/>
      </w:divBdr>
    </w:div>
    <w:div w:id="394817163">
      <w:bodyDiv w:val="1"/>
      <w:marLeft w:val="0"/>
      <w:marRight w:val="0"/>
      <w:marTop w:val="0"/>
      <w:marBottom w:val="0"/>
      <w:divBdr>
        <w:top w:val="none" w:sz="0" w:space="0" w:color="auto"/>
        <w:left w:val="none" w:sz="0" w:space="0" w:color="auto"/>
        <w:bottom w:val="none" w:sz="0" w:space="0" w:color="auto"/>
        <w:right w:val="none" w:sz="0" w:space="0" w:color="auto"/>
      </w:divBdr>
    </w:div>
    <w:div w:id="531890739">
      <w:bodyDiv w:val="1"/>
      <w:marLeft w:val="0"/>
      <w:marRight w:val="0"/>
      <w:marTop w:val="0"/>
      <w:marBottom w:val="0"/>
      <w:divBdr>
        <w:top w:val="none" w:sz="0" w:space="0" w:color="auto"/>
        <w:left w:val="none" w:sz="0" w:space="0" w:color="auto"/>
        <w:bottom w:val="none" w:sz="0" w:space="0" w:color="auto"/>
        <w:right w:val="none" w:sz="0" w:space="0" w:color="auto"/>
      </w:divBdr>
    </w:div>
    <w:div w:id="639042962">
      <w:bodyDiv w:val="1"/>
      <w:marLeft w:val="0"/>
      <w:marRight w:val="0"/>
      <w:marTop w:val="0"/>
      <w:marBottom w:val="0"/>
      <w:divBdr>
        <w:top w:val="none" w:sz="0" w:space="0" w:color="auto"/>
        <w:left w:val="none" w:sz="0" w:space="0" w:color="auto"/>
        <w:bottom w:val="none" w:sz="0" w:space="0" w:color="auto"/>
        <w:right w:val="none" w:sz="0" w:space="0" w:color="auto"/>
      </w:divBdr>
    </w:div>
    <w:div w:id="639387128">
      <w:bodyDiv w:val="1"/>
      <w:marLeft w:val="0"/>
      <w:marRight w:val="0"/>
      <w:marTop w:val="0"/>
      <w:marBottom w:val="0"/>
      <w:divBdr>
        <w:top w:val="none" w:sz="0" w:space="0" w:color="auto"/>
        <w:left w:val="none" w:sz="0" w:space="0" w:color="auto"/>
        <w:bottom w:val="none" w:sz="0" w:space="0" w:color="auto"/>
        <w:right w:val="none" w:sz="0" w:space="0" w:color="auto"/>
      </w:divBdr>
    </w:div>
    <w:div w:id="701251906">
      <w:bodyDiv w:val="1"/>
      <w:marLeft w:val="0"/>
      <w:marRight w:val="0"/>
      <w:marTop w:val="0"/>
      <w:marBottom w:val="0"/>
      <w:divBdr>
        <w:top w:val="none" w:sz="0" w:space="0" w:color="auto"/>
        <w:left w:val="none" w:sz="0" w:space="0" w:color="auto"/>
        <w:bottom w:val="none" w:sz="0" w:space="0" w:color="auto"/>
        <w:right w:val="none" w:sz="0" w:space="0" w:color="auto"/>
      </w:divBdr>
    </w:div>
    <w:div w:id="745495377">
      <w:bodyDiv w:val="1"/>
      <w:marLeft w:val="0"/>
      <w:marRight w:val="0"/>
      <w:marTop w:val="0"/>
      <w:marBottom w:val="0"/>
      <w:divBdr>
        <w:top w:val="none" w:sz="0" w:space="0" w:color="auto"/>
        <w:left w:val="none" w:sz="0" w:space="0" w:color="auto"/>
        <w:bottom w:val="none" w:sz="0" w:space="0" w:color="auto"/>
        <w:right w:val="none" w:sz="0" w:space="0" w:color="auto"/>
      </w:divBdr>
    </w:div>
    <w:div w:id="793911492">
      <w:bodyDiv w:val="1"/>
      <w:marLeft w:val="0"/>
      <w:marRight w:val="0"/>
      <w:marTop w:val="0"/>
      <w:marBottom w:val="0"/>
      <w:divBdr>
        <w:top w:val="none" w:sz="0" w:space="0" w:color="auto"/>
        <w:left w:val="none" w:sz="0" w:space="0" w:color="auto"/>
        <w:bottom w:val="none" w:sz="0" w:space="0" w:color="auto"/>
        <w:right w:val="none" w:sz="0" w:space="0" w:color="auto"/>
      </w:divBdr>
    </w:div>
    <w:div w:id="1001160574">
      <w:bodyDiv w:val="1"/>
      <w:marLeft w:val="0"/>
      <w:marRight w:val="0"/>
      <w:marTop w:val="0"/>
      <w:marBottom w:val="0"/>
      <w:divBdr>
        <w:top w:val="none" w:sz="0" w:space="0" w:color="auto"/>
        <w:left w:val="none" w:sz="0" w:space="0" w:color="auto"/>
        <w:bottom w:val="none" w:sz="0" w:space="0" w:color="auto"/>
        <w:right w:val="none" w:sz="0" w:space="0" w:color="auto"/>
      </w:divBdr>
    </w:div>
    <w:div w:id="1008365397">
      <w:bodyDiv w:val="1"/>
      <w:marLeft w:val="0"/>
      <w:marRight w:val="0"/>
      <w:marTop w:val="0"/>
      <w:marBottom w:val="0"/>
      <w:divBdr>
        <w:top w:val="none" w:sz="0" w:space="0" w:color="auto"/>
        <w:left w:val="none" w:sz="0" w:space="0" w:color="auto"/>
        <w:bottom w:val="none" w:sz="0" w:space="0" w:color="auto"/>
        <w:right w:val="none" w:sz="0" w:space="0" w:color="auto"/>
      </w:divBdr>
    </w:div>
    <w:div w:id="1176843447">
      <w:bodyDiv w:val="1"/>
      <w:marLeft w:val="0"/>
      <w:marRight w:val="0"/>
      <w:marTop w:val="0"/>
      <w:marBottom w:val="0"/>
      <w:divBdr>
        <w:top w:val="none" w:sz="0" w:space="0" w:color="auto"/>
        <w:left w:val="none" w:sz="0" w:space="0" w:color="auto"/>
        <w:bottom w:val="none" w:sz="0" w:space="0" w:color="auto"/>
        <w:right w:val="none" w:sz="0" w:space="0" w:color="auto"/>
      </w:divBdr>
    </w:div>
    <w:div w:id="1188526454">
      <w:bodyDiv w:val="1"/>
      <w:marLeft w:val="0"/>
      <w:marRight w:val="0"/>
      <w:marTop w:val="0"/>
      <w:marBottom w:val="0"/>
      <w:divBdr>
        <w:top w:val="none" w:sz="0" w:space="0" w:color="auto"/>
        <w:left w:val="none" w:sz="0" w:space="0" w:color="auto"/>
        <w:bottom w:val="none" w:sz="0" w:space="0" w:color="auto"/>
        <w:right w:val="none" w:sz="0" w:space="0" w:color="auto"/>
      </w:divBdr>
    </w:div>
    <w:div w:id="1254701221">
      <w:bodyDiv w:val="1"/>
      <w:marLeft w:val="0"/>
      <w:marRight w:val="0"/>
      <w:marTop w:val="0"/>
      <w:marBottom w:val="0"/>
      <w:divBdr>
        <w:top w:val="none" w:sz="0" w:space="0" w:color="auto"/>
        <w:left w:val="none" w:sz="0" w:space="0" w:color="auto"/>
        <w:bottom w:val="none" w:sz="0" w:space="0" w:color="auto"/>
        <w:right w:val="none" w:sz="0" w:space="0" w:color="auto"/>
      </w:divBdr>
    </w:div>
    <w:div w:id="1349913859">
      <w:bodyDiv w:val="1"/>
      <w:marLeft w:val="0"/>
      <w:marRight w:val="0"/>
      <w:marTop w:val="0"/>
      <w:marBottom w:val="0"/>
      <w:divBdr>
        <w:top w:val="none" w:sz="0" w:space="0" w:color="auto"/>
        <w:left w:val="none" w:sz="0" w:space="0" w:color="auto"/>
        <w:bottom w:val="none" w:sz="0" w:space="0" w:color="auto"/>
        <w:right w:val="none" w:sz="0" w:space="0" w:color="auto"/>
      </w:divBdr>
    </w:div>
    <w:div w:id="1515609688">
      <w:bodyDiv w:val="1"/>
      <w:marLeft w:val="0"/>
      <w:marRight w:val="0"/>
      <w:marTop w:val="0"/>
      <w:marBottom w:val="0"/>
      <w:divBdr>
        <w:top w:val="none" w:sz="0" w:space="0" w:color="auto"/>
        <w:left w:val="none" w:sz="0" w:space="0" w:color="auto"/>
        <w:bottom w:val="none" w:sz="0" w:space="0" w:color="auto"/>
        <w:right w:val="none" w:sz="0" w:space="0" w:color="auto"/>
      </w:divBdr>
    </w:div>
    <w:div w:id="1638148476">
      <w:bodyDiv w:val="1"/>
      <w:marLeft w:val="0"/>
      <w:marRight w:val="0"/>
      <w:marTop w:val="0"/>
      <w:marBottom w:val="0"/>
      <w:divBdr>
        <w:top w:val="none" w:sz="0" w:space="0" w:color="auto"/>
        <w:left w:val="none" w:sz="0" w:space="0" w:color="auto"/>
        <w:bottom w:val="none" w:sz="0" w:space="0" w:color="auto"/>
        <w:right w:val="none" w:sz="0" w:space="0" w:color="auto"/>
      </w:divBdr>
    </w:div>
    <w:div w:id="1696227316">
      <w:bodyDiv w:val="1"/>
      <w:marLeft w:val="0"/>
      <w:marRight w:val="0"/>
      <w:marTop w:val="0"/>
      <w:marBottom w:val="0"/>
      <w:divBdr>
        <w:top w:val="none" w:sz="0" w:space="0" w:color="auto"/>
        <w:left w:val="none" w:sz="0" w:space="0" w:color="auto"/>
        <w:bottom w:val="none" w:sz="0" w:space="0" w:color="auto"/>
        <w:right w:val="none" w:sz="0" w:space="0" w:color="auto"/>
      </w:divBdr>
    </w:div>
    <w:div w:id="1729104806">
      <w:bodyDiv w:val="1"/>
      <w:marLeft w:val="0"/>
      <w:marRight w:val="0"/>
      <w:marTop w:val="0"/>
      <w:marBottom w:val="0"/>
      <w:divBdr>
        <w:top w:val="none" w:sz="0" w:space="0" w:color="auto"/>
        <w:left w:val="none" w:sz="0" w:space="0" w:color="auto"/>
        <w:bottom w:val="none" w:sz="0" w:space="0" w:color="auto"/>
        <w:right w:val="none" w:sz="0" w:space="0" w:color="auto"/>
      </w:divBdr>
    </w:div>
    <w:div w:id="1760983647">
      <w:bodyDiv w:val="1"/>
      <w:marLeft w:val="0"/>
      <w:marRight w:val="0"/>
      <w:marTop w:val="0"/>
      <w:marBottom w:val="0"/>
      <w:divBdr>
        <w:top w:val="none" w:sz="0" w:space="0" w:color="auto"/>
        <w:left w:val="none" w:sz="0" w:space="0" w:color="auto"/>
        <w:bottom w:val="none" w:sz="0" w:space="0" w:color="auto"/>
        <w:right w:val="none" w:sz="0" w:space="0" w:color="auto"/>
      </w:divBdr>
    </w:div>
    <w:div w:id="1872065238">
      <w:bodyDiv w:val="1"/>
      <w:marLeft w:val="0"/>
      <w:marRight w:val="0"/>
      <w:marTop w:val="0"/>
      <w:marBottom w:val="0"/>
      <w:divBdr>
        <w:top w:val="none" w:sz="0" w:space="0" w:color="auto"/>
        <w:left w:val="none" w:sz="0" w:space="0" w:color="auto"/>
        <w:bottom w:val="none" w:sz="0" w:space="0" w:color="auto"/>
        <w:right w:val="none" w:sz="0" w:space="0" w:color="auto"/>
      </w:divBdr>
    </w:div>
    <w:div w:id="1886597933">
      <w:bodyDiv w:val="1"/>
      <w:marLeft w:val="0"/>
      <w:marRight w:val="0"/>
      <w:marTop w:val="0"/>
      <w:marBottom w:val="0"/>
      <w:divBdr>
        <w:top w:val="none" w:sz="0" w:space="0" w:color="auto"/>
        <w:left w:val="none" w:sz="0" w:space="0" w:color="auto"/>
        <w:bottom w:val="none" w:sz="0" w:space="0" w:color="auto"/>
        <w:right w:val="none" w:sz="0" w:space="0" w:color="auto"/>
      </w:divBdr>
    </w:div>
    <w:div w:id="1904759133">
      <w:bodyDiv w:val="1"/>
      <w:marLeft w:val="0"/>
      <w:marRight w:val="0"/>
      <w:marTop w:val="0"/>
      <w:marBottom w:val="0"/>
      <w:divBdr>
        <w:top w:val="none" w:sz="0" w:space="0" w:color="auto"/>
        <w:left w:val="none" w:sz="0" w:space="0" w:color="auto"/>
        <w:bottom w:val="none" w:sz="0" w:space="0" w:color="auto"/>
        <w:right w:val="none" w:sz="0" w:space="0" w:color="auto"/>
      </w:divBdr>
    </w:div>
    <w:div w:id="20687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F6A8-5D69-4C54-ACB1-A311640C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173</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NCUA</Company>
  <LinksUpToDate>false</LinksUpToDate>
  <CharactersWithSpaces>912</CharactersWithSpaces>
  <SharedDoc>false</SharedDoc>
  <HLinks>
    <vt:vector size="6" baseType="variant">
      <vt:variant>
        <vt:i4>4522017</vt:i4>
      </vt:variant>
      <vt:variant>
        <vt:i4>0</vt:i4>
      </vt:variant>
      <vt:variant>
        <vt:i4>0</vt:i4>
      </vt:variant>
      <vt:variant>
        <vt:i4>5</vt:i4>
      </vt:variant>
      <vt:variant>
        <vt:lpwstr>mailto:Bank@tlantic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BasicXP</dc:creator>
  <cp:lastModifiedBy>Elizabeth Wirick</cp:lastModifiedBy>
  <cp:revision>16</cp:revision>
  <cp:lastPrinted>2009-07-29T20:16:00Z</cp:lastPrinted>
  <dcterms:created xsi:type="dcterms:W3CDTF">2009-06-29T16:04:00Z</dcterms:created>
  <dcterms:modified xsi:type="dcterms:W3CDTF">2009-07-31T14:57:00Z</dcterms:modified>
</cp:coreProperties>
</file>